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7E64D" w14:textId="50F0EC7C" w:rsidR="00D426C6" w:rsidRPr="00721F9F" w:rsidRDefault="00D426C6" w:rsidP="00721F9F">
      <w:pPr>
        <w:pStyle w:val="Alishlah12title"/>
        <w:rPr>
          <w:lang w:val="id-ID"/>
        </w:rPr>
      </w:pPr>
      <w:r w:rsidRPr="00D426C6">
        <w:rPr>
          <w:lang w:val="id-ID"/>
        </w:rPr>
        <w:t>I</w:t>
      </w:r>
      <w:r w:rsidRPr="00721F9F">
        <w:rPr>
          <w:lang w:val="id-ID"/>
        </w:rPr>
        <w:t xml:space="preserve">MPROVING THE ASSERTIVENESS OF MINANGKABAU FAMALE STUDENTS: THE ROLE OF </w:t>
      </w:r>
      <w:r w:rsidR="00F85533" w:rsidRPr="00721F9F">
        <w:rPr>
          <w:lang w:val="id-ID"/>
        </w:rPr>
        <w:t xml:space="preserve">GROUP GAIDANCE BASED ON THE DONATION OF DUO BALEH IN THE </w:t>
      </w:r>
      <w:r w:rsidR="00757F18" w:rsidRPr="00721F9F">
        <w:rPr>
          <w:lang w:val="id-ID"/>
        </w:rPr>
        <w:t xml:space="preserve">PREVENTUION OF SEXUAL HARASSMENT </w:t>
      </w:r>
    </w:p>
    <w:p w14:paraId="2CC8320C" w14:textId="45AD29B0" w:rsidR="00BE398A" w:rsidRPr="00721F9F" w:rsidRDefault="004E4D6D" w:rsidP="00721F9F">
      <w:pPr>
        <w:rPr>
          <w:rFonts w:ascii="Times New Roman" w:hAnsi="Times New Roman" w:cs="Times New Roman"/>
          <w:b/>
          <w:vertAlign w:val="superscript"/>
          <w:lang w:val="id-ID"/>
        </w:rPr>
      </w:pPr>
      <w:r w:rsidRPr="00721F9F">
        <w:rPr>
          <w:rFonts w:ascii="Times New Roman" w:hAnsi="Times New Roman" w:cs="Times New Roman"/>
          <w:b/>
          <w:lang w:val="id-ID"/>
        </w:rPr>
        <w:t>Desi Harlina</w:t>
      </w:r>
      <w:r w:rsidRPr="00721F9F">
        <w:rPr>
          <w:rFonts w:ascii="Times New Roman" w:hAnsi="Times New Roman" w:cs="Times New Roman"/>
          <w:b/>
          <w:vertAlign w:val="superscript"/>
          <w:lang w:val="id-ID"/>
        </w:rPr>
        <w:t>1</w:t>
      </w:r>
      <w:r w:rsidRPr="00721F9F">
        <w:rPr>
          <w:rFonts w:ascii="Times New Roman" w:hAnsi="Times New Roman" w:cs="Times New Roman"/>
          <w:b/>
          <w:lang w:val="id-ID"/>
        </w:rPr>
        <w:t>, Yarmis Syukur</w:t>
      </w:r>
      <w:r w:rsidRPr="00721F9F">
        <w:rPr>
          <w:rFonts w:ascii="Times New Roman" w:hAnsi="Times New Roman" w:cs="Times New Roman"/>
          <w:b/>
          <w:vertAlign w:val="superscript"/>
          <w:lang w:val="id-ID"/>
        </w:rPr>
        <w:t>2</w:t>
      </w:r>
      <w:r w:rsidRPr="00721F9F">
        <w:rPr>
          <w:rFonts w:ascii="Times New Roman" w:hAnsi="Times New Roman" w:cs="Times New Roman"/>
          <w:b/>
          <w:lang w:val="id-ID"/>
        </w:rPr>
        <w:t>, Yeni Karneli</w:t>
      </w:r>
      <w:r w:rsidRPr="00721F9F">
        <w:rPr>
          <w:rFonts w:ascii="Times New Roman" w:hAnsi="Times New Roman" w:cs="Times New Roman"/>
          <w:b/>
          <w:vertAlign w:val="superscript"/>
          <w:lang w:val="id-ID"/>
        </w:rPr>
        <w:t>3</w:t>
      </w:r>
      <w:r w:rsidRPr="00721F9F">
        <w:rPr>
          <w:rFonts w:ascii="Times New Roman" w:hAnsi="Times New Roman" w:cs="Times New Roman"/>
          <w:b/>
          <w:lang w:val="id-ID"/>
        </w:rPr>
        <w:t>, Nurfarhanah</w:t>
      </w:r>
      <w:r w:rsidRPr="00721F9F">
        <w:rPr>
          <w:rFonts w:ascii="Times New Roman" w:hAnsi="Times New Roman" w:cs="Times New Roman"/>
          <w:b/>
          <w:vertAlign w:val="superscript"/>
          <w:lang w:val="id-ID"/>
        </w:rPr>
        <w:t>4</w:t>
      </w:r>
    </w:p>
    <w:p w14:paraId="5C5E8473" w14:textId="2CB4B4CB" w:rsidR="00C5072E" w:rsidRPr="00721F9F" w:rsidRDefault="00C5072E" w:rsidP="00C5072E">
      <w:pPr>
        <w:pStyle w:val="Alishlah16affiliation"/>
        <w:rPr>
          <w:color w:val="auto"/>
          <w:lang w:val="id-ID"/>
        </w:rPr>
      </w:pPr>
      <w:r w:rsidRPr="00721F9F">
        <w:rPr>
          <w:color w:val="auto"/>
          <w:vertAlign w:val="superscript"/>
          <w:lang w:val="id-ID"/>
        </w:rPr>
        <w:t>1</w:t>
      </w:r>
      <w:r w:rsidRPr="00721F9F">
        <w:rPr>
          <w:color w:val="auto"/>
          <w:lang w:val="id-ID"/>
        </w:rPr>
        <w:tab/>
      </w:r>
      <w:r w:rsidRPr="00721F9F">
        <w:rPr>
          <w:lang w:val="id-ID"/>
        </w:rPr>
        <w:t>Padang State University</w:t>
      </w:r>
      <w:r w:rsidRPr="00721F9F">
        <w:rPr>
          <w:color w:val="auto"/>
          <w:lang w:val="id-ID"/>
        </w:rPr>
        <w:t>, e-mail:</w:t>
      </w:r>
      <w:r w:rsidR="002446CA" w:rsidRPr="00721F9F">
        <w:rPr>
          <w:color w:val="auto"/>
          <w:lang w:val="id-ID"/>
        </w:rPr>
        <w:t xml:space="preserve"> </w:t>
      </w:r>
      <w:r w:rsidR="002446CA" w:rsidRPr="00721F9F">
        <w:rPr>
          <w:color w:val="auto"/>
          <w:lang w:val="id-ID"/>
        </w:rPr>
        <w:t>desiharlina@gmail.com</w:t>
      </w:r>
    </w:p>
    <w:p w14:paraId="1734B47A" w14:textId="4A64F85C" w:rsidR="008E64A2" w:rsidRPr="00721F9F" w:rsidRDefault="00C5072E" w:rsidP="00DE7300">
      <w:pPr>
        <w:pStyle w:val="Alishlah16affiliation"/>
        <w:rPr>
          <w:color w:val="auto"/>
          <w:lang w:val="id-ID"/>
        </w:rPr>
      </w:pPr>
      <w:r w:rsidRPr="00721F9F">
        <w:rPr>
          <w:color w:val="auto"/>
          <w:vertAlign w:val="superscript"/>
          <w:lang w:val="id-ID"/>
        </w:rPr>
        <w:t>2</w:t>
      </w:r>
      <w:r w:rsidR="00BE398A" w:rsidRPr="00721F9F">
        <w:rPr>
          <w:color w:val="auto"/>
          <w:lang w:val="id-ID"/>
        </w:rPr>
        <w:tab/>
      </w:r>
      <w:r w:rsidR="00CA6363" w:rsidRPr="00721F9F">
        <w:rPr>
          <w:lang w:val="id-ID"/>
        </w:rPr>
        <w:t>Padang State University</w:t>
      </w:r>
      <w:r w:rsidR="003062D6" w:rsidRPr="00721F9F">
        <w:rPr>
          <w:color w:val="auto"/>
          <w:lang w:val="id-ID"/>
        </w:rPr>
        <w:t>,</w:t>
      </w:r>
      <w:r w:rsidR="002B31FD" w:rsidRPr="00721F9F">
        <w:rPr>
          <w:color w:val="auto"/>
          <w:lang w:val="id-ID"/>
        </w:rPr>
        <w:t xml:space="preserve"> </w:t>
      </w:r>
      <w:r w:rsidR="003062D6" w:rsidRPr="00721F9F">
        <w:rPr>
          <w:color w:val="auto"/>
          <w:lang w:val="id-ID"/>
        </w:rPr>
        <w:t xml:space="preserve">e-mail: </w:t>
      </w:r>
      <w:r w:rsidR="002446CA" w:rsidRPr="00721F9F">
        <w:rPr>
          <w:color w:val="auto"/>
          <w:lang w:val="id-ID"/>
        </w:rPr>
        <w:t>yarmissyukur@fip.unp.ac.id</w:t>
      </w:r>
    </w:p>
    <w:p w14:paraId="5BFC760C" w14:textId="5C83A9AE" w:rsidR="00B72F3D" w:rsidRPr="00721F9F" w:rsidRDefault="00C5072E" w:rsidP="00784B9B">
      <w:pPr>
        <w:pStyle w:val="Alishlah16affiliation"/>
        <w:rPr>
          <w:color w:val="auto"/>
          <w:lang w:val="id-ID"/>
        </w:rPr>
      </w:pPr>
      <w:r w:rsidRPr="00721F9F">
        <w:rPr>
          <w:color w:val="auto"/>
          <w:vertAlign w:val="superscript"/>
          <w:lang w:val="id-ID"/>
        </w:rPr>
        <w:t>3</w:t>
      </w:r>
      <w:r w:rsidR="00B72F3D" w:rsidRPr="00721F9F">
        <w:rPr>
          <w:color w:val="auto"/>
          <w:lang w:val="id-ID"/>
        </w:rPr>
        <w:tab/>
      </w:r>
      <w:r w:rsidR="003062D6" w:rsidRPr="00721F9F">
        <w:rPr>
          <w:lang w:val="id-ID"/>
        </w:rPr>
        <w:t>Padang State University</w:t>
      </w:r>
      <w:r w:rsidR="002B31FD" w:rsidRPr="00721F9F">
        <w:rPr>
          <w:color w:val="auto"/>
          <w:lang w:val="id-ID"/>
        </w:rPr>
        <w:t>; e-mail</w:t>
      </w:r>
      <w:r w:rsidR="005E1603" w:rsidRPr="00721F9F">
        <w:rPr>
          <w:color w:val="auto"/>
          <w:lang w:val="id-ID"/>
        </w:rPr>
        <w:t xml:space="preserve">: </w:t>
      </w:r>
      <w:r w:rsidR="002446CA" w:rsidRPr="00721F9F">
        <w:rPr>
          <w:color w:val="auto"/>
          <w:lang w:val="id-ID"/>
        </w:rPr>
        <w:t>yenikarneli@fip.unp.ac.id</w:t>
      </w:r>
    </w:p>
    <w:p w14:paraId="0F285857" w14:textId="3F02E6A9" w:rsidR="005E1603" w:rsidRPr="00721F9F" w:rsidRDefault="005E1603" w:rsidP="00784B9B">
      <w:pPr>
        <w:pStyle w:val="Alishlah16affiliation"/>
        <w:rPr>
          <w:color w:val="auto"/>
          <w:lang w:val="id-ID"/>
        </w:rPr>
      </w:pPr>
      <w:r w:rsidRPr="00721F9F">
        <w:rPr>
          <w:color w:val="auto"/>
          <w:sz w:val="16"/>
          <w:szCs w:val="16"/>
          <w:lang w:val="id-ID"/>
        </w:rPr>
        <w:t>4</w:t>
      </w:r>
      <w:r w:rsidRPr="00721F9F">
        <w:rPr>
          <w:color w:val="auto"/>
          <w:lang w:val="id-ID"/>
        </w:rPr>
        <w:t xml:space="preserve">. Padang State University; e-mail: </w:t>
      </w:r>
      <w:r w:rsidRPr="00721F9F">
        <w:rPr>
          <w:color w:val="auto"/>
          <w:lang w:val="id-ID"/>
        </w:rPr>
        <w:t>nurfarhanah@fip.unp.ac.id</w:t>
      </w:r>
      <w:r w:rsidRPr="00721F9F">
        <w:rPr>
          <w:color w:val="auto"/>
          <w:lang w:val="id-ID"/>
        </w:rPr>
        <w:cr/>
      </w:r>
    </w:p>
    <w:p w14:paraId="7F49A05E" w14:textId="77777777" w:rsidR="00784B9B" w:rsidRPr="00721F9F" w:rsidRDefault="00784B9B" w:rsidP="00BE398A">
      <w:pPr>
        <w:pStyle w:val="Alishlah16affiliation"/>
        <w:rPr>
          <w:color w:val="auto"/>
          <w:lang w:val="id-ID"/>
        </w:rPr>
      </w:pPr>
    </w:p>
    <w:tbl>
      <w:tblPr>
        <w:tblStyle w:val="TableGrid"/>
        <w:tblW w:w="8845" w:type="dxa"/>
        <w:jc w:val="center"/>
        <w:tblLook w:val="04A0" w:firstRow="1" w:lastRow="0" w:firstColumn="1" w:lastColumn="0" w:noHBand="0" w:noVBand="1"/>
      </w:tblPr>
      <w:tblGrid>
        <w:gridCol w:w="2787"/>
        <w:gridCol w:w="282"/>
        <w:gridCol w:w="5776"/>
      </w:tblGrid>
      <w:tr w:rsidR="0048254D" w:rsidRPr="00721F9F" w14:paraId="2032E7DC" w14:textId="77777777" w:rsidTr="0048254D">
        <w:trPr>
          <w:jc w:val="center"/>
        </w:trPr>
        <w:tc>
          <w:tcPr>
            <w:tcW w:w="2787" w:type="dxa"/>
            <w:tcBorders>
              <w:top w:val="double" w:sz="4" w:space="0" w:color="auto"/>
              <w:left w:val="nil"/>
              <w:bottom w:val="single" w:sz="4" w:space="0" w:color="auto"/>
              <w:right w:val="nil"/>
            </w:tcBorders>
          </w:tcPr>
          <w:p w14:paraId="469A3993" w14:textId="77777777" w:rsidR="0048254D" w:rsidRPr="00721F9F" w:rsidRDefault="0048254D" w:rsidP="001C18FA">
            <w:pPr>
              <w:spacing w:before="120"/>
              <w:jc w:val="both"/>
              <w:rPr>
                <w:rFonts w:ascii="Palatino Linotype" w:hAnsi="Palatino Linotype"/>
                <w:b/>
                <w:lang w:val="id-ID"/>
              </w:rPr>
            </w:pPr>
            <w:r w:rsidRPr="00721F9F">
              <w:rPr>
                <w:rFonts w:ascii="Palatino Linotype" w:hAnsi="Palatino Linotype"/>
                <w:b/>
                <w:lang w:val="id-ID"/>
              </w:rPr>
              <w:t>ARTICLE INFO</w:t>
            </w:r>
          </w:p>
        </w:tc>
        <w:tc>
          <w:tcPr>
            <w:tcW w:w="282" w:type="dxa"/>
            <w:tcBorders>
              <w:top w:val="double" w:sz="4" w:space="0" w:color="auto"/>
              <w:left w:val="nil"/>
              <w:bottom w:val="nil"/>
              <w:right w:val="nil"/>
            </w:tcBorders>
          </w:tcPr>
          <w:p w14:paraId="259F86F5" w14:textId="77777777" w:rsidR="0048254D" w:rsidRPr="00721F9F" w:rsidRDefault="0048254D" w:rsidP="001C18FA">
            <w:pPr>
              <w:spacing w:before="120"/>
              <w:jc w:val="center"/>
              <w:rPr>
                <w:rFonts w:ascii="Palatino Linotype" w:hAnsi="Palatino Linotype"/>
                <w:lang w:val="id-ID"/>
              </w:rPr>
            </w:pPr>
          </w:p>
        </w:tc>
        <w:tc>
          <w:tcPr>
            <w:tcW w:w="5776" w:type="dxa"/>
            <w:tcBorders>
              <w:top w:val="double" w:sz="4" w:space="0" w:color="auto"/>
              <w:left w:val="nil"/>
              <w:bottom w:val="single" w:sz="4" w:space="0" w:color="auto"/>
              <w:right w:val="nil"/>
            </w:tcBorders>
          </w:tcPr>
          <w:p w14:paraId="74093493" w14:textId="77777777" w:rsidR="0048254D" w:rsidRPr="00721F9F" w:rsidRDefault="0048254D" w:rsidP="002663A1">
            <w:pPr>
              <w:spacing w:before="120"/>
              <w:ind w:left="81"/>
              <w:rPr>
                <w:rFonts w:ascii="Palatino Linotype" w:hAnsi="Palatino Linotype"/>
                <w:color w:val="000000"/>
                <w:sz w:val="24"/>
                <w:szCs w:val="24"/>
                <w:lang w:val="id-ID"/>
              </w:rPr>
            </w:pPr>
            <w:r w:rsidRPr="00721F9F">
              <w:rPr>
                <w:rFonts w:ascii="Palatino Linotype" w:hAnsi="Palatino Linotype"/>
                <w:b/>
                <w:bCs/>
                <w:iCs/>
                <w:color w:val="000000"/>
                <w:lang w:val="id-ID"/>
              </w:rPr>
              <w:t>ABSTRACT</w:t>
            </w:r>
          </w:p>
        </w:tc>
      </w:tr>
      <w:tr w:rsidR="0048254D" w:rsidRPr="00721F9F" w14:paraId="5E1A1C0B" w14:textId="77777777" w:rsidTr="0048254D">
        <w:trPr>
          <w:trHeight w:val="1268"/>
          <w:jc w:val="center"/>
        </w:trPr>
        <w:tc>
          <w:tcPr>
            <w:tcW w:w="2787" w:type="dxa"/>
            <w:tcBorders>
              <w:top w:val="single" w:sz="4" w:space="0" w:color="auto"/>
              <w:left w:val="nil"/>
              <w:bottom w:val="single" w:sz="4" w:space="0" w:color="auto"/>
              <w:right w:val="nil"/>
            </w:tcBorders>
          </w:tcPr>
          <w:p w14:paraId="5BF5B185" w14:textId="77777777" w:rsidR="0048254D" w:rsidRPr="00721F9F" w:rsidRDefault="0048254D" w:rsidP="001C18FA">
            <w:pPr>
              <w:spacing w:before="120" w:after="120"/>
              <w:jc w:val="both"/>
              <w:rPr>
                <w:rFonts w:ascii="Palatino Linotype" w:hAnsi="Palatino Linotype"/>
                <w:b/>
                <w:i/>
                <w:sz w:val="18"/>
                <w:szCs w:val="18"/>
                <w:lang w:val="id-ID"/>
              </w:rPr>
            </w:pPr>
            <w:r w:rsidRPr="00721F9F">
              <w:rPr>
                <w:rFonts w:ascii="Palatino Linotype" w:hAnsi="Palatino Linotype"/>
                <w:b/>
                <w:i/>
                <w:sz w:val="18"/>
                <w:szCs w:val="18"/>
                <w:lang w:val="id-ID"/>
              </w:rPr>
              <w:t>Keywords:</w:t>
            </w:r>
          </w:p>
          <w:p w14:paraId="7D5CAD60" w14:textId="681F4F88" w:rsidR="002B31FD" w:rsidRPr="00721F9F" w:rsidRDefault="00297EB3" w:rsidP="00297EB3">
            <w:pPr>
              <w:pStyle w:val="Alishlah18keywords"/>
              <w:rPr>
                <w:lang w:val="id-ID"/>
              </w:rPr>
            </w:pPr>
            <w:r w:rsidRPr="00721F9F">
              <w:rPr>
                <w:lang w:val="id-ID"/>
              </w:rPr>
              <w:t>G</w:t>
            </w:r>
            <w:r w:rsidRPr="00721F9F">
              <w:rPr>
                <w:lang w:val="id-ID"/>
              </w:rPr>
              <w:t>roup Guidance, Duo Baleh Contribution, Assertivity, Minangkabau Women, Sexual Harassment</w:t>
            </w:r>
          </w:p>
          <w:p w14:paraId="728A8D7E" w14:textId="77777777" w:rsidR="002B31FD" w:rsidRPr="00721F9F" w:rsidRDefault="002B31FD" w:rsidP="00290481">
            <w:pPr>
              <w:pStyle w:val="Alishlah18keywords"/>
              <w:rPr>
                <w:lang w:val="id-ID"/>
              </w:rPr>
            </w:pPr>
          </w:p>
          <w:p w14:paraId="4862FF54" w14:textId="15BD66EE" w:rsidR="0048254D" w:rsidRPr="00721F9F" w:rsidRDefault="0048254D" w:rsidP="00290481">
            <w:pPr>
              <w:pStyle w:val="Alishlah18keywords"/>
              <w:rPr>
                <w:lang w:val="id-ID"/>
              </w:rPr>
            </w:pPr>
          </w:p>
          <w:p w14:paraId="1E2264BF" w14:textId="77777777" w:rsidR="00FF4BFF" w:rsidRPr="00721F9F" w:rsidRDefault="00FF4BFF" w:rsidP="00FF4BFF">
            <w:pPr>
              <w:rPr>
                <w:lang w:val="id-ID" w:eastAsia="de-DE" w:bidi="en-US"/>
              </w:rPr>
            </w:pPr>
          </w:p>
          <w:p w14:paraId="18EA0A5E" w14:textId="77777777" w:rsidR="0048254D" w:rsidRPr="00721F9F" w:rsidRDefault="0048254D" w:rsidP="001C18FA">
            <w:pPr>
              <w:jc w:val="both"/>
              <w:rPr>
                <w:rFonts w:ascii="Palatino Linotype" w:hAnsi="Palatino Linotype"/>
                <w:sz w:val="18"/>
                <w:szCs w:val="18"/>
                <w:lang w:val="id-ID"/>
              </w:rPr>
            </w:pPr>
          </w:p>
        </w:tc>
        <w:tc>
          <w:tcPr>
            <w:tcW w:w="282" w:type="dxa"/>
            <w:vMerge w:val="restart"/>
            <w:tcBorders>
              <w:top w:val="nil"/>
              <w:left w:val="nil"/>
              <w:bottom w:val="nil"/>
              <w:right w:val="nil"/>
            </w:tcBorders>
          </w:tcPr>
          <w:p w14:paraId="659C6B3F" w14:textId="77777777" w:rsidR="0048254D" w:rsidRPr="00721F9F" w:rsidRDefault="0048254D" w:rsidP="001C18FA">
            <w:pPr>
              <w:spacing w:before="120"/>
              <w:jc w:val="both"/>
              <w:rPr>
                <w:rFonts w:ascii="Palatino Linotype" w:hAnsi="Palatino Linotype"/>
                <w:sz w:val="18"/>
                <w:szCs w:val="18"/>
                <w:lang w:val="id-ID"/>
              </w:rPr>
            </w:pPr>
          </w:p>
        </w:tc>
        <w:tc>
          <w:tcPr>
            <w:tcW w:w="5776" w:type="dxa"/>
            <w:vMerge w:val="restart"/>
            <w:tcBorders>
              <w:top w:val="single" w:sz="4" w:space="0" w:color="auto"/>
              <w:left w:val="nil"/>
              <w:bottom w:val="nil"/>
              <w:right w:val="nil"/>
            </w:tcBorders>
          </w:tcPr>
          <w:p w14:paraId="63747E06" w14:textId="14344BAF" w:rsidR="00FC77F5" w:rsidRPr="00FC77F5" w:rsidRDefault="00FC77F5" w:rsidP="00FC77F5">
            <w:pPr>
              <w:pStyle w:val="Alishlah17abstract"/>
              <w:rPr>
                <w:lang w:val="id-ID"/>
              </w:rPr>
            </w:pPr>
            <w:r w:rsidRPr="00FC77F5">
              <w:rPr>
                <w:rFonts w:ascii="Times New Roman" w:hAnsi="Times New Roman"/>
                <w:lang w:val="id-ID" w:eastAsia="en-ID"/>
              </w:rPr>
              <w:t>Prevention of sexual harassment is an important issue in the protection of women, especially the university environment. However, the low assertive behavior among Minangkabau female students makes them vulnerable to being victims of sexual harassment. The purpose of this study was to test the effectiveness of group guidance based on the values of discordant duo baleh in improving the assertiveness of Minangkabau female students in order to prevent sexual harassment. This study uses a quantitative method with a type of quasi experiment design. The design in this study is pretest-posttest control group. The sampling used in this study is simple random sampling. The instrument used in data collection is a Likert scale model. Analysis of the data used in this study is wilcoxon signed ranks test and maan-whitney. The results of research and discussion that has been obtained in this study, it can be concluded that the provision of group guidance services by utilizing local wisdom of the values of the discordant duo baleh effective to improve the assertiveness of Minangkabau female students in the prevention of sexual harassment.</w:t>
            </w:r>
          </w:p>
          <w:p w14:paraId="3CCB4B72" w14:textId="10F4D241" w:rsidR="00FC77F5" w:rsidRPr="00721F9F" w:rsidRDefault="00FC77F5" w:rsidP="00FC77F5">
            <w:pPr>
              <w:rPr>
                <w:lang w:val="id-ID" w:eastAsia="de-DE" w:bidi="en-US"/>
              </w:rPr>
            </w:pPr>
          </w:p>
        </w:tc>
      </w:tr>
      <w:tr w:rsidR="0048254D" w:rsidRPr="00721F9F" w14:paraId="6FFAE392"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AB2C4B7" w14:textId="77777777" w:rsidR="0048254D" w:rsidRPr="00721F9F" w:rsidRDefault="0048254D" w:rsidP="001C18FA">
            <w:pPr>
              <w:spacing w:before="120" w:after="120"/>
              <w:jc w:val="both"/>
              <w:rPr>
                <w:rFonts w:ascii="Palatino Linotype" w:hAnsi="Palatino Linotype"/>
                <w:b/>
                <w:i/>
                <w:sz w:val="18"/>
                <w:szCs w:val="18"/>
                <w:lang w:val="id-ID"/>
              </w:rPr>
            </w:pPr>
            <w:r w:rsidRPr="00721F9F">
              <w:rPr>
                <w:rFonts w:ascii="Palatino Linotype" w:hAnsi="Palatino Linotype"/>
                <w:b/>
                <w:i/>
                <w:sz w:val="18"/>
                <w:szCs w:val="18"/>
                <w:lang w:val="id-ID"/>
              </w:rPr>
              <w:t>Article history:</w:t>
            </w:r>
          </w:p>
          <w:p w14:paraId="2731577B" w14:textId="77777777" w:rsidR="0048254D" w:rsidRPr="00721F9F" w:rsidRDefault="0048254D" w:rsidP="00E45249">
            <w:pPr>
              <w:pStyle w:val="Alishlah14history"/>
              <w:rPr>
                <w:lang w:val="id-ID"/>
              </w:rPr>
            </w:pPr>
            <w:r w:rsidRPr="00721F9F">
              <w:rPr>
                <w:lang w:val="id-ID"/>
              </w:rPr>
              <w:t xml:space="preserve">Received </w:t>
            </w:r>
            <w:r w:rsidR="00FA43FF" w:rsidRPr="00721F9F">
              <w:rPr>
                <w:lang w:val="id-ID"/>
              </w:rPr>
              <w:t>2021-08-14</w:t>
            </w:r>
          </w:p>
          <w:p w14:paraId="2AF5C999" w14:textId="77777777" w:rsidR="0048254D" w:rsidRPr="00721F9F" w:rsidRDefault="0048254D" w:rsidP="00E45249">
            <w:pPr>
              <w:pStyle w:val="Alishlah14history"/>
              <w:rPr>
                <w:lang w:val="id-ID"/>
              </w:rPr>
            </w:pPr>
            <w:r w:rsidRPr="00721F9F">
              <w:rPr>
                <w:lang w:val="id-ID"/>
              </w:rPr>
              <w:t xml:space="preserve">Revised </w:t>
            </w:r>
            <w:r w:rsidR="00675603" w:rsidRPr="00721F9F">
              <w:rPr>
                <w:lang w:val="id-ID"/>
              </w:rPr>
              <w:tab/>
            </w:r>
            <w:r w:rsidR="00FA43FF" w:rsidRPr="00721F9F">
              <w:rPr>
                <w:lang w:val="id-ID"/>
              </w:rPr>
              <w:t>2021-11-12</w:t>
            </w:r>
          </w:p>
          <w:p w14:paraId="3243CA19" w14:textId="77777777" w:rsidR="0048254D" w:rsidRPr="00721F9F" w:rsidRDefault="0048254D" w:rsidP="004A39B9">
            <w:pPr>
              <w:pStyle w:val="Alishlah14history"/>
              <w:rPr>
                <w:lang w:val="id-ID"/>
              </w:rPr>
            </w:pPr>
            <w:r w:rsidRPr="00721F9F">
              <w:rPr>
                <w:lang w:val="id-ID"/>
              </w:rPr>
              <w:t xml:space="preserve">Accepted </w:t>
            </w:r>
            <w:r w:rsidR="00FA43FF" w:rsidRPr="00721F9F">
              <w:rPr>
                <w:lang w:val="id-ID"/>
              </w:rPr>
              <w:t>2022-01-17</w:t>
            </w:r>
          </w:p>
        </w:tc>
        <w:tc>
          <w:tcPr>
            <w:tcW w:w="282" w:type="dxa"/>
            <w:vMerge/>
            <w:tcBorders>
              <w:top w:val="nil"/>
              <w:left w:val="nil"/>
              <w:bottom w:val="nil"/>
              <w:right w:val="nil"/>
            </w:tcBorders>
          </w:tcPr>
          <w:p w14:paraId="6DAD00EA" w14:textId="77777777" w:rsidR="0048254D" w:rsidRPr="00721F9F" w:rsidRDefault="0048254D" w:rsidP="001C18FA">
            <w:pPr>
              <w:spacing w:before="120"/>
              <w:jc w:val="both"/>
              <w:rPr>
                <w:rFonts w:ascii="Palatino Linotype" w:hAnsi="Palatino Linotype"/>
                <w:lang w:val="id-ID"/>
              </w:rPr>
            </w:pPr>
          </w:p>
        </w:tc>
        <w:tc>
          <w:tcPr>
            <w:tcW w:w="5776" w:type="dxa"/>
            <w:vMerge/>
            <w:tcBorders>
              <w:top w:val="nil"/>
              <w:left w:val="nil"/>
              <w:bottom w:val="nil"/>
              <w:right w:val="nil"/>
            </w:tcBorders>
          </w:tcPr>
          <w:p w14:paraId="2108F710" w14:textId="77777777" w:rsidR="0048254D" w:rsidRPr="00721F9F" w:rsidRDefault="0048254D" w:rsidP="001C18FA">
            <w:pPr>
              <w:spacing w:before="120"/>
              <w:jc w:val="both"/>
              <w:rPr>
                <w:rFonts w:ascii="Palatino Linotype" w:hAnsi="Palatino Linotype"/>
                <w:iCs/>
                <w:color w:val="000000"/>
                <w:sz w:val="18"/>
                <w:szCs w:val="18"/>
                <w:lang w:val="id-ID"/>
              </w:rPr>
            </w:pPr>
          </w:p>
        </w:tc>
      </w:tr>
      <w:tr w:rsidR="0048254D" w:rsidRPr="00721F9F" w14:paraId="08DAC6D6" w14:textId="77777777" w:rsidTr="0048254D">
        <w:trPr>
          <w:trHeight w:val="70"/>
          <w:jc w:val="center"/>
        </w:trPr>
        <w:tc>
          <w:tcPr>
            <w:tcW w:w="2787" w:type="dxa"/>
            <w:vMerge/>
            <w:tcBorders>
              <w:top w:val="single" w:sz="4" w:space="0" w:color="auto"/>
              <w:left w:val="nil"/>
              <w:bottom w:val="single" w:sz="4" w:space="0" w:color="auto"/>
              <w:right w:val="nil"/>
            </w:tcBorders>
          </w:tcPr>
          <w:p w14:paraId="06F9522D" w14:textId="77777777" w:rsidR="0048254D" w:rsidRPr="00721F9F" w:rsidRDefault="0048254D" w:rsidP="001C18FA">
            <w:pPr>
              <w:spacing w:before="120" w:after="120"/>
              <w:jc w:val="both"/>
              <w:rPr>
                <w:rFonts w:ascii="Palatino Linotype" w:hAnsi="Palatino Linotype"/>
                <w:b/>
                <w:i/>
                <w:lang w:val="id-ID"/>
              </w:rPr>
            </w:pPr>
          </w:p>
        </w:tc>
        <w:tc>
          <w:tcPr>
            <w:tcW w:w="282" w:type="dxa"/>
            <w:vMerge/>
            <w:tcBorders>
              <w:top w:val="nil"/>
              <w:left w:val="nil"/>
              <w:bottom w:val="nil"/>
              <w:right w:val="nil"/>
            </w:tcBorders>
          </w:tcPr>
          <w:p w14:paraId="25D23ED3" w14:textId="77777777" w:rsidR="0048254D" w:rsidRPr="00721F9F" w:rsidRDefault="0048254D" w:rsidP="001C18FA">
            <w:pPr>
              <w:spacing w:before="120"/>
              <w:jc w:val="both"/>
              <w:rPr>
                <w:rFonts w:ascii="Palatino Linotype" w:hAnsi="Palatino Linotype"/>
                <w:lang w:val="id-ID"/>
              </w:rPr>
            </w:pPr>
          </w:p>
        </w:tc>
        <w:tc>
          <w:tcPr>
            <w:tcW w:w="5776" w:type="dxa"/>
            <w:tcBorders>
              <w:top w:val="nil"/>
              <w:left w:val="nil"/>
              <w:bottom w:val="single" w:sz="4" w:space="0" w:color="auto"/>
              <w:right w:val="nil"/>
            </w:tcBorders>
          </w:tcPr>
          <w:p w14:paraId="0DC0DA28" w14:textId="77777777" w:rsidR="0048254D" w:rsidRPr="00721F9F" w:rsidRDefault="0048254D" w:rsidP="001C18FA">
            <w:pPr>
              <w:spacing w:before="120" w:after="120"/>
              <w:jc w:val="right"/>
              <w:rPr>
                <w:rFonts w:ascii="Palatino Linotype" w:hAnsi="Palatino Linotype"/>
                <w:i/>
                <w:iCs/>
                <w:color w:val="000000"/>
                <w:sz w:val="18"/>
                <w:szCs w:val="18"/>
                <w:lang w:val="id-ID"/>
              </w:rPr>
            </w:pPr>
            <w:r w:rsidRPr="00721F9F">
              <w:rPr>
                <w:rFonts w:ascii="Palatino Linotype" w:hAnsi="Palatino Linotype"/>
                <w:i/>
                <w:iCs/>
                <w:color w:val="000000"/>
                <w:sz w:val="18"/>
                <w:szCs w:val="18"/>
                <w:lang w:val="id-ID"/>
              </w:rPr>
              <w:t xml:space="preserve">This is an open access article under the </w:t>
            </w:r>
            <w:hyperlink r:id="rId8" w:history="1">
              <w:r w:rsidRPr="00721F9F">
                <w:rPr>
                  <w:rStyle w:val="Hyperlink"/>
                  <w:rFonts w:ascii="Palatino Linotype" w:hAnsi="Palatino Linotype"/>
                  <w:i/>
                  <w:iCs/>
                  <w:sz w:val="18"/>
                  <w:szCs w:val="18"/>
                  <w:lang w:val="id-ID"/>
                </w:rPr>
                <w:t>CC BY-NC-SA</w:t>
              </w:r>
            </w:hyperlink>
            <w:r w:rsidRPr="00721F9F">
              <w:rPr>
                <w:rFonts w:ascii="Palatino Linotype" w:hAnsi="Palatino Linotype"/>
                <w:i/>
                <w:iCs/>
                <w:color w:val="000000"/>
                <w:sz w:val="18"/>
                <w:szCs w:val="18"/>
                <w:lang w:val="id-ID"/>
              </w:rPr>
              <w:t xml:space="preserve"> license.</w:t>
            </w:r>
          </w:p>
          <w:p w14:paraId="3A7DD82B" w14:textId="77777777" w:rsidR="0048254D" w:rsidRPr="00721F9F" w:rsidRDefault="0048254D" w:rsidP="001C18FA">
            <w:pPr>
              <w:spacing w:before="120" w:after="120"/>
              <w:jc w:val="right"/>
              <w:rPr>
                <w:rFonts w:ascii="Palatino Linotype" w:hAnsi="Palatino Linotype"/>
                <w:i/>
                <w:iCs/>
                <w:color w:val="000000"/>
                <w:sz w:val="18"/>
                <w:szCs w:val="18"/>
                <w:lang w:val="id-ID"/>
              </w:rPr>
            </w:pPr>
            <w:r w:rsidRPr="00721F9F">
              <w:rPr>
                <w:rFonts w:ascii="Palatino Linotype" w:hAnsi="Palatino Linotype"/>
                <w:noProof/>
                <w:lang w:val="id-ID"/>
              </w:rPr>
              <w:drawing>
                <wp:inline distT="0" distB="0" distL="0" distR="0" wp14:anchorId="6B51C887" wp14:editId="3B86CD38">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721F9F" w14:paraId="439837A3" w14:textId="77777777" w:rsidTr="0048254D">
        <w:trPr>
          <w:jc w:val="center"/>
        </w:trPr>
        <w:tc>
          <w:tcPr>
            <w:tcW w:w="8845" w:type="dxa"/>
            <w:gridSpan w:val="3"/>
            <w:tcBorders>
              <w:top w:val="nil"/>
              <w:left w:val="nil"/>
              <w:bottom w:val="double" w:sz="4" w:space="0" w:color="auto"/>
              <w:right w:val="nil"/>
            </w:tcBorders>
          </w:tcPr>
          <w:p w14:paraId="4C0AB1B8" w14:textId="77777777" w:rsidR="0048254D" w:rsidRPr="00721F9F" w:rsidRDefault="0048254D" w:rsidP="00E45249">
            <w:pPr>
              <w:pStyle w:val="Alishlah16affiliation"/>
              <w:ind w:left="0" w:firstLine="10"/>
              <w:rPr>
                <w:b/>
                <w:bCs/>
                <w:lang w:val="id-ID"/>
              </w:rPr>
            </w:pPr>
            <w:bookmarkStart w:id="0" w:name="_Hlk97159440"/>
            <w:r w:rsidRPr="00721F9F">
              <w:rPr>
                <w:b/>
                <w:bCs/>
                <w:lang w:val="id-ID"/>
              </w:rPr>
              <w:t>Corresponding Author</w:t>
            </w:r>
            <w:bookmarkEnd w:id="0"/>
            <w:r w:rsidRPr="00721F9F">
              <w:rPr>
                <w:b/>
                <w:bCs/>
                <w:lang w:val="id-ID"/>
              </w:rPr>
              <w:t>:</w:t>
            </w:r>
          </w:p>
          <w:p w14:paraId="5150BF9A" w14:textId="77777777" w:rsidR="00457015" w:rsidRPr="00721F9F" w:rsidRDefault="002B31FD" w:rsidP="00E45249">
            <w:pPr>
              <w:pStyle w:val="Alishlah2authorcorrespondence"/>
              <w:rPr>
                <w:lang w:val="id-ID"/>
              </w:rPr>
            </w:pPr>
            <w:r w:rsidRPr="00721F9F">
              <w:rPr>
                <w:lang w:val="id-ID"/>
              </w:rPr>
              <w:t>First name Last name</w:t>
            </w:r>
            <w:r w:rsidR="00457015" w:rsidRPr="00721F9F">
              <w:rPr>
                <w:lang w:val="id-ID"/>
              </w:rPr>
              <w:t xml:space="preserve"> </w:t>
            </w:r>
          </w:p>
          <w:p w14:paraId="21D35608" w14:textId="77777777" w:rsidR="0048254D" w:rsidRPr="00721F9F" w:rsidRDefault="002B31FD" w:rsidP="00E45249">
            <w:pPr>
              <w:pStyle w:val="Alishlah2authorcorrespondence"/>
              <w:rPr>
                <w:lang w:val="id-ID"/>
              </w:rPr>
            </w:pPr>
            <w:r w:rsidRPr="00721F9F">
              <w:rPr>
                <w:color w:val="auto"/>
                <w:lang w:val="id-ID"/>
              </w:rPr>
              <w:t>Affiliation 1; e-mail@e-mail.com</w:t>
            </w:r>
          </w:p>
        </w:tc>
      </w:tr>
    </w:tbl>
    <w:p w14:paraId="419B5409" w14:textId="77777777" w:rsidR="008E64A2" w:rsidRPr="00721F9F" w:rsidRDefault="0048254D" w:rsidP="00A10E86">
      <w:pPr>
        <w:pStyle w:val="Alishlah21heading1"/>
        <w:rPr>
          <w:lang w:val="id-ID"/>
        </w:rPr>
      </w:pPr>
      <w:r w:rsidRPr="00721F9F">
        <w:rPr>
          <w:lang w:val="id-ID"/>
        </w:rPr>
        <w:t>INTRODUCTION</w:t>
      </w:r>
    </w:p>
    <w:p w14:paraId="684AC98B" w14:textId="77777777" w:rsidR="009D5004" w:rsidRPr="00721F9F" w:rsidRDefault="009D5004" w:rsidP="005B5AEC">
      <w:pPr>
        <w:pStyle w:val="Alishlah31text"/>
        <w:rPr>
          <w:spacing w:val="-2"/>
          <w:lang w:val="id-ID"/>
        </w:rPr>
      </w:pPr>
      <w:r w:rsidRPr="00721F9F">
        <w:rPr>
          <w:spacing w:val="-2"/>
          <w:lang w:val="id-ID"/>
        </w:rPr>
        <w:t>Sexual harassment is a serious problem that needs special attention for the community. Judging from the Annual Record data (CATAHU) of National Commission on Women in 2023, there were 4,179 cases of sexual violence against women. Sexual violence includes various forms, such as rape, sexual intimidation, prostitution, and sexual harassment (Komnas Women, 2023). Of the various sexual violence, sexual harassment is one of the special parts that often occur in the community.</w:t>
      </w:r>
      <w:r w:rsidRPr="00721F9F">
        <w:rPr>
          <w:spacing w:val="-2"/>
          <w:lang w:val="id-ID"/>
        </w:rPr>
        <w:br/>
        <w:t xml:space="preserve">Furthermore, in 2022 - 2023 there were 632 cases of sexual harassment that afflicted women (Laoh, 2024). This figure increased compared to Komnas Women's data, which is 12.7% of the total 2,363 cases of </w:t>
      </w:r>
      <w:r w:rsidRPr="00721F9F">
        <w:rPr>
          <w:spacing w:val="-2"/>
          <w:lang w:val="id-ID"/>
        </w:rPr>
        <w:lastRenderedPageBreak/>
        <w:t>violence against women (Dihni, 2022). This increase shows the urgency to deal with the problem of sexual harassment seriously.</w:t>
      </w:r>
    </w:p>
    <w:p w14:paraId="2E14E0EB" w14:textId="77777777" w:rsidR="00673220" w:rsidRPr="00721F9F" w:rsidRDefault="009D5004" w:rsidP="00673220">
      <w:pPr>
        <w:pStyle w:val="Alishlah31text"/>
        <w:rPr>
          <w:spacing w:val="-2"/>
          <w:lang w:val="id-ID"/>
        </w:rPr>
      </w:pPr>
      <w:r w:rsidRPr="00721F9F">
        <w:rPr>
          <w:spacing w:val="-2"/>
          <w:lang w:val="id-ID"/>
        </w:rPr>
        <w:t>Sexual harassment can occur in various forms, both verbal through speech and non-verbal, which have the potential to have a negative impact on the physical, mental, and social health of the victim (Hardt, Sockl, Wamoyi &amp; Ranganathan, 2023). This act degrades women by treating them as sexual objects, such as sexual comments, inappropriate jokes, or even unwanted physical acts (Miranti &amp; Sudiana, 2021). In addition, unwanted forms of sexual attention often cause deep trauma to the victim (Rusyidi, Bintari, &amp; Wibowo, 2019</w:t>
      </w:r>
      <w:r w:rsidR="00C77ABE" w:rsidRPr="00721F9F">
        <w:rPr>
          <w:spacing w:val="-2"/>
          <w:lang w:val="id-ID"/>
        </w:rPr>
        <w:t>)</w:t>
      </w:r>
    </w:p>
    <w:p w14:paraId="0DD5D43B" w14:textId="77777777" w:rsidR="00673220" w:rsidRPr="00721F9F" w:rsidRDefault="00C77ABE" w:rsidP="00673220">
      <w:pPr>
        <w:pStyle w:val="Alishlah31text"/>
        <w:rPr>
          <w:rFonts w:ascii="Times New Roman" w:hAnsi="Times New Roman"/>
          <w:szCs w:val="20"/>
          <w:lang w:val="id-ID" w:eastAsia="en-ID"/>
        </w:rPr>
      </w:pPr>
      <w:r w:rsidRPr="00C77ABE">
        <w:rPr>
          <w:rFonts w:ascii="Times New Roman" w:hAnsi="Times New Roman"/>
          <w:szCs w:val="20"/>
          <w:lang w:val="id-ID" w:eastAsia="en-ID"/>
        </w:rPr>
        <w:t>Sexual harassment not only occurs in the general public, but also penetrates into the college environment. According to Ministry and cultural data, about 15% of sexual harassment occurs in educational settings, including schools and colleges. This fact shows that students are quite vulnerable to harassment. Universities themselves rank third as the location for sexual harassment, after the streets (33%) and public transportation (19%). (Fatmariza, Muchtar &amp; Dewi, 2024).</w:t>
      </w:r>
    </w:p>
    <w:p w14:paraId="79AD170E" w14:textId="77777777" w:rsidR="00673220" w:rsidRPr="00721F9F" w:rsidRDefault="00C77ABE" w:rsidP="00673220">
      <w:pPr>
        <w:pStyle w:val="Alishlah31text"/>
        <w:rPr>
          <w:rFonts w:ascii="Times New Roman" w:hAnsi="Times New Roman"/>
          <w:szCs w:val="20"/>
          <w:lang w:val="id-ID" w:eastAsia="en-ID"/>
        </w:rPr>
      </w:pPr>
      <w:r w:rsidRPr="00C77ABE">
        <w:rPr>
          <w:rFonts w:ascii="Times New Roman" w:hAnsi="Times New Roman"/>
          <w:szCs w:val="20"/>
          <w:lang w:val="id-ID" w:eastAsia="en-ID"/>
        </w:rPr>
        <w:t>Sexual harassment is verbal and non-verbal sexual behavior that has an impact on social and health consequences for individuals (Hardt, Stöckl, Wamoyi &amp; Ranganathan 2023). In addition, sexual harassment of women can also take the form of acts that demean women sexually, such as making them objects in jokes or comments nuanced sexual, displaying or spreading images of women as sex objects, using speech or body language that mocks physical appearance, body shape and sexual dress, other forms including staring with sexual or intense gaze (Miranti &amp; Sudiana, 2021).</w:t>
      </w:r>
    </w:p>
    <w:p w14:paraId="7BD62500" w14:textId="0D225895" w:rsidR="00C77ABE" w:rsidRPr="00721F9F" w:rsidRDefault="00C77ABE" w:rsidP="00673220">
      <w:pPr>
        <w:pStyle w:val="Alishlah31text"/>
        <w:rPr>
          <w:rFonts w:ascii="Times New Roman" w:hAnsi="Times New Roman"/>
          <w:szCs w:val="20"/>
          <w:lang w:val="id-ID" w:eastAsia="en-ID"/>
        </w:rPr>
      </w:pPr>
      <w:r w:rsidRPr="00C77ABE">
        <w:rPr>
          <w:rFonts w:ascii="Times New Roman" w:hAnsi="Times New Roman"/>
          <w:szCs w:val="20"/>
          <w:lang w:val="id-ID" w:eastAsia="en-ID"/>
        </w:rPr>
        <w:t>Unwanted sexual attention is a form of behavior that degrades women by making them sexual objects. The action is in the form of repeated efforts and accompanied by coercion to build romantic relationships, touching body parts without consent, sending photos and videos that contain pornographic elements or sexual nuances, and asking personal questions related to one's sexual life (Rendra &amp; Suardi, 2021; Rusyidi, Bintari &amp; Wibowo, 2019).</w:t>
      </w:r>
    </w:p>
    <w:p w14:paraId="324B0917" w14:textId="77777777" w:rsidR="009A0C87" w:rsidRPr="00721F9F" w:rsidRDefault="009A0C87" w:rsidP="00673220">
      <w:pPr>
        <w:pStyle w:val="Alishlah31text"/>
        <w:rPr>
          <w:spacing w:val="-2"/>
          <w:lang w:val="id-ID"/>
        </w:rPr>
      </w:pPr>
      <w:r w:rsidRPr="00721F9F">
        <w:rPr>
          <w:rFonts w:ascii="Segoe UI" w:hAnsi="Segoe UI" w:cs="Segoe UI"/>
          <w:szCs w:val="20"/>
          <w:lang w:val="id-ID"/>
        </w:rPr>
        <w:t xml:space="preserve">Sexual harassment is now also starting to spread in the college environment. Sexual harassment is </w:t>
      </w:r>
      <w:r w:rsidRPr="00721F9F">
        <w:rPr>
          <w:spacing w:val="-2"/>
          <w:lang w:val="id-ID"/>
        </w:rPr>
        <w:t>most often experienced by women aged 18-20 years (Guschke et al, 2019). Kemendikbud data reveals that the campus ranks third in the location of harassment, namely 33% of harassment on the streets, 19% of public transportation and 15% of school and college environments. From these data it can be seen that cases of sexual harassment in the college environment are quite a lot and there are still cases of sexual harassment that have not been revealed or hidden (Yulista Fatmariza, Muchtar &amp; Dewi, 2024).</w:t>
      </w:r>
    </w:p>
    <w:p w14:paraId="652B8BF2" w14:textId="03538705" w:rsidR="009A0C87" w:rsidRPr="00721F9F" w:rsidRDefault="009A0C87" w:rsidP="00673220">
      <w:pPr>
        <w:pStyle w:val="Alishlah31text"/>
        <w:rPr>
          <w:rFonts w:ascii="Segoe UI" w:hAnsi="Segoe UI" w:cs="Segoe UI"/>
          <w:szCs w:val="20"/>
          <w:lang w:val="id-ID"/>
        </w:rPr>
      </w:pPr>
      <w:r w:rsidRPr="00721F9F">
        <w:rPr>
          <w:spacing w:val="-2"/>
          <w:lang w:val="id-ID"/>
        </w:rPr>
        <w:t>The facts of sexual harassment cases against women in universities one of them occurred at the research site, the State University of Padang in December 2019. The perpetrator of sexual harassment was committed by a lecturer against the victim, namely a female student. The victim claimed to be sexually harassed in the campus toilet. But the victim only dared to report after being traumatized (CNN Indonesia, 2020). Campus action in handling the case is to dismiss the lecturer as</w:t>
      </w:r>
      <w:r w:rsidR="00116D51" w:rsidRPr="00721F9F">
        <w:rPr>
          <w:spacing w:val="-2"/>
          <w:lang w:val="id-ID"/>
        </w:rPr>
        <w:t xml:space="preserve"> </w:t>
      </w:r>
      <w:r w:rsidR="00116D51" w:rsidRPr="00721F9F">
        <w:rPr>
          <w:rFonts w:ascii="Segoe UI" w:hAnsi="Segoe UI" w:cs="Segoe UI"/>
          <w:szCs w:val="20"/>
          <w:lang w:val="id-ID"/>
        </w:rPr>
        <w:t>a firm action against the perpetrator and justice for the victim</w:t>
      </w:r>
      <w:r w:rsidR="00116D51" w:rsidRPr="00721F9F">
        <w:rPr>
          <w:rFonts w:ascii="Segoe UI" w:hAnsi="Segoe UI" w:cs="Segoe UI"/>
          <w:szCs w:val="20"/>
          <w:lang w:val="id-ID"/>
        </w:rPr>
        <w:t>.</w:t>
      </w:r>
    </w:p>
    <w:p w14:paraId="657176B1" w14:textId="77777777" w:rsidR="00116D51" w:rsidRPr="00721F9F" w:rsidRDefault="00116D51" w:rsidP="00116D51">
      <w:pPr>
        <w:spacing w:after="0" w:line="240" w:lineRule="auto"/>
        <w:rPr>
          <w:rFonts w:ascii="Times New Roman" w:eastAsia="Times New Roman" w:hAnsi="Times New Roman" w:cs="Times New Roman"/>
          <w:sz w:val="20"/>
          <w:szCs w:val="20"/>
          <w:lang w:val="id-ID" w:eastAsia="en-ID"/>
        </w:rPr>
      </w:pPr>
      <w:r w:rsidRPr="00116D51">
        <w:rPr>
          <w:rFonts w:ascii="Times New Roman" w:eastAsia="Times New Roman" w:hAnsi="Times New Roman" w:cs="Times New Roman"/>
          <w:sz w:val="20"/>
          <w:szCs w:val="20"/>
          <w:lang w:val="id-ID" w:eastAsia="en-ID"/>
        </w:rPr>
        <w:t xml:space="preserve">In addition, cases of sexual harassment also occurred in the city of Padang in November 2023, perpetrators of sexual harassment with sex robbery against dozens of underage women. After the examination turned out to be the perpetrator targeting his target who was riding a motorcycle using a mini skirt, tight clothes and a veil that does not cover the chest (Sindonews, 2023). </w:t>
      </w:r>
    </w:p>
    <w:p w14:paraId="72678AA0" w14:textId="06846302" w:rsidR="00116D51" w:rsidRPr="00116D51" w:rsidRDefault="00116D51" w:rsidP="00116D51">
      <w:pPr>
        <w:spacing w:after="0" w:line="240" w:lineRule="auto"/>
        <w:rPr>
          <w:rFonts w:ascii="Times New Roman" w:eastAsia="Times New Roman" w:hAnsi="Times New Roman" w:cs="Times New Roman"/>
          <w:sz w:val="20"/>
          <w:szCs w:val="20"/>
          <w:lang w:val="id-ID" w:eastAsia="en-ID"/>
        </w:rPr>
      </w:pPr>
      <w:r w:rsidRPr="00116D51">
        <w:rPr>
          <w:rFonts w:ascii="Times New Roman" w:eastAsia="Times New Roman" w:hAnsi="Times New Roman" w:cs="Times New Roman"/>
          <w:sz w:val="20"/>
          <w:szCs w:val="20"/>
          <w:lang w:val="id-ID" w:eastAsia="en-ID"/>
        </w:rPr>
        <w:t>The case makes public concerns, so if not handled wisely it will have an impact on deviant behavior, social violence or other social diseases.</w:t>
      </w:r>
      <w:r w:rsidR="00E53371" w:rsidRPr="00721F9F">
        <w:rPr>
          <w:rFonts w:ascii="Times New Roman" w:eastAsia="Times New Roman" w:hAnsi="Times New Roman" w:cs="Times New Roman"/>
          <w:sz w:val="20"/>
          <w:szCs w:val="20"/>
          <w:lang w:val="id-ID" w:eastAsia="en-ID"/>
        </w:rPr>
        <w:t xml:space="preserve"> </w:t>
      </w:r>
      <w:r w:rsidRPr="00116D51">
        <w:rPr>
          <w:rFonts w:ascii="Times New Roman" w:eastAsia="Times New Roman" w:hAnsi="Times New Roman" w:cs="Times New Roman"/>
          <w:sz w:val="20"/>
          <w:szCs w:val="20"/>
          <w:lang w:val="id-ID" w:eastAsia="en-ID"/>
        </w:rPr>
        <w:t>However, although sexual harassment is rampant in the community, but reporting on such acts is still low, this is due to fear of retaliation from sexual offenders (Aguilar et al., 2020). Therefore, women need to have firmness and courage to face the situation of sexual harassment. The ability to be firm and brave, refusing without offending others is called assertive behavior (Al Atikho, Ramli and Wahyuni, 2023).</w:t>
      </w:r>
    </w:p>
    <w:p w14:paraId="09FE6BA9" w14:textId="77777777" w:rsidR="00DE7E0A" w:rsidRPr="00721F9F" w:rsidRDefault="00D13E4C" w:rsidP="00673220">
      <w:pPr>
        <w:pStyle w:val="Alishlah31text"/>
        <w:rPr>
          <w:rFonts w:ascii="Times New Roman" w:hAnsi="Times New Roman"/>
          <w:lang w:val="id-ID"/>
        </w:rPr>
      </w:pPr>
      <w:r w:rsidRPr="00721F9F">
        <w:rPr>
          <w:rFonts w:ascii="Times New Roman" w:hAnsi="Times New Roman"/>
          <w:lang w:val="id-ID"/>
        </w:rPr>
        <w:t>Research Ardaningrum &amp; Savira (2022) found that there are 37,% of students have low assertive behavior, this is because the individual feels ashamed to express his feelings and thoughts to others for fear of offending others. The need for assertive behavior that individuals have, helps them to stand firm, know what they want but do not impose their desires including sexual matters (Rakhmawati, Maulida &amp; Yuliejantiningsih, 2022).</w:t>
      </w:r>
      <w:r w:rsidRPr="00721F9F">
        <w:rPr>
          <w:rFonts w:ascii="Times New Roman" w:hAnsi="Times New Roman"/>
          <w:lang w:val="id-ID"/>
        </w:rPr>
        <w:cr/>
        <w:t xml:space="preserve">So that students who have assertive behavior tend to have the ability to do and act and be confident (Sa'adah, 2023). The more students with these skills, the easier it is to prevent sexual harassment. Aryanto, Arumsari &amp; Sulistiana (2021) assertive behavior possessed will facilitate individuals in establishing good relationships with </w:t>
      </w:r>
      <w:r w:rsidRPr="00721F9F">
        <w:rPr>
          <w:rFonts w:ascii="Times New Roman" w:hAnsi="Times New Roman"/>
          <w:lang w:val="id-ID"/>
        </w:rPr>
        <w:lastRenderedPageBreak/>
        <w:t>the environment, because individuals can take attitudes that do not harm others through verbal and non-verbal communication skills. This attitude can encourage individuals to be assertive, against actions that harm themselves but do not offend others, such as rejecting deviant behavior from environmental influences (Iranty et al., 2024).</w:t>
      </w:r>
    </w:p>
    <w:p w14:paraId="2F613E1A" w14:textId="77777777" w:rsidR="0081315D" w:rsidRPr="00721F9F" w:rsidRDefault="00D13E4C" w:rsidP="00DE7E0A">
      <w:pPr>
        <w:pStyle w:val="Alishlah31text"/>
        <w:ind w:firstLine="0"/>
        <w:rPr>
          <w:rFonts w:ascii="Times New Roman" w:hAnsi="Times New Roman"/>
          <w:lang w:val="id-ID"/>
        </w:rPr>
      </w:pPr>
      <w:r w:rsidRPr="00721F9F">
        <w:rPr>
          <w:rFonts w:ascii="Times New Roman" w:hAnsi="Times New Roman"/>
          <w:lang w:val="id-ID"/>
        </w:rPr>
        <w:t>Causes of falling into negative things such as free sex, sexual harassment, brawls and other negative behavior.</w:t>
      </w:r>
    </w:p>
    <w:p w14:paraId="0700A2A8" w14:textId="3F580915" w:rsidR="00DE7E0A" w:rsidRPr="00721F9F" w:rsidRDefault="00DE7E0A" w:rsidP="0081315D">
      <w:pPr>
        <w:pStyle w:val="Alishlah31text"/>
        <w:rPr>
          <w:rFonts w:ascii="Times New Roman" w:hAnsi="Times New Roman"/>
          <w:lang w:val="id-ID"/>
        </w:rPr>
      </w:pPr>
      <w:r w:rsidRPr="00721F9F">
        <w:rPr>
          <w:rFonts w:ascii="Times New Roman" w:hAnsi="Times New Roman"/>
          <w:lang w:val="id-ID"/>
        </w:rPr>
        <w:t>Alberti &amp; Emmons (2017) states that assertiveness or often called assertive behavior is the ability of individuals to act on the basis of their own interests and needs without being overwhelmed with anxiety. This behavior allows a person to express feelings in an honest, calm, and comfortable manner (Ampuno, 2020). As well as, using their rights without harming others. Thus, assertive behavior becomes important in the prevention of sexual harassment, especially for female students, because it encourages courage to set limits and say "no" to unwanted actions (Rakhmawati et al., 2022).</w:t>
      </w:r>
      <w:r w:rsidRPr="00721F9F">
        <w:rPr>
          <w:rFonts w:ascii="Times New Roman" w:hAnsi="Times New Roman"/>
          <w:lang w:val="id-ID"/>
        </w:rPr>
        <w:cr/>
        <w:t>One of the factors that influence individual assertive behavior is culture (Zakiya &amp; Hariyadi, 2022). Culture is a</w:t>
      </w:r>
    </w:p>
    <w:p w14:paraId="406CB0DE" w14:textId="77777777" w:rsidR="00AB386C" w:rsidRPr="00721F9F" w:rsidRDefault="0081315D" w:rsidP="00AB386C">
      <w:pPr>
        <w:pStyle w:val="Alishlah31text"/>
        <w:rPr>
          <w:rFonts w:ascii="Times New Roman" w:hAnsi="Times New Roman"/>
          <w:lang w:val="id-ID"/>
        </w:rPr>
      </w:pPr>
      <w:r w:rsidRPr="00721F9F">
        <w:rPr>
          <w:rFonts w:ascii="Times New Roman" w:hAnsi="Times New Roman"/>
          <w:lang w:val="id-ID"/>
        </w:rPr>
        <w:t>C</w:t>
      </w:r>
      <w:r w:rsidR="00DE7E0A" w:rsidRPr="00721F9F">
        <w:rPr>
          <w:rFonts w:ascii="Times New Roman" w:hAnsi="Times New Roman"/>
          <w:lang w:val="id-ID"/>
        </w:rPr>
        <w:t>omplex understanding of a nation, which includes knowledge, belief, art, moral law and customs (Rusfandi, 2024). The province of West Sumatra itself has the characteristics of Minangkabau customs and culture based on the custom basandi syara, "prasai" basandi kitabullah which means customs based on the sharia of Islam and based on the Qur'an &amp; Hadith (Alfarid et al., 2022; Nia et al., 2025).</w:t>
      </w:r>
      <w:r w:rsidR="00DE7E0A" w:rsidRPr="00721F9F">
        <w:rPr>
          <w:rFonts w:ascii="Times New Roman" w:hAnsi="Times New Roman"/>
          <w:lang w:val="id-ID"/>
        </w:rPr>
        <w:cr/>
        <w:t xml:space="preserve">Masyarakat Minangkabau memiliki kedudukan yang sangatlah dihormati khususnya bagi perempuan, sehingga perempuan diharuskan memiliki nilai-nilai etika sebagai tuntutan moral dalam  berperilaku sehingga memiliki kepribadian yang baik (Ariani, 2015). </w:t>
      </w:r>
    </w:p>
    <w:p w14:paraId="198B498E" w14:textId="4D764D97" w:rsidR="00AB386C" w:rsidRPr="00721F9F" w:rsidRDefault="00AB386C" w:rsidP="00AB386C">
      <w:pPr>
        <w:pStyle w:val="Alishlah31text"/>
        <w:rPr>
          <w:spacing w:val="-2"/>
          <w:lang w:val="id-ID"/>
        </w:rPr>
      </w:pPr>
      <w:r w:rsidRPr="00721F9F">
        <w:rPr>
          <w:spacing w:val="-2"/>
          <w:lang w:val="id-ID"/>
        </w:rPr>
        <w:t>On the other hand, the high position of women with Minang lineage is followed by high rules (Dilova et al., 2022). In order for local cultural values to be maintained, the need for the community, especially women students, in overcoming cultural values rooted in community life.</w:t>
      </w:r>
      <w:r w:rsidRPr="00721F9F">
        <w:rPr>
          <w:spacing w:val="-2"/>
          <w:lang w:val="id-ID"/>
        </w:rPr>
        <w:cr/>
        <w:t>Changes in the times and the development of global trends also affect the behavior of Minangkabau women in the present (Fauzan et al., 2025). Values that are considered modern have slowly begun to replace or shift traditional values that were previously upheld in society (Morelent, Isnanda &amp; Gusneti, 2022). This shift often raises tensions between local cultural identities with external cultural influences that are considered contemporary (Syakhsiyyah et al., 2025).</w:t>
      </w:r>
    </w:p>
    <w:p w14:paraId="2D889F5F" w14:textId="1932D085" w:rsidR="00AB386C" w:rsidRPr="00721F9F" w:rsidRDefault="00AB386C" w:rsidP="00AB386C">
      <w:pPr>
        <w:pStyle w:val="Alishlah31text"/>
        <w:rPr>
          <w:rFonts w:ascii="Times New Roman" w:hAnsi="Times New Roman"/>
          <w:lang w:val="id-ID"/>
        </w:rPr>
      </w:pPr>
      <w:r w:rsidRPr="00721F9F">
        <w:rPr>
          <w:rFonts w:ascii="Times New Roman" w:hAnsi="Times New Roman"/>
          <w:lang w:val="id-ID"/>
        </w:rPr>
        <w:t>Values and rules that can be understood by Minangkabau women, one of which is the discordant duo baleh. Reza (2022) suggests that the discordant duo baleh is one of the values that can not be separated in the life of the Minangkabau community, so the discordant duo baleh have a strong relationship to lead a better life in each society. Mitia &amp; Charles (2023) suggests that discordant duo baleh is a deviant behavior that someone does against the rules in Minangkabau.</w:t>
      </w:r>
      <w:r w:rsidRPr="00721F9F">
        <w:rPr>
          <w:rFonts w:ascii="Times New Roman" w:hAnsi="Times New Roman"/>
          <w:lang w:val="id-ID"/>
        </w:rPr>
        <w:cr/>
        <w:t>In addition, Ratmil (2023) explained that the discordant duo baleh as a rule in Minangkabau which contains about manners and manners values contained in the twelve rules and prohibitions that must be obeyed by every Minangkabau woman, such as discordant duak, discordant tagak, discordant street, discordant kato, discordant caliak, discordant meal, discordant use, discordant karajo, discordant tanyo, discordant jawek, discordant bagaua, discordant kurenah.</w:t>
      </w:r>
      <w:r w:rsidRPr="00721F9F">
        <w:rPr>
          <w:rFonts w:ascii="Times New Roman" w:hAnsi="Times New Roman"/>
          <w:lang w:val="id-ID"/>
        </w:rPr>
        <w:cr/>
      </w:r>
    </w:p>
    <w:p w14:paraId="61C55C0C" w14:textId="77777777" w:rsidR="002C5180" w:rsidRPr="00721F9F" w:rsidRDefault="002C5180" w:rsidP="00AB386C">
      <w:pPr>
        <w:pStyle w:val="Alishlah31text"/>
        <w:rPr>
          <w:rFonts w:ascii="Times New Roman" w:hAnsi="Times New Roman"/>
          <w:lang w:val="id-ID"/>
        </w:rPr>
      </w:pPr>
      <w:r w:rsidRPr="00721F9F">
        <w:rPr>
          <w:rFonts w:ascii="Times New Roman" w:hAnsi="Times New Roman"/>
          <w:lang w:val="id-ID"/>
        </w:rPr>
        <w:t>To prevent the occurrence of sexual harassment needs to be done various efforts aimed at reducing and overcoming deviant behavior towards women (Morelent, Isnanda &amp; Gusneti, 2022). In the context of Minangkabau culture, there are two baleh discordant concepts that serve as customary rules in maintaining the dignity and honor of Minangkabau women, while maintaining the keistimewaan-keistimewaan given to Minangkabau women (Nurfadilah et al., 2024).</w:t>
      </w:r>
    </w:p>
    <w:p w14:paraId="156F4308" w14:textId="77777777" w:rsidR="00544318" w:rsidRPr="00721F9F" w:rsidRDefault="002C5180" w:rsidP="00544318">
      <w:pPr>
        <w:pStyle w:val="Alishlah31text"/>
        <w:rPr>
          <w:rFonts w:ascii="Times New Roman" w:hAnsi="Times New Roman"/>
          <w:lang w:val="id-ID"/>
        </w:rPr>
      </w:pPr>
      <w:r w:rsidRPr="00721F9F">
        <w:rPr>
          <w:rFonts w:ascii="Times New Roman" w:hAnsi="Times New Roman"/>
          <w:lang w:val="id-ID"/>
        </w:rPr>
        <w:t>Prevention of sexual harassment can be done through guidance and counseling services (Fauziah et al., 2024). One form of effective service in this effort is group guidance services. In line with that, the study of Nafis, Hotifah &amp; Atmoko (2021) revealed that group guidance services are able to improve individual understanding of sexual harassment while serving as a form of prevention. In addition, these services encourage individuals to develop perceptions, feelings, and attitudes that support the realization of more effective behavior in social interactions (Tobing, Karneli, Nurfarhanah &amp; Hariko, 2023).</w:t>
      </w:r>
    </w:p>
    <w:p w14:paraId="1103C008" w14:textId="6B0C76D4" w:rsidR="00C77ABE" w:rsidRPr="00721F9F" w:rsidRDefault="00544318" w:rsidP="00544318">
      <w:pPr>
        <w:pStyle w:val="Alishlah31text"/>
        <w:rPr>
          <w:rFonts w:ascii="Times New Roman" w:hAnsi="Times New Roman"/>
          <w:lang w:val="id-ID"/>
        </w:rPr>
      </w:pPr>
      <w:r w:rsidRPr="00721F9F">
        <w:rPr>
          <w:rFonts w:ascii="Times New Roman" w:hAnsi="Times New Roman"/>
          <w:lang w:val="id-ID"/>
        </w:rPr>
        <w:t>Through group guidance services, individuals are expected to be able to develop the ability to behave assertively in order to be an effort to prevent sexual harassment and can behave appropriately or not contribute to the duo baleh in their social relationships that have the potential for sexual harassment.</w:t>
      </w:r>
    </w:p>
    <w:p w14:paraId="1AE5A69D" w14:textId="77777777" w:rsidR="005B5AEC" w:rsidRPr="00721F9F" w:rsidRDefault="005B5AEC" w:rsidP="005B5AEC">
      <w:pPr>
        <w:pStyle w:val="Alishlah21heading1"/>
        <w:rPr>
          <w:rFonts w:eastAsia="Arial"/>
          <w:lang w:val="id-ID"/>
        </w:rPr>
      </w:pPr>
      <w:r w:rsidRPr="00721F9F">
        <w:rPr>
          <w:rFonts w:eastAsia="Arial"/>
          <w:lang w:val="id-ID"/>
        </w:rPr>
        <w:lastRenderedPageBreak/>
        <w:t xml:space="preserve">METHODS </w:t>
      </w:r>
    </w:p>
    <w:p w14:paraId="143EB11C" w14:textId="4DFF976F" w:rsidR="005E192A" w:rsidRPr="00721F9F" w:rsidRDefault="001E48E8" w:rsidP="005E192A">
      <w:pPr>
        <w:pStyle w:val="Alishlah31text"/>
        <w:rPr>
          <w:rFonts w:ascii="Times New Roman" w:hAnsi="Times New Roman"/>
          <w:lang w:val="id-ID"/>
        </w:rPr>
      </w:pPr>
      <w:r w:rsidRPr="00721F9F">
        <w:rPr>
          <w:rFonts w:eastAsia="SimSun"/>
          <w:spacing w:val="-2"/>
          <w:lang w:val="id-ID" w:eastAsia="zh-CN"/>
        </w:rPr>
        <w:t xml:space="preserve">This study </w:t>
      </w:r>
      <w:r w:rsidR="005E192A" w:rsidRPr="00721F9F">
        <w:rPr>
          <w:rFonts w:ascii="Times New Roman" w:hAnsi="Times New Roman"/>
          <w:lang w:val="id-ID"/>
        </w:rPr>
        <w:t>used a quantitative method with a type of quasi esperiment design that uses pretest-posttest control group design. The population of this study consisted of 84 female students with Minangkabau ethnic background with 20 taken through Simple Random Sampling. The sample was divided into two groups, namely the experimental group and the control group, each amounting to 10 people. The instrument used in data collection was a questionnaire Likert scale model to measure the level of assertive behavior. Data analysis was performed using Wilcoxon Signed Rank Test to see changes in the group and Maan-Whitney Test to compare between the experimental group and the control group.</w:t>
      </w:r>
    </w:p>
    <w:p w14:paraId="60438766" w14:textId="77777777" w:rsidR="005B5AEC" w:rsidRPr="00721F9F" w:rsidRDefault="005B5AEC" w:rsidP="005B5AEC">
      <w:pPr>
        <w:pStyle w:val="Alishlah21heading1"/>
        <w:rPr>
          <w:rFonts w:eastAsia="Arial"/>
          <w:lang w:val="id-ID"/>
        </w:rPr>
      </w:pPr>
      <w:r w:rsidRPr="00721F9F">
        <w:rPr>
          <w:rFonts w:eastAsia="Arial"/>
          <w:lang w:val="id-ID"/>
        </w:rPr>
        <w:t>FINDINGS AND DISCUSSION</w:t>
      </w:r>
    </w:p>
    <w:p w14:paraId="41F80D55" w14:textId="4BB43131" w:rsidR="00171FEA" w:rsidRPr="000F5D2E" w:rsidRDefault="00E22D4C" w:rsidP="00171FEA">
      <w:pPr>
        <w:pStyle w:val="Alishlah31text"/>
        <w:rPr>
          <w:spacing w:val="-2"/>
        </w:rPr>
      </w:pPr>
      <w:r w:rsidRPr="000F5D2E">
        <w:rPr>
          <w:spacing w:val="-2"/>
        </w:rPr>
        <w:t xml:space="preserve">This </w:t>
      </w:r>
      <w:r w:rsidR="00171FEA" w:rsidRPr="000F5D2E">
        <w:rPr>
          <w:spacing w:val="-2"/>
        </w:rPr>
        <w:t>research was conducted at the Dance and Music Drama Art Study Program, Faculty of Language and Art, State University of Padang, by dividing into two groups, namely the experimental group and the control group. The main focus of this study was to determine the effectiveness of group guidance using discordant duo baleh to improve the assertive behavior of Minangkabau women in preventing sexual harassment. The data obtained were pretest and posttest results related to assertive behavior of female students. Descriptive data obtained from each research group, namely the experimental group and the control group aims to provide an overview of the results of pretest and posttest obtained before and after treatment is given. Furthermore, researchers present findings related to the effectiveness of group guidance using discordant duo baleh to improve assertive behavior of Minangkabau women in preventing sexual harassment.</w:t>
      </w:r>
    </w:p>
    <w:p w14:paraId="1A20F3F5" w14:textId="30F2E1AB" w:rsidR="002D4EAA" w:rsidRPr="00721F9F" w:rsidRDefault="002D4EAA" w:rsidP="00171FEA">
      <w:pPr>
        <w:pStyle w:val="Alishlah31text"/>
        <w:rPr>
          <w:rFonts w:eastAsia="Arial"/>
          <w:lang w:val="id-ID"/>
        </w:rPr>
      </w:pPr>
      <w:r w:rsidRPr="00721F9F">
        <w:rPr>
          <w:rFonts w:eastAsia="Arial"/>
          <w:lang w:val="id-ID"/>
        </w:rPr>
        <w:t>Table 1. Pretest and Posttest Results of Assertive Behavior of Minangkabau Women in Preventing Sexual Harassment</w:t>
      </w:r>
    </w:p>
    <w:tbl>
      <w:tblPr>
        <w:tblStyle w:val="TableGrid"/>
        <w:tblW w:w="8648" w:type="dxa"/>
        <w:tblInd w:w="-5" w:type="dxa"/>
        <w:tblLayout w:type="fixed"/>
        <w:tblCellMar>
          <w:top w:w="15" w:type="dxa"/>
          <w:left w:w="15" w:type="dxa"/>
          <w:bottom w:w="15" w:type="dxa"/>
          <w:right w:w="15" w:type="dxa"/>
        </w:tblCellMar>
        <w:tblLook w:val="04A0" w:firstRow="1" w:lastRow="0" w:firstColumn="1" w:lastColumn="0" w:noHBand="0" w:noVBand="1"/>
      </w:tblPr>
      <w:tblGrid>
        <w:gridCol w:w="2411"/>
        <w:gridCol w:w="993"/>
        <w:gridCol w:w="567"/>
        <w:gridCol w:w="567"/>
        <w:gridCol w:w="567"/>
        <w:gridCol w:w="708"/>
        <w:gridCol w:w="709"/>
        <w:gridCol w:w="709"/>
        <w:gridCol w:w="709"/>
        <w:gridCol w:w="708"/>
      </w:tblGrid>
      <w:tr w:rsidR="002D4EAA" w:rsidRPr="00721F9F" w14:paraId="3A899D68" w14:textId="77777777" w:rsidTr="00205FC6">
        <w:tc>
          <w:tcPr>
            <w:tcW w:w="2411" w:type="dxa"/>
            <w:vMerge w:val="restart"/>
            <w:hideMark/>
          </w:tcPr>
          <w:p w14:paraId="22A591A5" w14:textId="045DBC45" w:rsidR="002D4EAA" w:rsidRPr="00721F9F" w:rsidRDefault="00E355DD"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Category</w:t>
            </w:r>
          </w:p>
        </w:tc>
        <w:tc>
          <w:tcPr>
            <w:tcW w:w="993" w:type="dxa"/>
            <w:vMerge w:val="restart"/>
            <w:tcBorders>
              <w:left w:val="nil"/>
            </w:tcBorders>
            <w:hideMark/>
          </w:tcPr>
          <w:p w14:paraId="44D1285B" w14:textId="0A2B24DE"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Interval</w:t>
            </w:r>
            <w:r w:rsidR="00A02E0B" w:rsidRPr="00721F9F">
              <w:rPr>
                <w:rFonts w:ascii="Times New Roman" w:hAnsi="Times New Roman" w:cs="Times New Roman"/>
                <w:b/>
                <w:bCs/>
                <w:sz w:val="24"/>
                <w:szCs w:val="24"/>
                <w:lang w:val="id-ID"/>
              </w:rPr>
              <w:t>s</w:t>
            </w:r>
          </w:p>
        </w:tc>
        <w:tc>
          <w:tcPr>
            <w:tcW w:w="2409" w:type="dxa"/>
            <w:gridSpan w:val="4"/>
            <w:tcBorders>
              <w:left w:val="nil"/>
            </w:tcBorders>
            <w:hideMark/>
          </w:tcPr>
          <w:p w14:paraId="2705F47D" w14:textId="59651679" w:rsidR="002D4EAA" w:rsidRPr="00721F9F" w:rsidRDefault="00A02E0B"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Experimental Group</w:t>
            </w:r>
          </w:p>
        </w:tc>
        <w:tc>
          <w:tcPr>
            <w:tcW w:w="2835" w:type="dxa"/>
            <w:gridSpan w:val="4"/>
            <w:tcBorders>
              <w:left w:val="nil"/>
            </w:tcBorders>
          </w:tcPr>
          <w:p w14:paraId="2A81398D" w14:textId="6A84C683" w:rsidR="002D4EAA" w:rsidRPr="00721F9F" w:rsidRDefault="00A82CDD" w:rsidP="00205FC6">
            <w:pPr>
              <w:adjustRightInd w:val="0"/>
              <w:spacing w:before="100" w:beforeAutospacing="1" w:after="100" w:afterAutospacing="1" w:line="273" w:lineRule="auto"/>
              <w:jc w:val="center"/>
              <w:rPr>
                <w:rFonts w:ascii="Times New Roman" w:hAnsi="Times New Roman" w:cs="Times New Roman"/>
                <w:b/>
                <w:bCs/>
                <w:sz w:val="24"/>
                <w:szCs w:val="24"/>
                <w:lang w:val="id-ID"/>
              </w:rPr>
            </w:pPr>
            <w:r w:rsidRPr="00721F9F">
              <w:rPr>
                <w:rFonts w:ascii="Times New Roman" w:hAnsi="Times New Roman" w:cs="Times New Roman"/>
                <w:b/>
                <w:bCs/>
                <w:sz w:val="24"/>
                <w:szCs w:val="24"/>
                <w:lang w:val="id-ID"/>
              </w:rPr>
              <w:t>Control Group</w:t>
            </w:r>
          </w:p>
        </w:tc>
      </w:tr>
      <w:tr w:rsidR="002D4EAA" w:rsidRPr="00721F9F" w14:paraId="3A515CDE" w14:textId="77777777" w:rsidTr="00205FC6">
        <w:tc>
          <w:tcPr>
            <w:tcW w:w="2411" w:type="dxa"/>
            <w:vMerge/>
            <w:vAlign w:val="center"/>
            <w:hideMark/>
          </w:tcPr>
          <w:p w14:paraId="4C6867B0" w14:textId="77777777" w:rsidR="002D4EAA" w:rsidRPr="00721F9F" w:rsidRDefault="002D4EAA" w:rsidP="00205FC6">
            <w:pPr>
              <w:jc w:val="center"/>
              <w:rPr>
                <w:rFonts w:ascii="Times New Roman" w:eastAsia="Calibri" w:hAnsi="Times New Roman" w:cs="Times New Roman"/>
                <w:b/>
                <w:bCs/>
                <w:color w:val="000000"/>
                <w:sz w:val="24"/>
                <w:szCs w:val="24"/>
                <w:lang w:val="id-ID"/>
              </w:rPr>
            </w:pPr>
          </w:p>
        </w:tc>
        <w:tc>
          <w:tcPr>
            <w:tcW w:w="993" w:type="dxa"/>
            <w:vMerge/>
            <w:tcBorders>
              <w:left w:val="nil"/>
            </w:tcBorders>
            <w:vAlign w:val="center"/>
            <w:hideMark/>
          </w:tcPr>
          <w:p w14:paraId="5C5E9AA9" w14:textId="77777777" w:rsidR="002D4EAA" w:rsidRPr="00721F9F" w:rsidRDefault="002D4EAA" w:rsidP="00205FC6">
            <w:pPr>
              <w:jc w:val="center"/>
              <w:rPr>
                <w:rFonts w:ascii="Times New Roman" w:eastAsia="Calibri" w:hAnsi="Times New Roman" w:cs="Times New Roman"/>
                <w:b/>
                <w:bCs/>
                <w:color w:val="000000"/>
                <w:sz w:val="24"/>
                <w:szCs w:val="24"/>
                <w:lang w:val="id-ID"/>
              </w:rPr>
            </w:pPr>
          </w:p>
        </w:tc>
        <w:tc>
          <w:tcPr>
            <w:tcW w:w="1134" w:type="dxa"/>
            <w:gridSpan w:val="2"/>
            <w:tcBorders>
              <w:top w:val="nil"/>
              <w:left w:val="nil"/>
            </w:tcBorders>
            <w:hideMark/>
          </w:tcPr>
          <w:p w14:paraId="3460296D"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i/>
                <w:color w:val="000000"/>
                <w:sz w:val="24"/>
                <w:szCs w:val="24"/>
                <w:lang w:val="id-ID"/>
              </w:rPr>
            </w:pPr>
            <w:r w:rsidRPr="00721F9F">
              <w:rPr>
                <w:rFonts w:ascii="Times New Roman" w:hAnsi="Times New Roman" w:cs="Times New Roman"/>
                <w:b/>
                <w:bCs/>
                <w:i/>
                <w:sz w:val="24"/>
                <w:szCs w:val="24"/>
                <w:lang w:val="id-ID"/>
              </w:rPr>
              <w:t>Pretest</w:t>
            </w:r>
          </w:p>
        </w:tc>
        <w:tc>
          <w:tcPr>
            <w:tcW w:w="1275" w:type="dxa"/>
            <w:gridSpan w:val="2"/>
            <w:tcBorders>
              <w:left w:val="nil"/>
            </w:tcBorders>
            <w:hideMark/>
          </w:tcPr>
          <w:p w14:paraId="682200E1"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i/>
                <w:sz w:val="24"/>
                <w:szCs w:val="24"/>
                <w:lang w:val="id-ID"/>
              </w:rPr>
              <w:t>Posttest</w:t>
            </w:r>
          </w:p>
        </w:tc>
        <w:tc>
          <w:tcPr>
            <w:tcW w:w="1418" w:type="dxa"/>
            <w:gridSpan w:val="2"/>
            <w:tcBorders>
              <w:left w:val="nil"/>
            </w:tcBorders>
          </w:tcPr>
          <w:p w14:paraId="7B88A01C"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i/>
                <w:color w:val="000000"/>
                <w:sz w:val="24"/>
                <w:szCs w:val="24"/>
                <w:lang w:val="id-ID"/>
              </w:rPr>
            </w:pPr>
            <w:r w:rsidRPr="00721F9F">
              <w:rPr>
                <w:rFonts w:ascii="Times New Roman" w:hAnsi="Times New Roman" w:cs="Times New Roman"/>
                <w:b/>
                <w:bCs/>
                <w:i/>
                <w:sz w:val="24"/>
                <w:szCs w:val="24"/>
                <w:lang w:val="id-ID"/>
              </w:rPr>
              <w:t>Pretest</w:t>
            </w:r>
          </w:p>
        </w:tc>
        <w:tc>
          <w:tcPr>
            <w:tcW w:w="1417" w:type="dxa"/>
            <w:gridSpan w:val="2"/>
            <w:tcBorders>
              <w:left w:val="nil"/>
            </w:tcBorders>
          </w:tcPr>
          <w:p w14:paraId="43735359"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i/>
                <w:sz w:val="24"/>
                <w:szCs w:val="24"/>
                <w:lang w:val="id-ID"/>
              </w:rPr>
              <w:t>Posttest</w:t>
            </w:r>
          </w:p>
        </w:tc>
      </w:tr>
      <w:tr w:rsidR="002D4EAA" w:rsidRPr="00721F9F" w14:paraId="103D03D9" w14:textId="77777777" w:rsidTr="00205FC6">
        <w:tc>
          <w:tcPr>
            <w:tcW w:w="2411" w:type="dxa"/>
            <w:vMerge/>
            <w:vAlign w:val="center"/>
            <w:hideMark/>
          </w:tcPr>
          <w:p w14:paraId="5E647AD3" w14:textId="77777777" w:rsidR="002D4EAA" w:rsidRPr="00721F9F" w:rsidRDefault="002D4EAA" w:rsidP="00205FC6">
            <w:pPr>
              <w:jc w:val="center"/>
              <w:rPr>
                <w:rFonts w:ascii="Times New Roman" w:eastAsia="Calibri" w:hAnsi="Times New Roman" w:cs="Times New Roman"/>
                <w:b/>
                <w:bCs/>
                <w:color w:val="000000"/>
                <w:sz w:val="24"/>
                <w:szCs w:val="24"/>
                <w:lang w:val="id-ID"/>
              </w:rPr>
            </w:pPr>
          </w:p>
        </w:tc>
        <w:tc>
          <w:tcPr>
            <w:tcW w:w="993" w:type="dxa"/>
            <w:vMerge/>
            <w:tcBorders>
              <w:left w:val="nil"/>
            </w:tcBorders>
            <w:vAlign w:val="center"/>
            <w:hideMark/>
          </w:tcPr>
          <w:p w14:paraId="4FC8EA1C" w14:textId="77777777" w:rsidR="002D4EAA" w:rsidRPr="00721F9F" w:rsidRDefault="002D4EAA" w:rsidP="00205FC6">
            <w:pPr>
              <w:jc w:val="center"/>
              <w:rPr>
                <w:rFonts w:ascii="Times New Roman" w:eastAsia="Calibri" w:hAnsi="Times New Roman" w:cs="Times New Roman"/>
                <w:b/>
                <w:bCs/>
                <w:color w:val="000000"/>
                <w:sz w:val="24"/>
                <w:szCs w:val="24"/>
                <w:lang w:val="id-ID"/>
              </w:rPr>
            </w:pPr>
          </w:p>
        </w:tc>
        <w:tc>
          <w:tcPr>
            <w:tcW w:w="567" w:type="dxa"/>
            <w:tcBorders>
              <w:top w:val="nil"/>
              <w:left w:val="nil"/>
            </w:tcBorders>
            <w:vAlign w:val="center"/>
            <w:hideMark/>
          </w:tcPr>
          <w:p w14:paraId="69CA1EDE"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f</w:t>
            </w:r>
          </w:p>
        </w:tc>
        <w:tc>
          <w:tcPr>
            <w:tcW w:w="567" w:type="dxa"/>
            <w:tcBorders>
              <w:top w:val="nil"/>
              <w:left w:val="nil"/>
            </w:tcBorders>
            <w:vAlign w:val="center"/>
            <w:hideMark/>
          </w:tcPr>
          <w:p w14:paraId="0A0F1DAB"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w:t>
            </w:r>
          </w:p>
        </w:tc>
        <w:tc>
          <w:tcPr>
            <w:tcW w:w="567" w:type="dxa"/>
            <w:tcBorders>
              <w:left w:val="nil"/>
            </w:tcBorders>
            <w:vAlign w:val="center"/>
            <w:hideMark/>
          </w:tcPr>
          <w:p w14:paraId="00F1D5A2"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f</w:t>
            </w:r>
          </w:p>
        </w:tc>
        <w:tc>
          <w:tcPr>
            <w:tcW w:w="708" w:type="dxa"/>
            <w:tcBorders>
              <w:left w:val="nil"/>
            </w:tcBorders>
            <w:vAlign w:val="center"/>
            <w:hideMark/>
          </w:tcPr>
          <w:p w14:paraId="589D5748"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w:t>
            </w:r>
          </w:p>
        </w:tc>
        <w:tc>
          <w:tcPr>
            <w:tcW w:w="709" w:type="dxa"/>
            <w:tcBorders>
              <w:left w:val="nil"/>
            </w:tcBorders>
            <w:vAlign w:val="center"/>
          </w:tcPr>
          <w:p w14:paraId="272A3E2D"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f</w:t>
            </w:r>
          </w:p>
        </w:tc>
        <w:tc>
          <w:tcPr>
            <w:tcW w:w="709" w:type="dxa"/>
            <w:tcBorders>
              <w:left w:val="nil"/>
            </w:tcBorders>
            <w:vAlign w:val="center"/>
          </w:tcPr>
          <w:p w14:paraId="1A9FFB33"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w:t>
            </w:r>
          </w:p>
        </w:tc>
        <w:tc>
          <w:tcPr>
            <w:tcW w:w="709" w:type="dxa"/>
            <w:tcBorders>
              <w:left w:val="nil"/>
            </w:tcBorders>
            <w:vAlign w:val="center"/>
          </w:tcPr>
          <w:p w14:paraId="06748582"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f</w:t>
            </w:r>
          </w:p>
        </w:tc>
        <w:tc>
          <w:tcPr>
            <w:tcW w:w="708" w:type="dxa"/>
            <w:tcBorders>
              <w:left w:val="nil"/>
            </w:tcBorders>
            <w:vAlign w:val="center"/>
          </w:tcPr>
          <w:p w14:paraId="3F32859F" w14:textId="77777777" w:rsidR="002D4EAA" w:rsidRPr="00721F9F" w:rsidRDefault="002D4EAA" w:rsidP="00205FC6">
            <w:pPr>
              <w:adjustRightInd w:val="0"/>
              <w:spacing w:before="100" w:beforeAutospacing="1" w:after="100" w:afterAutospacing="1"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w:t>
            </w:r>
          </w:p>
        </w:tc>
      </w:tr>
      <w:tr w:rsidR="002D4EAA" w:rsidRPr="00721F9F" w14:paraId="4BD313FC" w14:textId="77777777" w:rsidTr="00205FC6">
        <w:tc>
          <w:tcPr>
            <w:tcW w:w="2411" w:type="dxa"/>
            <w:tcBorders>
              <w:top w:val="nil"/>
            </w:tcBorders>
            <w:vAlign w:val="bottom"/>
            <w:hideMark/>
          </w:tcPr>
          <w:p w14:paraId="0FC96291" w14:textId="65127A32" w:rsidR="002D4EAA" w:rsidRPr="00721F9F" w:rsidRDefault="00A82CDD"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Very High</w:t>
            </w:r>
            <w:r w:rsidR="002D4EAA" w:rsidRPr="00721F9F">
              <w:rPr>
                <w:rFonts w:ascii="Times New Roman" w:hAnsi="Times New Roman" w:cs="Times New Roman"/>
                <w:sz w:val="24"/>
                <w:szCs w:val="24"/>
                <w:lang w:val="id-ID"/>
              </w:rPr>
              <w:t xml:space="preserve"> (ST)</w:t>
            </w:r>
          </w:p>
        </w:tc>
        <w:tc>
          <w:tcPr>
            <w:tcW w:w="993" w:type="dxa"/>
            <w:tcBorders>
              <w:top w:val="nil"/>
              <w:left w:val="nil"/>
            </w:tcBorders>
            <w:vAlign w:val="bottom"/>
            <w:hideMark/>
          </w:tcPr>
          <w:p w14:paraId="3BD71A23" w14:textId="77777777" w:rsidR="002D4EAA" w:rsidRPr="00721F9F" w:rsidRDefault="002D4EAA" w:rsidP="00205FC6">
            <w:pPr>
              <w:jc w:val="center"/>
              <w:rPr>
                <w:rFonts w:ascii="Times New Roman" w:hAnsi="Times New Roman" w:cs="Times New Roman"/>
                <w:color w:val="000000"/>
                <w:sz w:val="24"/>
                <w:szCs w:val="24"/>
                <w:lang w:val="id-ID"/>
              </w:rPr>
            </w:pPr>
            <w:r w:rsidRPr="00721F9F">
              <w:rPr>
                <w:rFonts w:ascii="Times New Roman" w:hAnsi="Times New Roman" w:cs="Times New Roman"/>
                <w:color w:val="000000"/>
                <w:sz w:val="24"/>
                <w:szCs w:val="24"/>
                <w:lang w:val="id-ID"/>
              </w:rPr>
              <w:t>≥170</w:t>
            </w:r>
          </w:p>
        </w:tc>
        <w:tc>
          <w:tcPr>
            <w:tcW w:w="567" w:type="dxa"/>
            <w:tcBorders>
              <w:top w:val="nil"/>
              <w:left w:val="nil"/>
            </w:tcBorders>
            <w:vAlign w:val="bottom"/>
            <w:hideMark/>
          </w:tcPr>
          <w:p w14:paraId="461272CD"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567" w:type="dxa"/>
            <w:tcBorders>
              <w:top w:val="nil"/>
              <w:left w:val="nil"/>
            </w:tcBorders>
            <w:vAlign w:val="bottom"/>
            <w:hideMark/>
          </w:tcPr>
          <w:p w14:paraId="4CCB0441"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567" w:type="dxa"/>
            <w:tcBorders>
              <w:top w:val="nil"/>
              <w:left w:val="nil"/>
            </w:tcBorders>
            <w:vAlign w:val="bottom"/>
            <w:hideMark/>
          </w:tcPr>
          <w:p w14:paraId="236F0D07"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2</w:t>
            </w:r>
          </w:p>
        </w:tc>
        <w:tc>
          <w:tcPr>
            <w:tcW w:w="708" w:type="dxa"/>
            <w:tcBorders>
              <w:top w:val="nil"/>
              <w:left w:val="nil"/>
            </w:tcBorders>
            <w:vAlign w:val="bottom"/>
            <w:hideMark/>
          </w:tcPr>
          <w:p w14:paraId="76539018"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20</w:t>
            </w:r>
          </w:p>
        </w:tc>
        <w:tc>
          <w:tcPr>
            <w:tcW w:w="709" w:type="dxa"/>
            <w:tcBorders>
              <w:top w:val="nil"/>
              <w:left w:val="nil"/>
            </w:tcBorders>
            <w:vAlign w:val="bottom"/>
          </w:tcPr>
          <w:p w14:paraId="7ECBDEA7"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6E29A945"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4F4FBEF7"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1</w:t>
            </w:r>
          </w:p>
        </w:tc>
        <w:tc>
          <w:tcPr>
            <w:tcW w:w="708" w:type="dxa"/>
            <w:tcBorders>
              <w:top w:val="nil"/>
              <w:left w:val="nil"/>
            </w:tcBorders>
            <w:vAlign w:val="bottom"/>
          </w:tcPr>
          <w:p w14:paraId="415DF028"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10</w:t>
            </w:r>
          </w:p>
        </w:tc>
      </w:tr>
      <w:tr w:rsidR="002D4EAA" w:rsidRPr="00721F9F" w14:paraId="54492242" w14:textId="77777777" w:rsidTr="00205FC6">
        <w:tc>
          <w:tcPr>
            <w:tcW w:w="2411" w:type="dxa"/>
            <w:tcBorders>
              <w:top w:val="nil"/>
            </w:tcBorders>
            <w:vAlign w:val="bottom"/>
            <w:hideMark/>
          </w:tcPr>
          <w:p w14:paraId="7BB28222" w14:textId="2C2D8747" w:rsidR="002D4EAA" w:rsidRPr="00721F9F" w:rsidRDefault="00A82CDD"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High</w:t>
            </w:r>
            <w:r w:rsidR="002D4EAA" w:rsidRPr="00721F9F">
              <w:rPr>
                <w:rFonts w:ascii="Times New Roman" w:hAnsi="Times New Roman" w:cs="Times New Roman"/>
                <w:sz w:val="24"/>
                <w:szCs w:val="24"/>
                <w:lang w:val="id-ID"/>
              </w:rPr>
              <w:t xml:space="preserve"> (T)</w:t>
            </w:r>
          </w:p>
        </w:tc>
        <w:tc>
          <w:tcPr>
            <w:tcW w:w="993" w:type="dxa"/>
            <w:tcBorders>
              <w:top w:val="nil"/>
              <w:left w:val="nil"/>
            </w:tcBorders>
            <w:vAlign w:val="bottom"/>
            <w:hideMark/>
          </w:tcPr>
          <w:p w14:paraId="0A375F85" w14:textId="77777777" w:rsidR="002D4EAA" w:rsidRPr="00721F9F" w:rsidRDefault="002D4EAA" w:rsidP="00205FC6">
            <w:pPr>
              <w:jc w:val="center"/>
              <w:rPr>
                <w:rFonts w:ascii="Times New Roman" w:hAnsi="Times New Roman" w:cs="Times New Roman"/>
                <w:color w:val="000000"/>
                <w:sz w:val="24"/>
                <w:szCs w:val="24"/>
                <w:lang w:val="id-ID"/>
              </w:rPr>
            </w:pPr>
            <w:r w:rsidRPr="00721F9F">
              <w:rPr>
                <w:rFonts w:ascii="Times New Roman" w:hAnsi="Times New Roman" w:cs="Times New Roman"/>
                <w:color w:val="000000"/>
                <w:sz w:val="24"/>
                <w:szCs w:val="24"/>
                <w:lang w:val="id-ID"/>
              </w:rPr>
              <w:t>156-169</w:t>
            </w:r>
          </w:p>
        </w:tc>
        <w:tc>
          <w:tcPr>
            <w:tcW w:w="567" w:type="dxa"/>
            <w:tcBorders>
              <w:top w:val="nil"/>
              <w:left w:val="nil"/>
            </w:tcBorders>
            <w:vAlign w:val="bottom"/>
            <w:hideMark/>
          </w:tcPr>
          <w:p w14:paraId="09582CE3"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567" w:type="dxa"/>
            <w:tcBorders>
              <w:top w:val="nil"/>
              <w:left w:val="nil"/>
            </w:tcBorders>
            <w:vAlign w:val="bottom"/>
            <w:hideMark/>
          </w:tcPr>
          <w:p w14:paraId="16BEC374"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567" w:type="dxa"/>
            <w:tcBorders>
              <w:top w:val="nil"/>
              <w:left w:val="nil"/>
            </w:tcBorders>
            <w:vAlign w:val="bottom"/>
            <w:hideMark/>
          </w:tcPr>
          <w:p w14:paraId="2F5CFB74"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6</w:t>
            </w:r>
          </w:p>
        </w:tc>
        <w:tc>
          <w:tcPr>
            <w:tcW w:w="708" w:type="dxa"/>
            <w:tcBorders>
              <w:top w:val="nil"/>
              <w:left w:val="nil"/>
            </w:tcBorders>
            <w:vAlign w:val="bottom"/>
            <w:hideMark/>
          </w:tcPr>
          <w:p w14:paraId="1D276177"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60</w:t>
            </w:r>
          </w:p>
        </w:tc>
        <w:tc>
          <w:tcPr>
            <w:tcW w:w="709" w:type="dxa"/>
            <w:tcBorders>
              <w:top w:val="nil"/>
              <w:left w:val="nil"/>
            </w:tcBorders>
            <w:vAlign w:val="bottom"/>
          </w:tcPr>
          <w:p w14:paraId="0AD2E149"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571952D5"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018BA0C1"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3</w:t>
            </w:r>
          </w:p>
        </w:tc>
        <w:tc>
          <w:tcPr>
            <w:tcW w:w="708" w:type="dxa"/>
            <w:tcBorders>
              <w:top w:val="nil"/>
              <w:left w:val="nil"/>
            </w:tcBorders>
            <w:vAlign w:val="bottom"/>
          </w:tcPr>
          <w:p w14:paraId="64A2CAC0"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30</w:t>
            </w:r>
          </w:p>
        </w:tc>
      </w:tr>
      <w:tr w:rsidR="002D4EAA" w:rsidRPr="00721F9F" w14:paraId="65168371" w14:textId="77777777" w:rsidTr="00205FC6">
        <w:tc>
          <w:tcPr>
            <w:tcW w:w="2411" w:type="dxa"/>
            <w:tcBorders>
              <w:top w:val="nil"/>
            </w:tcBorders>
            <w:vAlign w:val="bottom"/>
            <w:hideMark/>
          </w:tcPr>
          <w:p w14:paraId="14B4229C" w14:textId="479BCDD6" w:rsidR="002D4EAA" w:rsidRPr="00721F9F" w:rsidRDefault="002A639C"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Currently</w:t>
            </w:r>
            <w:r w:rsidR="002D4EAA" w:rsidRPr="00721F9F">
              <w:rPr>
                <w:rFonts w:ascii="Times New Roman" w:hAnsi="Times New Roman" w:cs="Times New Roman"/>
                <w:sz w:val="24"/>
                <w:szCs w:val="24"/>
                <w:lang w:val="id-ID"/>
              </w:rPr>
              <w:t xml:space="preserve"> (S)</w:t>
            </w:r>
          </w:p>
        </w:tc>
        <w:tc>
          <w:tcPr>
            <w:tcW w:w="993" w:type="dxa"/>
            <w:tcBorders>
              <w:top w:val="nil"/>
              <w:left w:val="nil"/>
            </w:tcBorders>
            <w:vAlign w:val="bottom"/>
            <w:hideMark/>
          </w:tcPr>
          <w:p w14:paraId="5DA06BF9" w14:textId="77777777" w:rsidR="002D4EAA" w:rsidRPr="00721F9F" w:rsidRDefault="002D4EAA" w:rsidP="00205FC6">
            <w:pPr>
              <w:jc w:val="center"/>
              <w:rPr>
                <w:rFonts w:ascii="Times New Roman" w:hAnsi="Times New Roman" w:cs="Times New Roman"/>
                <w:color w:val="000000"/>
                <w:sz w:val="24"/>
                <w:szCs w:val="24"/>
                <w:lang w:val="id-ID"/>
              </w:rPr>
            </w:pPr>
            <w:r w:rsidRPr="00721F9F">
              <w:rPr>
                <w:rFonts w:ascii="Times New Roman" w:hAnsi="Times New Roman" w:cs="Times New Roman"/>
                <w:color w:val="000000"/>
                <w:sz w:val="24"/>
                <w:szCs w:val="24"/>
                <w:lang w:val="id-ID"/>
              </w:rPr>
              <w:t>142-155</w:t>
            </w:r>
          </w:p>
        </w:tc>
        <w:tc>
          <w:tcPr>
            <w:tcW w:w="567" w:type="dxa"/>
            <w:tcBorders>
              <w:top w:val="nil"/>
              <w:left w:val="nil"/>
            </w:tcBorders>
            <w:vAlign w:val="bottom"/>
            <w:hideMark/>
          </w:tcPr>
          <w:p w14:paraId="6E5B1D39"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567" w:type="dxa"/>
            <w:tcBorders>
              <w:top w:val="nil"/>
              <w:left w:val="nil"/>
            </w:tcBorders>
            <w:vAlign w:val="bottom"/>
            <w:hideMark/>
          </w:tcPr>
          <w:p w14:paraId="387D17E2"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567" w:type="dxa"/>
            <w:tcBorders>
              <w:top w:val="nil"/>
              <w:left w:val="nil"/>
            </w:tcBorders>
            <w:vAlign w:val="bottom"/>
            <w:hideMark/>
          </w:tcPr>
          <w:p w14:paraId="3209FC77"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2</w:t>
            </w:r>
          </w:p>
        </w:tc>
        <w:tc>
          <w:tcPr>
            <w:tcW w:w="708" w:type="dxa"/>
            <w:tcBorders>
              <w:top w:val="nil"/>
              <w:left w:val="nil"/>
            </w:tcBorders>
            <w:vAlign w:val="bottom"/>
            <w:hideMark/>
          </w:tcPr>
          <w:p w14:paraId="44272005"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20</w:t>
            </w:r>
          </w:p>
        </w:tc>
        <w:tc>
          <w:tcPr>
            <w:tcW w:w="709" w:type="dxa"/>
            <w:tcBorders>
              <w:top w:val="nil"/>
              <w:left w:val="nil"/>
            </w:tcBorders>
            <w:vAlign w:val="bottom"/>
          </w:tcPr>
          <w:p w14:paraId="2C0441E6"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3A60E57A"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325059C1"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6</w:t>
            </w:r>
          </w:p>
        </w:tc>
        <w:tc>
          <w:tcPr>
            <w:tcW w:w="708" w:type="dxa"/>
            <w:tcBorders>
              <w:top w:val="nil"/>
              <w:left w:val="nil"/>
            </w:tcBorders>
            <w:vAlign w:val="bottom"/>
          </w:tcPr>
          <w:p w14:paraId="4F90122F"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60</w:t>
            </w:r>
          </w:p>
        </w:tc>
      </w:tr>
      <w:tr w:rsidR="002D4EAA" w:rsidRPr="00721F9F" w14:paraId="1EDF221B" w14:textId="77777777" w:rsidTr="00205FC6">
        <w:tc>
          <w:tcPr>
            <w:tcW w:w="2411" w:type="dxa"/>
            <w:tcBorders>
              <w:top w:val="nil"/>
            </w:tcBorders>
            <w:vAlign w:val="bottom"/>
            <w:hideMark/>
          </w:tcPr>
          <w:p w14:paraId="2BBD753F" w14:textId="6E9D6C04" w:rsidR="002D4EAA" w:rsidRPr="00721F9F" w:rsidRDefault="002A639C"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Low</w:t>
            </w:r>
            <w:r w:rsidR="002D4EAA" w:rsidRPr="00721F9F">
              <w:rPr>
                <w:rFonts w:ascii="Times New Roman" w:hAnsi="Times New Roman" w:cs="Times New Roman"/>
                <w:sz w:val="24"/>
                <w:szCs w:val="24"/>
                <w:lang w:val="id-ID"/>
              </w:rPr>
              <w:t xml:space="preserve"> (R)</w:t>
            </w:r>
          </w:p>
        </w:tc>
        <w:tc>
          <w:tcPr>
            <w:tcW w:w="993" w:type="dxa"/>
            <w:tcBorders>
              <w:top w:val="nil"/>
              <w:left w:val="nil"/>
            </w:tcBorders>
            <w:vAlign w:val="bottom"/>
            <w:hideMark/>
          </w:tcPr>
          <w:p w14:paraId="1E47BAA5" w14:textId="77777777" w:rsidR="002D4EAA" w:rsidRPr="00721F9F" w:rsidRDefault="002D4EAA" w:rsidP="00205FC6">
            <w:pPr>
              <w:jc w:val="center"/>
              <w:rPr>
                <w:rFonts w:ascii="Times New Roman" w:hAnsi="Times New Roman" w:cs="Times New Roman"/>
                <w:color w:val="000000"/>
                <w:sz w:val="24"/>
                <w:szCs w:val="24"/>
                <w:lang w:val="id-ID"/>
              </w:rPr>
            </w:pPr>
            <w:r w:rsidRPr="00721F9F">
              <w:rPr>
                <w:rFonts w:ascii="Times New Roman" w:hAnsi="Times New Roman" w:cs="Times New Roman"/>
                <w:color w:val="000000"/>
                <w:sz w:val="24"/>
                <w:szCs w:val="24"/>
                <w:lang w:val="id-ID"/>
              </w:rPr>
              <w:t>128-141</w:t>
            </w:r>
          </w:p>
        </w:tc>
        <w:tc>
          <w:tcPr>
            <w:tcW w:w="567" w:type="dxa"/>
            <w:tcBorders>
              <w:top w:val="nil"/>
              <w:left w:val="nil"/>
            </w:tcBorders>
            <w:vAlign w:val="bottom"/>
            <w:hideMark/>
          </w:tcPr>
          <w:p w14:paraId="40D00DBB"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9</w:t>
            </w:r>
          </w:p>
        </w:tc>
        <w:tc>
          <w:tcPr>
            <w:tcW w:w="567" w:type="dxa"/>
            <w:tcBorders>
              <w:top w:val="nil"/>
              <w:left w:val="nil"/>
            </w:tcBorders>
            <w:vAlign w:val="bottom"/>
            <w:hideMark/>
          </w:tcPr>
          <w:p w14:paraId="08AB84D8"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90</w:t>
            </w:r>
          </w:p>
        </w:tc>
        <w:tc>
          <w:tcPr>
            <w:tcW w:w="567" w:type="dxa"/>
            <w:tcBorders>
              <w:top w:val="nil"/>
              <w:left w:val="nil"/>
            </w:tcBorders>
            <w:vAlign w:val="bottom"/>
            <w:hideMark/>
          </w:tcPr>
          <w:p w14:paraId="37141801"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8" w:type="dxa"/>
            <w:tcBorders>
              <w:top w:val="nil"/>
              <w:left w:val="nil"/>
            </w:tcBorders>
            <w:vAlign w:val="bottom"/>
            <w:hideMark/>
          </w:tcPr>
          <w:p w14:paraId="18E9A76C"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56C89188"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8</w:t>
            </w:r>
          </w:p>
        </w:tc>
        <w:tc>
          <w:tcPr>
            <w:tcW w:w="709" w:type="dxa"/>
            <w:tcBorders>
              <w:top w:val="nil"/>
              <w:left w:val="nil"/>
            </w:tcBorders>
            <w:vAlign w:val="bottom"/>
          </w:tcPr>
          <w:p w14:paraId="6783EA31"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80</w:t>
            </w:r>
          </w:p>
        </w:tc>
        <w:tc>
          <w:tcPr>
            <w:tcW w:w="709" w:type="dxa"/>
            <w:tcBorders>
              <w:top w:val="nil"/>
              <w:left w:val="nil"/>
            </w:tcBorders>
            <w:vAlign w:val="bottom"/>
          </w:tcPr>
          <w:p w14:paraId="4ABC4732"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8" w:type="dxa"/>
            <w:tcBorders>
              <w:top w:val="nil"/>
              <w:left w:val="nil"/>
            </w:tcBorders>
            <w:vAlign w:val="bottom"/>
          </w:tcPr>
          <w:p w14:paraId="34042A7F"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r>
      <w:tr w:rsidR="002D4EAA" w:rsidRPr="00721F9F" w14:paraId="7DE4977B" w14:textId="77777777" w:rsidTr="00205FC6">
        <w:tc>
          <w:tcPr>
            <w:tcW w:w="2411" w:type="dxa"/>
            <w:tcBorders>
              <w:top w:val="nil"/>
            </w:tcBorders>
            <w:vAlign w:val="bottom"/>
            <w:hideMark/>
          </w:tcPr>
          <w:p w14:paraId="712C22B9" w14:textId="0106949B" w:rsidR="002D4EAA" w:rsidRPr="00721F9F" w:rsidRDefault="002A639C"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 xml:space="preserve">Very Low </w:t>
            </w:r>
            <w:r w:rsidR="002D4EAA" w:rsidRPr="00721F9F">
              <w:rPr>
                <w:rFonts w:ascii="Times New Roman" w:hAnsi="Times New Roman" w:cs="Times New Roman"/>
                <w:sz w:val="24"/>
                <w:szCs w:val="24"/>
                <w:lang w:val="id-ID"/>
              </w:rPr>
              <w:t>(SR)</w:t>
            </w:r>
          </w:p>
        </w:tc>
        <w:tc>
          <w:tcPr>
            <w:tcW w:w="993" w:type="dxa"/>
            <w:tcBorders>
              <w:top w:val="nil"/>
              <w:left w:val="nil"/>
            </w:tcBorders>
            <w:vAlign w:val="bottom"/>
            <w:hideMark/>
          </w:tcPr>
          <w:p w14:paraId="453D06E5" w14:textId="77777777" w:rsidR="002D4EAA" w:rsidRPr="00721F9F" w:rsidRDefault="002D4EAA" w:rsidP="00205FC6">
            <w:pPr>
              <w:jc w:val="center"/>
              <w:rPr>
                <w:rFonts w:ascii="Times New Roman" w:hAnsi="Times New Roman" w:cs="Times New Roman"/>
                <w:color w:val="000000"/>
                <w:sz w:val="24"/>
                <w:szCs w:val="24"/>
                <w:lang w:val="id-ID"/>
              </w:rPr>
            </w:pPr>
            <w:r w:rsidRPr="00721F9F">
              <w:rPr>
                <w:rFonts w:ascii="Times New Roman" w:hAnsi="Times New Roman" w:cs="Times New Roman"/>
                <w:color w:val="000000"/>
                <w:sz w:val="24"/>
                <w:szCs w:val="24"/>
                <w:lang w:val="id-ID"/>
              </w:rPr>
              <w:t>114-127</w:t>
            </w:r>
          </w:p>
        </w:tc>
        <w:tc>
          <w:tcPr>
            <w:tcW w:w="567" w:type="dxa"/>
            <w:tcBorders>
              <w:top w:val="nil"/>
              <w:left w:val="nil"/>
            </w:tcBorders>
            <w:vAlign w:val="bottom"/>
            <w:hideMark/>
          </w:tcPr>
          <w:p w14:paraId="513E6A6A"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1</w:t>
            </w:r>
          </w:p>
        </w:tc>
        <w:tc>
          <w:tcPr>
            <w:tcW w:w="567" w:type="dxa"/>
            <w:tcBorders>
              <w:top w:val="nil"/>
              <w:left w:val="nil"/>
            </w:tcBorders>
            <w:vAlign w:val="bottom"/>
            <w:hideMark/>
          </w:tcPr>
          <w:p w14:paraId="62853B93"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10</w:t>
            </w:r>
          </w:p>
        </w:tc>
        <w:tc>
          <w:tcPr>
            <w:tcW w:w="567" w:type="dxa"/>
            <w:tcBorders>
              <w:top w:val="nil"/>
              <w:left w:val="nil"/>
            </w:tcBorders>
            <w:vAlign w:val="bottom"/>
            <w:hideMark/>
          </w:tcPr>
          <w:p w14:paraId="2C4B52CA"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8" w:type="dxa"/>
            <w:tcBorders>
              <w:top w:val="nil"/>
              <w:left w:val="nil"/>
            </w:tcBorders>
            <w:vAlign w:val="bottom"/>
            <w:hideMark/>
          </w:tcPr>
          <w:p w14:paraId="60B3E7CC"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9" w:type="dxa"/>
            <w:tcBorders>
              <w:top w:val="nil"/>
              <w:left w:val="nil"/>
            </w:tcBorders>
            <w:vAlign w:val="bottom"/>
          </w:tcPr>
          <w:p w14:paraId="70D063D5"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2</w:t>
            </w:r>
          </w:p>
        </w:tc>
        <w:tc>
          <w:tcPr>
            <w:tcW w:w="709" w:type="dxa"/>
            <w:tcBorders>
              <w:top w:val="nil"/>
              <w:left w:val="nil"/>
            </w:tcBorders>
            <w:vAlign w:val="bottom"/>
          </w:tcPr>
          <w:p w14:paraId="0592E3B6"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20</w:t>
            </w:r>
          </w:p>
        </w:tc>
        <w:tc>
          <w:tcPr>
            <w:tcW w:w="709" w:type="dxa"/>
            <w:tcBorders>
              <w:top w:val="nil"/>
              <w:left w:val="nil"/>
            </w:tcBorders>
            <w:vAlign w:val="bottom"/>
          </w:tcPr>
          <w:p w14:paraId="6F365E02"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c>
          <w:tcPr>
            <w:tcW w:w="708" w:type="dxa"/>
            <w:tcBorders>
              <w:top w:val="nil"/>
              <w:left w:val="nil"/>
            </w:tcBorders>
            <w:vAlign w:val="bottom"/>
          </w:tcPr>
          <w:p w14:paraId="13C168F7" w14:textId="77777777" w:rsidR="002D4EAA" w:rsidRPr="00721F9F" w:rsidRDefault="002D4EAA" w:rsidP="00205FC6">
            <w:pPr>
              <w:adjustRightInd w:val="0"/>
              <w:spacing w:line="273" w:lineRule="auto"/>
              <w:jc w:val="center"/>
              <w:rPr>
                <w:rFonts w:ascii="Times New Roman" w:eastAsia="Calibri" w:hAnsi="Times New Roman" w:cs="Times New Roman"/>
                <w:color w:val="000000"/>
                <w:sz w:val="24"/>
                <w:szCs w:val="24"/>
                <w:lang w:val="id-ID"/>
              </w:rPr>
            </w:pPr>
            <w:r w:rsidRPr="00721F9F">
              <w:rPr>
                <w:rFonts w:ascii="Times New Roman" w:hAnsi="Times New Roman" w:cs="Times New Roman"/>
                <w:color w:val="000000"/>
                <w:sz w:val="24"/>
                <w:szCs w:val="24"/>
                <w:lang w:val="id-ID"/>
              </w:rPr>
              <w:t>0</w:t>
            </w:r>
          </w:p>
        </w:tc>
      </w:tr>
      <w:tr w:rsidR="002D4EAA" w:rsidRPr="00721F9F" w14:paraId="3FFC58D5" w14:textId="77777777" w:rsidTr="00205FC6">
        <w:tc>
          <w:tcPr>
            <w:tcW w:w="2411" w:type="dxa"/>
            <w:tcBorders>
              <w:top w:val="nil"/>
            </w:tcBorders>
            <w:vAlign w:val="bottom"/>
            <w:hideMark/>
          </w:tcPr>
          <w:p w14:paraId="45943C06"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b/>
                <w:bCs/>
                <w:sz w:val="24"/>
                <w:szCs w:val="24"/>
                <w:lang w:val="id-ID"/>
              </w:rPr>
              <w:t>Total</w:t>
            </w:r>
          </w:p>
        </w:tc>
        <w:tc>
          <w:tcPr>
            <w:tcW w:w="993" w:type="dxa"/>
            <w:tcBorders>
              <w:top w:val="nil"/>
              <w:left w:val="nil"/>
            </w:tcBorders>
          </w:tcPr>
          <w:p w14:paraId="62CF9336" w14:textId="77777777" w:rsidR="002D4EAA" w:rsidRPr="00721F9F" w:rsidRDefault="002D4EAA" w:rsidP="00205FC6">
            <w:pPr>
              <w:pStyle w:val="ListParagraph"/>
              <w:spacing w:line="273" w:lineRule="auto"/>
              <w:jc w:val="center"/>
              <w:rPr>
                <w:rFonts w:ascii="Times New Roman" w:hAnsi="Times New Roman" w:cs="Times New Roman"/>
                <w:b/>
                <w:bCs/>
                <w:sz w:val="24"/>
                <w:szCs w:val="24"/>
              </w:rPr>
            </w:pPr>
          </w:p>
        </w:tc>
        <w:tc>
          <w:tcPr>
            <w:tcW w:w="567" w:type="dxa"/>
            <w:tcBorders>
              <w:top w:val="nil"/>
              <w:left w:val="nil"/>
            </w:tcBorders>
            <w:vAlign w:val="bottom"/>
            <w:hideMark/>
          </w:tcPr>
          <w:p w14:paraId="504F6113"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w:t>
            </w:r>
          </w:p>
        </w:tc>
        <w:tc>
          <w:tcPr>
            <w:tcW w:w="567" w:type="dxa"/>
            <w:tcBorders>
              <w:top w:val="nil"/>
              <w:left w:val="nil"/>
            </w:tcBorders>
            <w:vAlign w:val="bottom"/>
            <w:hideMark/>
          </w:tcPr>
          <w:p w14:paraId="104BE34E"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100</w:t>
            </w:r>
          </w:p>
        </w:tc>
        <w:tc>
          <w:tcPr>
            <w:tcW w:w="567" w:type="dxa"/>
            <w:tcBorders>
              <w:top w:val="nil"/>
              <w:left w:val="nil"/>
            </w:tcBorders>
            <w:vAlign w:val="bottom"/>
            <w:hideMark/>
          </w:tcPr>
          <w:p w14:paraId="4A5BF32A"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w:t>
            </w:r>
          </w:p>
        </w:tc>
        <w:tc>
          <w:tcPr>
            <w:tcW w:w="708" w:type="dxa"/>
            <w:tcBorders>
              <w:top w:val="nil"/>
              <w:left w:val="nil"/>
            </w:tcBorders>
            <w:vAlign w:val="bottom"/>
            <w:hideMark/>
          </w:tcPr>
          <w:p w14:paraId="448C6534"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100</w:t>
            </w:r>
          </w:p>
        </w:tc>
        <w:tc>
          <w:tcPr>
            <w:tcW w:w="709" w:type="dxa"/>
            <w:tcBorders>
              <w:top w:val="nil"/>
              <w:left w:val="nil"/>
            </w:tcBorders>
            <w:vAlign w:val="bottom"/>
          </w:tcPr>
          <w:p w14:paraId="591358A7"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w:t>
            </w:r>
          </w:p>
        </w:tc>
        <w:tc>
          <w:tcPr>
            <w:tcW w:w="709" w:type="dxa"/>
            <w:tcBorders>
              <w:top w:val="nil"/>
              <w:left w:val="nil"/>
            </w:tcBorders>
            <w:vAlign w:val="bottom"/>
          </w:tcPr>
          <w:p w14:paraId="563CD390"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100</w:t>
            </w:r>
          </w:p>
        </w:tc>
        <w:tc>
          <w:tcPr>
            <w:tcW w:w="709" w:type="dxa"/>
            <w:tcBorders>
              <w:top w:val="nil"/>
              <w:left w:val="nil"/>
            </w:tcBorders>
            <w:vAlign w:val="bottom"/>
          </w:tcPr>
          <w:p w14:paraId="768D0D6E"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w:t>
            </w:r>
          </w:p>
        </w:tc>
        <w:tc>
          <w:tcPr>
            <w:tcW w:w="708" w:type="dxa"/>
            <w:tcBorders>
              <w:top w:val="nil"/>
              <w:left w:val="nil"/>
            </w:tcBorders>
            <w:vAlign w:val="bottom"/>
          </w:tcPr>
          <w:p w14:paraId="1C49382A" w14:textId="77777777" w:rsidR="002D4EAA" w:rsidRPr="00721F9F" w:rsidRDefault="002D4EAA" w:rsidP="00205FC6">
            <w:pPr>
              <w:adjustRightInd w:val="0"/>
              <w:spacing w:line="273" w:lineRule="auto"/>
              <w:jc w:val="center"/>
              <w:rPr>
                <w:rFonts w:ascii="Times New Roman" w:eastAsia="Calibri" w:hAnsi="Times New Roman" w:cs="Times New Roman"/>
                <w:b/>
                <w:bCs/>
                <w:color w:val="000000"/>
                <w:sz w:val="24"/>
                <w:szCs w:val="24"/>
                <w:lang w:val="id-ID"/>
              </w:rPr>
            </w:pPr>
            <w:r w:rsidRPr="00721F9F">
              <w:rPr>
                <w:rFonts w:ascii="Times New Roman" w:hAnsi="Times New Roman" w:cs="Times New Roman"/>
                <w:color w:val="000000"/>
                <w:sz w:val="24"/>
                <w:szCs w:val="24"/>
                <w:lang w:val="id-ID"/>
              </w:rPr>
              <w:t>100</w:t>
            </w:r>
          </w:p>
        </w:tc>
      </w:tr>
    </w:tbl>
    <w:p w14:paraId="38A03412" w14:textId="77777777" w:rsidR="001C4854" w:rsidRPr="000F5D2E" w:rsidRDefault="001C4854" w:rsidP="00171FEA">
      <w:pPr>
        <w:pStyle w:val="Alishlah31text"/>
        <w:rPr>
          <w:spacing w:val="-2"/>
        </w:rPr>
      </w:pPr>
      <w:r w:rsidRPr="000F5D2E">
        <w:rPr>
          <w:spacing w:val="-2"/>
        </w:rPr>
        <w:t>Based on table 1, obtained an overview that before being given group guidance using discordant duo baleh, in the experimental group it is known that 10% of students are in the very low category, and 90% of students are in the low category. Then after being given group guidance using discordant duo baleh, it is known that 20% of students are in the medium category, 60% of students are in the high category and 20% of students are in the very high category.</w:t>
      </w:r>
    </w:p>
    <w:p w14:paraId="201153E4" w14:textId="6DF79B2A" w:rsidR="006A2878" w:rsidRDefault="001C4854" w:rsidP="000F5D2E">
      <w:pPr>
        <w:pStyle w:val="Alishlah31text"/>
        <w:rPr>
          <w:spacing w:val="-2"/>
        </w:rPr>
      </w:pPr>
      <w:r w:rsidRPr="000F5D2E">
        <w:rPr>
          <w:spacing w:val="-2"/>
        </w:rPr>
        <w:t xml:space="preserve">Furthermore, in the control group, before being given group guidance it was known that 20% of students were in the very low category and 80% of students were in the low category. Then after being given group guidance services without discordant duo baleh, it was known that 60% of students were in the medium category, 30% of students were in the high category, and 10% of students were in the very high category. </w:t>
      </w:r>
      <w:r w:rsidRPr="000F5D2E">
        <w:rPr>
          <w:spacing w:val="-2"/>
        </w:rPr>
        <w:cr/>
        <w:t>Table 2. Analysis Results Wilcoxon Signed Ranks Test Differences in Assertive Behavior of Minangkabau Women in Preventing Sexual Harassment between Pretest and Posttest Experimental Group</w:t>
      </w:r>
      <w:r w:rsidRPr="000F5D2E">
        <w:rPr>
          <w:spacing w:val="-2"/>
        </w:rPr>
        <w:cr/>
      </w:r>
    </w:p>
    <w:p w14:paraId="2F95E6AA" w14:textId="77777777" w:rsidR="000F5D2E" w:rsidRDefault="000F5D2E" w:rsidP="000F5D2E">
      <w:pPr>
        <w:pStyle w:val="Alishlah31text"/>
        <w:rPr>
          <w:spacing w:val="-2"/>
        </w:rPr>
      </w:pPr>
    </w:p>
    <w:p w14:paraId="4A547715" w14:textId="77777777" w:rsidR="000F5D2E" w:rsidRPr="000F5D2E" w:rsidRDefault="000F5D2E" w:rsidP="000F5D2E">
      <w:pPr>
        <w:pStyle w:val="Alishlah31text"/>
        <w:rPr>
          <w:spacing w:val="-2"/>
        </w:rPr>
      </w:pPr>
    </w:p>
    <w:tbl>
      <w:tblPr>
        <w:tblStyle w:val="TableGrid1"/>
        <w:tblW w:w="0" w:type="auto"/>
        <w:tblInd w:w="1612" w:type="dxa"/>
        <w:tblLayout w:type="fixed"/>
        <w:tblCellMar>
          <w:top w:w="15" w:type="dxa"/>
          <w:left w:w="15" w:type="dxa"/>
          <w:bottom w:w="15" w:type="dxa"/>
          <w:right w:w="15" w:type="dxa"/>
        </w:tblCellMar>
        <w:tblLook w:val="04A0" w:firstRow="1" w:lastRow="0" w:firstColumn="1" w:lastColumn="0" w:noHBand="0" w:noVBand="1"/>
      </w:tblPr>
      <w:tblGrid>
        <w:gridCol w:w="2268"/>
        <w:gridCol w:w="2552"/>
      </w:tblGrid>
      <w:tr w:rsidR="006A2878" w:rsidRPr="00721F9F" w14:paraId="5935C1FE" w14:textId="77777777" w:rsidTr="000F5D2E">
        <w:tc>
          <w:tcPr>
            <w:tcW w:w="4820" w:type="dxa"/>
            <w:gridSpan w:val="2"/>
            <w:tcBorders>
              <w:top w:val="outset" w:sz="6" w:space="0" w:color="auto"/>
              <w:left w:val="outset" w:sz="6" w:space="0" w:color="auto"/>
              <w:bottom w:val="outset" w:sz="6" w:space="0" w:color="auto"/>
              <w:right w:val="outset" w:sz="6" w:space="0" w:color="auto"/>
            </w:tcBorders>
            <w:hideMark/>
          </w:tcPr>
          <w:p w14:paraId="53CC21B3" w14:textId="77777777" w:rsidR="006A2878" w:rsidRPr="00721F9F" w:rsidRDefault="006A2878"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b/>
                <w:bCs/>
                <w:sz w:val="24"/>
                <w:szCs w:val="24"/>
                <w:lang w:val="id-ID"/>
              </w:rPr>
              <w:lastRenderedPageBreak/>
              <w:t>Test Statistics</w:t>
            </w:r>
            <w:r w:rsidRPr="00721F9F">
              <w:rPr>
                <w:rFonts w:ascii="Times New Roman" w:hAnsi="Times New Roman" w:cs="Times New Roman"/>
                <w:b/>
                <w:bCs/>
                <w:sz w:val="24"/>
                <w:szCs w:val="24"/>
                <w:vertAlign w:val="superscript"/>
                <w:lang w:val="id-ID"/>
              </w:rPr>
              <w:t>a</w:t>
            </w:r>
          </w:p>
        </w:tc>
      </w:tr>
      <w:tr w:rsidR="006A2878" w:rsidRPr="00721F9F" w14:paraId="10E5DE4E" w14:textId="77777777" w:rsidTr="000F5D2E">
        <w:tc>
          <w:tcPr>
            <w:tcW w:w="2268" w:type="dxa"/>
            <w:tcBorders>
              <w:top w:val="nil"/>
              <w:left w:val="outset" w:sz="6" w:space="0" w:color="auto"/>
              <w:bottom w:val="outset" w:sz="6" w:space="0" w:color="auto"/>
              <w:right w:val="outset" w:sz="6" w:space="0" w:color="auto"/>
            </w:tcBorders>
          </w:tcPr>
          <w:p w14:paraId="7E6011AD" w14:textId="77777777" w:rsidR="006A2878" w:rsidRPr="00721F9F" w:rsidRDefault="006A2878"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p>
        </w:tc>
        <w:tc>
          <w:tcPr>
            <w:tcW w:w="2552" w:type="dxa"/>
            <w:tcBorders>
              <w:top w:val="outset" w:sz="6" w:space="0" w:color="auto"/>
              <w:left w:val="outset" w:sz="6" w:space="0" w:color="auto"/>
              <w:bottom w:val="outset" w:sz="6" w:space="0" w:color="auto"/>
              <w:right w:val="outset" w:sz="6" w:space="0" w:color="auto"/>
            </w:tcBorders>
            <w:hideMark/>
          </w:tcPr>
          <w:p w14:paraId="469302F9" w14:textId="77777777" w:rsidR="006A2878" w:rsidRPr="00721F9F" w:rsidRDefault="006A2878"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i/>
                <w:sz w:val="24"/>
                <w:szCs w:val="24"/>
                <w:lang w:val="id-ID"/>
              </w:rPr>
              <w:t>Posttest</w:t>
            </w:r>
            <w:r w:rsidRPr="00721F9F">
              <w:rPr>
                <w:rFonts w:ascii="Times New Roman" w:hAnsi="Times New Roman" w:cs="Times New Roman"/>
                <w:sz w:val="24"/>
                <w:szCs w:val="24"/>
                <w:lang w:val="id-ID"/>
              </w:rPr>
              <w:t xml:space="preserve"> Eksperimen - </w:t>
            </w:r>
            <w:r w:rsidRPr="00721F9F">
              <w:rPr>
                <w:rFonts w:ascii="Times New Roman" w:hAnsi="Times New Roman" w:cs="Times New Roman"/>
                <w:i/>
                <w:sz w:val="24"/>
                <w:szCs w:val="24"/>
                <w:lang w:val="id-ID"/>
              </w:rPr>
              <w:t>Pretest</w:t>
            </w:r>
            <w:r w:rsidRPr="00721F9F">
              <w:rPr>
                <w:rFonts w:ascii="Times New Roman" w:hAnsi="Times New Roman" w:cs="Times New Roman"/>
                <w:sz w:val="24"/>
                <w:szCs w:val="24"/>
                <w:lang w:val="id-ID"/>
              </w:rPr>
              <w:t xml:space="preserve"> Eksperimen</w:t>
            </w:r>
          </w:p>
        </w:tc>
      </w:tr>
      <w:tr w:rsidR="006A2878" w:rsidRPr="00721F9F" w14:paraId="77D100DC" w14:textId="77777777" w:rsidTr="000F5D2E">
        <w:tc>
          <w:tcPr>
            <w:tcW w:w="2268" w:type="dxa"/>
            <w:tcBorders>
              <w:top w:val="nil"/>
              <w:left w:val="outset" w:sz="6" w:space="0" w:color="auto"/>
              <w:bottom w:val="outset" w:sz="6" w:space="0" w:color="auto"/>
              <w:right w:val="outset" w:sz="6" w:space="0" w:color="auto"/>
            </w:tcBorders>
            <w:hideMark/>
          </w:tcPr>
          <w:p w14:paraId="5D8E13A0" w14:textId="77777777" w:rsidR="006A2878" w:rsidRPr="00721F9F" w:rsidRDefault="006A2878"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Z</w:t>
            </w:r>
          </w:p>
        </w:tc>
        <w:tc>
          <w:tcPr>
            <w:tcW w:w="2552" w:type="dxa"/>
            <w:tcBorders>
              <w:top w:val="nil"/>
              <w:left w:val="outset" w:sz="6" w:space="0" w:color="auto"/>
              <w:bottom w:val="outset" w:sz="6" w:space="0" w:color="auto"/>
              <w:right w:val="outset" w:sz="6" w:space="0" w:color="auto"/>
            </w:tcBorders>
            <w:hideMark/>
          </w:tcPr>
          <w:p w14:paraId="2E93D14B" w14:textId="77777777" w:rsidR="006A2878" w:rsidRPr="00721F9F" w:rsidRDefault="006A2878"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-2,805</w:t>
            </w:r>
            <w:r w:rsidRPr="00721F9F">
              <w:rPr>
                <w:rFonts w:ascii="Times New Roman" w:hAnsi="Times New Roman" w:cs="Times New Roman"/>
                <w:sz w:val="24"/>
                <w:szCs w:val="24"/>
                <w:vertAlign w:val="superscript"/>
                <w:lang w:val="id-ID"/>
              </w:rPr>
              <w:t>b</w:t>
            </w:r>
          </w:p>
        </w:tc>
      </w:tr>
      <w:tr w:rsidR="006A2878" w:rsidRPr="00721F9F" w14:paraId="50C6E72E" w14:textId="77777777" w:rsidTr="000F5D2E">
        <w:tc>
          <w:tcPr>
            <w:tcW w:w="2268" w:type="dxa"/>
            <w:tcBorders>
              <w:top w:val="nil"/>
              <w:left w:val="outset" w:sz="6" w:space="0" w:color="auto"/>
              <w:bottom w:val="outset" w:sz="6" w:space="0" w:color="auto"/>
              <w:right w:val="outset" w:sz="6" w:space="0" w:color="auto"/>
            </w:tcBorders>
            <w:hideMark/>
          </w:tcPr>
          <w:p w14:paraId="281AF73A" w14:textId="77777777" w:rsidR="006A2878" w:rsidRPr="00721F9F" w:rsidRDefault="006A2878"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Asymp. Sig. (2-tailed)</w:t>
            </w:r>
          </w:p>
        </w:tc>
        <w:tc>
          <w:tcPr>
            <w:tcW w:w="2552" w:type="dxa"/>
            <w:tcBorders>
              <w:top w:val="nil"/>
              <w:left w:val="outset" w:sz="6" w:space="0" w:color="auto"/>
              <w:bottom w:val="outset" w:sz="6" w:space="0" w:color="auto"/>
              <w:right w:val="outset" w:sz="6" w:space="0" w:color="auto"/>
            </w:tcBorders>
            <w:hideMark/>
          </w:tcPr>
          <w:p w14:paraId="2D8B36ED" w14:textId="77777777" w:rsidR="006A2878" w:rsidRPr="00721F9F" w:rsidRDefault="006A2878"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,005</w:t>
            </w:r>
          </w:p>
        </w:tc>
      </w:tr>
      <w:tr w:rsidR="006A2878" w:rsidRPr="00721F9F" w14:paraId="7FEFF898" w14:textId="77777777" w:rsidTr="000F5D2E">
        <w:tc>
          <w:tcPr>
            <w:tcW w:w="4820" w:type="dxa"/>
            <w:gridSpan w:val="2"/>
            <w:tcBorders>
              <w:top w:val="nil"/>
              <w:left w:val="outset" w:sz="6" w:space="0" w:color="auto"/>
              <w:bottom w:val="outset" w:sz="6" w:space="0" w:color="auto"/>
              <w:right w:val="outset" w:sz="6" w:space="0" w:color="auto"/>
            </w:tcBorders>
            <w:hideMark/>
          </w:tcPr>
          <w:p w14:paraId="799FBBAE" w14:textId="77777777" w:rsidR="006A2878" w:rsidRPr="00721F9F" w:rsidRDefault="006A2878" w:rsidP="00205FC6">
            <w:pPr>
              <w:adjustRightInd w:val="0"/>
              <w:spacing w:before="100" w:beforeAutospacing="1" w:after="100" w:afterAutospacing="1"/>
              <w:jc w:val="both"/>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a. Wilcoxon Signed Ranks Test</w:t>
            </w:r>
          </w:p>
        </w:tc>
      </w:tr>
      <w:tr w:rsidR="006A2878" w:rsidRPr="00721F9F" w14:paraId="6C1C847F" w14:textId="77777777" w:rsidTr="000F5D2E">
        <w:tc>
          <w:tcPr>
            <w:tcW w:w="4820" w:type="dxa"/>
            <w:gridSpan w:val="2"/>
            <w:tcBorders>
              <w:top w:val="nil"/>
              <w:left w:val="outset" w:sz="6" w:space="0" w:color="auto"/>
              <w:bottom w:val="outset" w:sz="6" w:space="0" w:color="auto"/>
              <w:right w:val="outset" w:sz="6" w:space="0" w:color="auto"/>
            </w:tcBorders>
            <w:hideMark/>
          </w:tcPr>
          <w:p w14:paraId="3420DF1F" w14:textId="77777777" w:rsidR="006A2878" w:rsidRPr="00721F9F" w:rsidRDefault="006A2878" w:rsidP="00205FC6">
            <w:pPr>
              <w:adjustRightInd w:val="0"/>
              <w:spacing w:before="100" w:beforeAutospacing="1" w:after="100" w:afterAutospacing="1"/>
              <w:jc w:val="both"/>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b. Based on negative ranks.</w:t>
            </w:r>
          </w:p>
        </w:tc>
      </w:tr>
    </w:tbl>
    <w:p w14:paraId="79D52780" w14:textId="75E7884A" w:rsidR="00C01DA4" w:rsidRPr="00721F9F" w:rsidRDefault="0067431D" w:rsidP="00C01DA4">
      <w:pPr>
        <w:rPr>
          <w:rFonts w:ascii="Times New Roman" w:eastAsia="Times New Roman" w:hAnsi="Times New Roman" w:cs="Times New Roman"/>
          <w:sz w:val="20"/>
          <w:szCs w:val="20"/>
          <w:lang w:val="id-ID" w:eastAsia="en-ID"/>
        </w:rPr>
      </w:pPr>
      <w:r w:rsidRPr="00721F9F">
        <w:rPr>
          <w:rFonts w:eastAsia="Arial"/>
          <w:lang w:val="id-ID"/>
        </w:rPr>
        <w:cr/>
      </w:r>
      <w:r w:rsidRPr="000F5D2E">
        <w:rPr>
          <w:rFonts w:ascii="Palatino Linotype" w:eastAsia="Times New Roman" w:hAnsi="Palatino Linotype" w:cs="Times New Roman"/>
          <w:snapToGrid w:val="0"/>
          <w:color w:val="000000"/>
          <w:spacing w:val="-2"/>
          <w:sz w:val="20"/>
          <w:lang w:val="en-US" w:eastAsia="de-DE" w:bidi="en-US"/>
        </w:rPr>
        <w:t xml:space="preserve">          </w:t>
      </w:r>
      <w:r w:rsidRPr="000F5D2E">
        <w:rPr>
          <w:rFonts w:ascii="Palatino Linotype" w:eastAsia="Times New Roman" w:hAnsi="Palatino Linotype" w:cs="Times New Roman"/>
          <w:snapToGrid w:val="0"/>
          <w:color w:val="000000"/>
          <w:spacing w:val="-2"/>
          <w:sz w:val="20"/>
          <w:lang w:val="en-US" w:eastAsia="de-DE" w:bidi="en-US"/>
        </w:rPr>
        <w:t>Based on the results of testing the first hypothesis "it can be seen that the probability number Asmp. Sig (2-tailed) assertive behavior of experimental group students is 0.005 or probability below 0.005 (0.005 &lt; 0.05). From these results, Ho is rejected and Ha is accepted. Thus, the first hypothesis tested in this study is acceptable, namely "there are significant differences in assertive behavior of Minangkabau women in preventing sexual harassment experimental group before and after following the guidance group using the values of discordant duo baleh."</w:t>
      </w:r>
      <w:r w:rsidRPr="000F5D2E">
        <w:rPr>
          <w:rFonts w:ascii="Palatino Linotype" w:eastAsia="Times New Roman" w:hAnsi="Palatino Linotype" w:cs="Times New Roman"/>
          <w:snapToGrid w:val="0"/>
          <w:color w:val="000000"/>
          <w:spacing w:val="-2"/>
          <w:sz w:val="20"/>
          <w:lang w:val="en-US" w:eastAsia="de-DE" w:bidi="en-US"/>
        </w:rPr>
        <w:cr/>
      </w:r>
      <w:r w:rsidRPr="000F5D2E">
        <w:rPr>
          <w:rFonts w:ascii="Palatino Linotype" w:eastAsia="Times New Roman" w:hAnsi="Palatino Linotype" w:cs="Times New Roman"/>
          <w:snapToGrid w:val="0"/>
          <w:color w:val="000000"/>
          <w:spacing w:val="-2"/>
          <w:sz w:val="20"/>
          <w:lang w:val="en-US" w:eastAsia="de-DE" w:bidi="en-US"/>
        </w:rPr>
        <w:t xml:space="preserve">           </w:t>
      </w:r>
      <w:r w:rsidRPr="000F5D2E">
        <w:rPr>
          <w:rFonts w:ascii="Palatino Linotype" w:eastAsia="Times New Roman" w:hAnsi="Palatino Linotype" w:cs="Times New Roman"/>
          <w:snapToGrid w:val="0"/>
          <w:color w:val="000000"/>
          <w:spacing w:val="-2"/>
          <w:sz w:val="20"/>
          <w:lang w:val="en-US" w:eastAsia="de-DE" w:bidi="en-US"/>
        </w:rPr>
        <w:t xml:space="preserve">Furthermore, the results of this study obtained assertive behavior in preventing sexual harassment experimental group before being given different treatment with assertive behavior in preventing sexual harassment after being given treatment. The average score of assertive behavior of Minangkabau female students in preventing sexual harassment before being given group guidance using duo baleh is 133.8 in the low category. After being given group guidance using discordant duo baleh, assertive behavior of Minangkabau female students in preventing sexual harassment has increased, the acquisition of the average score of posttest experimental group is 162.4 in the high category. Therefore, providing group guidance services using discordant duo baleh can improve assertive behavior in preventing sexual harassment. </w:t>
      </w:r>
      <w:r w:rsidRPr="000F5D2E">
        <w:rPr>
          <w:rFonts w:ascii="Palatino Linotype" w:eastAsia="Times New Roman" w:hAnsi="Palatino Linotype" w:cs="Times New Roman"/>
          <w:snapToGrid w:val="0"/>
          <w:color w:val="000000"/>
          <w:spacing w:val="-2"/>
          <w:sz w:val="20"/>
          <w:lang w:val="en-US" w:eastAsia="de-DE" w:bidi="en-US"/>
        </w:rPr>
        <w:cr/>
      </w:r>
      <w:r w:rsidR="00C01DA4" w:rsidRPr="00721F9F">
        <w:rPr>
          <w:rFonts w:ascii="Times New Roman" w:eastAsia="Times New Roman" w:hAnsi="Times New Roman" w:cs="Times New Roman"/>
          <w:sz w:val="20"/>
          <w:szCs w:val="20"/>
          <w:lang w:val="id-ID" w:eastAsia="en-ID"/>
        </w:rPr>
        <w:t>Table 3. Analysis Results Wilcoxon Signed Rank Test Differences in Assertive Behavior of Minangkabau Women in Preventing Sexual Harassment between Pretest and Pottet Control Group</w:t>
      </w:r>
      <w:r w:rsidR="00005213" w:rsidRPr="00721F9F">
        <w:rPr>
          <w:rFonts w:ascii="Times New Roman" w:eastAsia="Times New Roman" w:hAnsi="Times New Roman" w:cs="Times New Roman"/>
          <w:sz w:val="20"/>
          <w:szCs w:val="20"/>
          <w:lang w:val="id-ID" w:eastAsia="en-ID"/>
        </w:rPr>
        <w:t>:</w:t>
      </w:r>
    </w:p>
    <w:tbl>
      <w:tblPr>
        <w:tblStyle w:val="TableGrid1"/>
        <w:tblW w:w="0" w:type="auto"/>
        <w:tblInd w:w="1126" w:type="dxa"/>
        <w:tblLayout w:type="fixed"/>
        <w:tblCellMar>
          <w:top w:w="15" w:type="dxa"/>
          <w:left w:w="15" w:type="dxa"/>
          <w:bottom w:w="15" w:type="dxa"/>
          <w:right w:w="15" w:type="dxa"/>
        </w:tblCellMar>
        <w:tblLook w:val="04A0" w:firstRow="1" w:lastRow="0" w:firstColumn="1" w:lastColumn="0" w:noHBand="0" w:noVBand="1"/>
      </w:tblPr>
      <w:tblGrid>
        <w:gridCol w:w="2268"/>
        <w:gridCol w:w="2694"/>
      </w:tblGrid>
      <w:tr w:rsidR="00005213" w:rsidRPr="00721F9F" w14:paraId="1784C83B" w14:textId="77777777" w:rsidTr="00205FC6">
        <w:tc>
          <w:tcPr>
            <w:tcW w:w="4962" w:type="dxa"/>
            <w:gridSpan w:val="2"/>
            <w:tcBorders>
              <w:top w:val="outset" w:sz="6" w:space="0" w:color="auto"/>
              <w:left w:val="outset" w:sz="6" w:space="0" w:color="auto"/>
              <w:bottom w:val="outset" w:sz="6" w:space="0" w:color="auto"/>
              <w:right w:val="outset" w:sz="6" w:space="0" w:color="auto"/>
            </w:tcBorders>
            <w:hideMark/>
          </w:tcPr>
          <w:p w14:paraId="7C16F368" w14:textId="77777777" w:rsidR="00005213" w:rsidRPr="00A9396C" w:rsidRDefault="00005213" w:rsidP="00A9396C">
            <w:pPr>
              <w:pStyle w:val="Alishlah31text"/>
              <w:rPr>
                <w:spacing w:val="-2"/>
              </w:rPr>
            </w:pPr>
            <w:r w:rsidRPr="00A9396C">
              <w:rPr>
                <w:spacing w:val="-2"/>
              </w:rPr>
              <w:t>Test Statisticsa</w:t>
            </w:r>
          </w:p>
        </w:tc>
      </w:tr>
      <w:tr w:rsidR="00005213" w:rsidRPr="00721F9F" w14:paraId="57187823" w14:textId="77777777" w:rsidTr="00205FC6">
        <w:tc>
          <w:tcPr>
            <w:tcW w:w="2268" w:type="dxa"/>
            <w:tcBorders>
              <w:top w:val="nil"/>
              <w:left w:val="outset" w:sz="6" w:space="0" w:color="auto"/>
              <w:bottom w:val="outset" w:sz="6" w:space="0" w:color="auto"/>
              <w:right w:val="outset" w:sz="6" w:space="0" w:color="auto"/>
            </w:tcBorders>
          </w:tcPr>
          <w:p w14:paraId="5C024531" w14:textId="77777777" w:rsidR="00005213" w:rsidRPr="00721F9F" w:rsidRDefault="00005213"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p>
        </w:tc>
        <w:tc>
          <w:tcPr>
            <w:tcW w:w="2694" w:type="dxa"/>
            <w:tcBorders>
              <w:top w:val="outset" w:sz="6" w:space="0" w:color="auto"/>
              <w:left w:val="outset" w:sz="6" w:space="0" w:color="auto"/>
              <w:bottom w:val="outset" w:sz="6" w:space="0" w:color="auto"/>
              <w:right w:val="outset" w:sz="6" w:space="0" w:color="auto"/>
            </w:tcBorders>
            <w:hideMark/>
          </w:tcPr>
          <w:p w14:paraId="5E2546C2" w14:textId="77777777" w:rsidR="00005213" w:rsidRPr="00A9396C" w:rsidRDefault="00005213" w:rsidP="00A9396C">
            <w:pPr>
              <w:pStyle w:val="Alishlah31text"/>
              <w:rPr>
                <w:spacing w:val="-2"/>
              </w:rPr>
            </w:pPr>
            <w:r w:rsidRPr="00A9396C">
              <w:rPr>
                <w:spacing w:val="-2"/>
              </w:rPr>
              <w:t>Posttest Eksperimen - Pretest Eksperimen</w:t>
            </w:r>
          </w:p>
        </w:tc>
      </w:tr>
      <w:tr w:rsidR="00005213" w:rsidRPr="00721F9F" w14:paraId="6D9DF7E1" w14:textId="77777777" w:rsidTr="00205FC6">
        <w:tc>
          <w:tcPr>
            <w:tcW w:w="2268" w:type="dxa"/>
            <w:tcBorders>
              <w:top w:val="nil"/>
              <w:left w:val="outset" w:sz="6" w:space="0" w:color="auto"/>
              <w:bottom w:val="outset" w:sz="6" w:space="0" w:color="auto"/>
              <w:right w:val="outset" w:sz="6" w:space="0" w:color="auto"/>
            </w:tcBorders>
            <w:hideMark/>
          </w:tcPr>
          <w:p w14:paraId="60C5B3A0" w14:textId="77777777" w:rsidR="00005213" w:rsidRPr="00721F9F" w:rsidRDefault="00005213"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Z</w:t>
            </w:r>
          </w:p>
        </w:tc>
        <w:tc>
          <w:tcPr>
            <w:tcW w:w="2694" w:type="dxa"/>
            <w:tcBorders>
              <w:top w:val="nil"/>
              <w:left w:val="outset" w:sz="6" w:space="0" w:color="auto"/>
              <w:bottom w:val="outset" w:sz="6" w:space="0" w:color="auto"/>
              <w:right w:val="outset" w:sz="6" w:space="0" w:color="auto"/>
            </w:tcBorders>
            <w:hideMark/>
          </w:tcPr>
          <w:p w14:paraId="1B88E3F5" w14:textId="77777777" w:rsidR="00005213" w:rsidRPr="00A9396C" w:rsidRDefault="00005213" w:rsidP="00A9396C">
            <w:pPr>
              <w:pStyle w:val="Alishlah31text"/>
              <w:rPr>
                <w:spacing w:val="-2"/>
              </w:rPr>
            </w:pPr>
            <w:r w:rsidRPr="00A9396C">
              <w:rPr>
                <w:spacing w:val="-2"/>
              </w:rPr>
              <w:t>-2,807b</w:t>
            </w:r>
          </w:p>
        </w:tc>
      </w:tr>
      <w:tr w:rsidR="00005213" w:rsidRPr="00721F9F" w14:paraId="48F04780" w14:textId="77777777" w:rsidTr="00205FC6">
        <w:tc>
          <w:tcPr>
            <w:tcW w:w="2268" w:type="dxa"/>
            <w:tcBorders>
              <w:top w:val="nil"/>
              <w:left w:val="outset" w:sz="6" w:space="0" w:color="auto"/>
              <w:bottom w:val="outset" w:sz="6" w:space="0" w:color="auto"/>
              <w:right w:val="outset" w:sz="6" w:space="0" w:color="auto"/>
            </w:tcBorders>
            <w:hideMark/>
          </w:tcPr>
          <w:p w14:paraId="603B76AF" w14:textId="77777777" w:rsidR="00005213" w:rsidRPr="00721F9F" w:rsidRDefault="00005213" w:rsidP="00205FC6">
            <w:pPr>
              <w:adjustRightInd w:val="0"/>
              <w:spacing w:before="100" w:beforeAutospacing="1" w:after="100" w:afterAutospacing="1"/>
              <w:jc w:val="center"/>
              <w:rPr>
                <w:rFonts w:ascii="Times New Roman" w:eastAsia="Calibri" w:hAnsi="Times New Roman" w:cs="Times New Roman"/>
                <w:color w:val="000000"/>
                <w:sz w:val="24"/>
                <w:szCs w:val="24"/>
                <w:lang w:val="id-ID"/>
              </w:rPr>
            </w:pPr>
            <w:r w:rsidRPr="00721F9F">
              <w:rPr>
                <w:rFonts w:ascii="Times New Roman" w:hAnsi="Times New Roman" w:cs="Times New Roman"/>
                <w:sz w:val="24"/>
                <w:szCs w:val="24"/>
                <w:lang w:val="id-ID"/>
              </w:rPr>
              <w:t>Asymp. Sig. (2-tailed)</w:t>
            </w:r>
          </w:p>
        </w:tc>
        <w:tc>
          <w:tcPr>
            <w:tcW w:w="2694" w:type="dxa"/>
            <w:tcBorders>
              <w:top w:val="nil"/>
              <w:left w:val="outset" w:sz="6" w:space="0" w:color="auto"/>
              <w:bottom w:val="outset" w:sz="6" w:space="0" w:color="auto"/>
              <w:right w:val="outset" w:sz="6" w:space="0" w:color="auto"/>
            </w:tcBorders>
            <w:hideMark/>
          </w:tcPr>
          <w:p w14:paraId="644512D4" w14:textId="77777777" w:rsidR="00005213" w:rsidRPr="00A9396C" w:rsidRDefault="00005213" w:rsidP="00A9396C">
            <w:pPr>
              <w:pStyle w:val="Alishlah31text"/>
              <w:rPr>
                <w:spacing w:val="-2"/>
              </w:rPr>
            </w:pPr>
            <w:r w:rsidRPr="00A9396C">
              <w:rPr>
                <w:spacing w:val="-2"/>
              </w:rPr>
              <w:t>,005</w:t>
            </w:r>
          </w:p>
        </w:tc>
      </w:tr>
      <w:tr w:rsidR="00005213" w:rsidRPr="00721F9F" w14:paraId="59727D1A" w14:textId="77777777" w:rsidTr="00205FC6">
        <w:tc>
          <w:tcPr>
            <w:tcW w:w="4962" w:type="dxa"/>
            <w:gridSpan w:val="2"/>
            <w:tcBorders>
              <w:top w:val="nil"/>
              <w:left w:val="outset" w:sz="6" w:space="0" w:color="auto"/>
              <w:bottom w:val="outset" w:sz="6" w:space="0" w:color="auto"/>
              <w:right w:val="outset" w:sz="6" w:space="0" w:color="auto"/>
            </w:tcBorders>
            <w:hideMark/>
          </w:tcPr>
          <w:p w14:paraId="44F3D656" w14:textId="77777777" w:rsidR="00005213" w:rsidRPr="00A9396C" w:rsidRDefault="00005213" w:rsidP="00A9396C">
            <w:pPr>
              <w:pStyle w:val="Alishlah31text"/>
              <w:rPr>
                <w:spacing w:val="-2"/>
              </w:rPr>
            </w:pPr>
            <w:r w:rsidRPr="00A9396C">
              <w:rPr>
                <w:spacing w:val="-2"/>
              </w:rPr>
              <w:t>a. Wilcoxon Signed Ranks Test</w:t>
            </w:r>
          </w:p>
        </w:tc>
      </w:tr>
      <w:tr w:rsidR="00005213" w:rsidRPr="00721F9F" w14:paraId="74ADDC68" w14:textId="77777777" w:rsidTr="00205FC6">
        <w:tc>
          <w:tcPr>
            <w:tcW w:w="4962" w:type="dxa"/>
            <w:gridSpan w:val="2"/>
            <w:tcBorders>
              <w:top w:val="nil"/>
              <w:left w:val="outset" w:sz="6" w:space="0" w:color="auto"/>
              <w:bottom w:val="outset" w:sz="6" w:space="0" w:color="auto"/>
              <w:right w:val="outset" w:sz="6" w:space="0" w:color="auto"/>
            </w:tcBorders>
            <w:hideMark/>
          </w:tcPr>
          <w:p w14:paraId="183642D0" w14:textId="77777777" w:rsidR="00005213" w:rsidRPr="00A9396C" w:rsidRDefault="00005213" w:rsidP="00A9396C">
            <w:pPr>
              <w:pStyle w:val="Alishlah31text"/>
              <w:rPr>
                <w:spacing w:val="-2"/>
              </w:rPr>
            </w:pPr>
            <w:r w:rsidRPr="00A9396C">
              <w:rPr>
                <w:spacing w:val="-2"/>
              </w:rPr>
              <w:t>b. Based on negative ranks.</w:t>
            </w:r>
          </w:p>
        </w:tc>
      </w:tr>
    </w:tbl>
    <w:p w14:paraId="3397E5C1" w14:textId="77777777" w:rsidR="00005213" w:rsidRPr="00A9396C" w:rsidRDefault="00005213" w:rsidP="00005213">
      <w:pPr>
        <w:pStyle w:val="Alishlah31text"/>
        <w:rPr>
          <w:spacing w:val="-2"/>
        </w:rPr>
      </w:pPr>
      <w:r w:rsidRPr="00A9396C">
        <w:rPr>
          <w:spacing w:val="-2"/>
        </w:rPr>
        <w:t>B</w:t>
      </w:r>
      <w:r w:rsidRPr="00A9396C">
        <w:rPr>
          <w:spacing w:val="-2"/>
        </w:rPr>
        <w:t>ased on the results of testing the second hypothesis shows that the probability of Asymp. Sig. (2-tailed) assertive behavior of control group students is 0.005 or a probability below 0.05 (0.005 &lt; 0.05). Based on these results, Ho is rejected and H1 is accepted. Thus, the second hypothesis tested in this study is acceptable, namely "there are significant differences in assertive behavior of Minangkabau women in preventing sexual harassment control group before and after following group guidance services without discordant duo baleh."</w:t>
      </w:r>
    </w:p>
    <w:p w14:paraId="279F135D" w14:textId="72B96AA0" w:rsidR="00B030B0" w:rsidRPr="00A9396C" w:rsidRDefault="00005213" w:rsidP="00B030B0">
      <w:pPr>
        <w:pStyle w:val="Alishlah31text"/>
        <w:rPr>
          <w:spacing w:val="-2"/>
        </w:rPr>
      </w:pPr>
      <w:r w:rsidRPr="00A9396C">
        <w:rPr>
          <w:spacing w:val="-2"/>
        </w:rPr>
        <w:t>In addition, the results of the study obtained scores of assertive behavior of Minangkabau women in preventing sexual harassment in the control group before being given different treatment with assertive behavior in preventing sexual harassment after being given treatment. The average score of pretest assertive behavior in preventing sexual harassment in Minangkabau female students without using duo baleh is equal to 131.8 in the low category. After being given group guidance without using discordant duo baleh, the assertive behavior of Minangkabau female students increased with the acquisition of the average score posttest control group was 153.9 in the medium category.</w:t>
      </w:r>
      <w:r w:rsidR="001C4854" w:rsidRPr="00A9396C">
        <w:rPr>
          <w:spacing w:val="-2"/>
        </w:rPr>
        <w:cr/>
      </w:r>
      <w:r w:rsidR="00B030B0" w:rsidRPr="00A9396C">
        <w:rPr>
          <w:spacing w:val="-2"/>
        </w:rPr>
        <w:lastRenderedPageBreak/>
        <w:t>Table 4. Results of Analysis of Maan-Whitney Test of Assertive Behavior of Minangkabau Women in Preventing Sexual Harassment of Experimental Group and Control Group</w:t>
      </w:r>
      <w:r w:rsidR="00B030B0" w:rsidRPr="00A9396C">
        <w:rPr>
          <w:spacing w:val="-2"/>
        </w:rPr>
        <w:t>:</w:t>
      </w:r>
    </w:p>
    <w:tbl>
      <w:tblPr>
        <w:tblStyle w:val="TableGrid"/>
        <w:tblW w:w="0" w:type="auto"/>
        <w:tblInd w:w="1413" w:type="dxa"/>
        <w:tblLook w:val="04A0" w:firstRow="1" w:lastRow="0" w:firstColumn="1" w:lastColumn="0" w:noHBand="0" w:noVBand="1"/>
      </w:tblPr>
      <w:tblGrid>
        <w:gridCol w:w="3402"/>
        <w:gridCol w:w="2126"/>
      </w:tblGrid>
      <w:tr w:rsidR="00B030B0" w:rsidRPr="00A9396C" w14:paraId="5B44A96C" w14:textId="77777777" w:rsidTr="00205FC6">
        <w:tc>
          <w:tcPr>
            <w:tcW w:w="3402" w:type="dxa"/>
          </w:tcPr>
          <w:p w14:paraId="5BC9F771" w14:textId="77777777" w:rsidR="00B030B0" w:rsidRPr="00A9396C" w:rsidRDefault="00B030B0" w:rsidP="00A9396C">
            <w:pPr>
              <w:pStyle w:val="Alishlah31text"/>
              <w:rPr>
                <w:spacing w:val="-2"/>
                <w:szCs w:val="22"/>
              </w:rPr>
            </w:pPr>
          </w:p>
        </w:tc>
        <w:tc>
          <w:tcPr>
            <w:tcW w:w="2126" w:type="dxa"/>
          </w:tcPr>
          <w:p w14:paraId="6E26A2E9" w14:textId="77777777" w:rsidR="00B030B0" w:rsidRPr="00A9396C" w:rsidRDefault="00B030B0" w:rsidP="00A9396C">
            <w:pPr>
              <w:pStyle w:val="Alishlah31text"/>
              <w:rPr>
                <w:spacing w:val="-2"/>
                <w:szCs w:val="22"/>
              </w:rPr>
            </w:pPr>
            <w:r w:rsidRPr="00A9396C">
              <w:rPr>
                <w:spacing w:val="-2"/>
                <w:szCs w:val="22"/>
              </w:rPr>
              <w:t>Hasil</w:t>
            </w:r>
          </w:p>
        </w:tc>
      </w:tr>
      <w:tr w:rsidR="00B030B0" w:rsidRPr="00A9396C" w14:paraId="7A555B83" w14:textId="77777777" w:rsidTr="00205FC6">
        <w:tc>
          <w:tcPr>
            <w:tcW w:w="3402" w:type="dxa"/>
          </w:tcPr>
          <w:p w14:paraId="742479E9" w14:textId="77777777" w:rsidR="00B030B0" w:rsidRPr="00A9396C" w:rsidRDefault="00B030B0" w:rsidP="00A9396C">
            <w:pPr>
              <w:pStyle w:val="Alishlah31text"/>
              <w:rPr>
                <w:spacing w:val="-2"/>
                <w:szCs w:val="22"/>
              </w:rPr>
            </w:pPr>
            <w:r w:rsidRPr="00A9396C">
              <w:rPr>
                <w:spacing w:val="-2"/>
                <w:szCs w:val="22"/>
              </w:rPr>
              <w:t>Maan-Whitney U</w:t>
            </w:r>
          </w:p>
        </w:tc>
        <w:tc>
          <w:tcPr>
            <w:tcW w:w="2126" w:type="dxa"/>
          </w:tcPr>
          <w:p w14:paraId="3665CC24" w14:textId="77777777" w:rsidR="00B030B0" w:rsidRPr="00A9396C" w:rsidRDefault="00B030B0" w:rsidP="00A9396C">
            <w:pPr>
              <w:pStyle w:val="Alishlah31text"/>
              <w:rPr>
                <w:spacing w:val="-2"/>
                <w:szCs w:val="22"/>
              </w:rPr>
            </w:pPr>
            <w:r w:rsidRPr="00A9396C">
              <w:rPr>
                <w:spacing w:val="-2"/>
                <w:szCs w:val="22"/>
              </w:rPr>
              <w:t>17.500</w:t>
            </w:r>
          </w:p>
        </w:tc>
      </w:tr>
      <w:tr w:rsidR="00B030B0" w:rsidRPr="00A9396C" w14:paraId="76F8DB8D" w14:textId="77777777" w:rsidTr="00205FC6">
        <w:tc>
          <w:tcPr>
            <w:tcW w:w="3402" w:type="dxa"/>
          </w:tcPr>
          <w:p w14:paraId="37A4BA02" w14:textId="77777777" w:rsidR="00B030B0" w:rsidRPr="00A9396C" w:rsidRDefault="00B030B0" w:rsidP="00A9396C">
            <w:pPr>
              <w:pStyle w:val="Alishlah31text"/>
              <w:rPr>
                <w:spacing w:val="-2"/>
                <w:szCs w:val="22"/>
              </w:rPr>
            </w:pPr>
            <w:r w:rsidRPr="00A9396C">
              <w:rPr>
                <w:spacing w:val="-2"/>
                <w:szCs w:val="22"/>
              </w:rPr>
              <w:t>Wilcoxon W</w:t>
            </w:r>
          </w:p>
        </w:tc>
        <w:tc>
          <w:tcPr>
            <w:tcW w:w="2126" w:type="dxa"/>
          </w:tcPr>
          <w:p w14:paraId="4580BDA9" w14:textId="77777777" w:rsidR="00B030B0" w:rsidRPr="00A9396C" w:rsidRDefault="00B030B0" w:rsidP="00A9396C">
            <w:pPr>
              <w:pStyle w:val="Alishlah31text"/>
              <w:rPr>
                <w:spacing w:val="-2"/>
                <w:szCs w:val="22"/>
              </w:rPr>
            </w:pPr>
            <w:r w:rsidRPr="00A9396C">
              <w:rPr>
                <w:spacing w:val="-2"/>
                <w:szCs w:val="22"/>
              </w:rPr>
              <w:t>72.500</w:t>
            </w:r>
          </w:p>
        </w:tc>
      </w:tr>
      <w:tr w:rsidR="00B030B0" w:rsidRPr="00A9396C" w14:paraId="5E09690A" w14:textId="77777777" w:rsidTr="00205FC6">
        <w:tc>
          <w:tcPr>
            <w:tcW w:w="3402" w:type="dxa"/>
          </w:tcPr>
          <w:p w14:paraId="440BA449" w14:textId="77777777" w:rsidR="00B030B0" w:rsidRPr="00A9396C" w:rsidRDefault="00B030B0" w:rsidP="00A9396C">
            <w:pPr>
              <w:pStyle w:val="Alishlah31text"/>
              <w:rPr>
                <w:spacing w:val="-2"/>
                <w:szCs w:val="22"/>
              </w:rPr>
            </w:pPr>
            <w:r w:rsidRPr="00A9396C">
              <w:rPr>
                <w:spacing w:val="-2"/>
                <w:szCs w:val="22"/>
              </w:rPr>
              <w:t>Z</w:t>
            </w:r>
          </w:p>
        </w:tc>
        <w:tc>
          <w:tcPr>
            <w:tcW w:w="2126" w:type="dxa"/>
          </w:tcPr>
          <w:p w14:paraId="0DAA6C4C" w14:textId="77777777" w:rsidR="00B030B0" w:rsidRPr="00A9396C" w:rsidRDefault="00B030B0" w:rsidP="00A9396C">
            <w:pPr>
              <w:pStyle w:val="Alishlah31text"/>
              <w:rPr>
                <w:spacing w:val="-2"/>
                <w:szCs w:val="22"/>
              </w:rPr>
            </w:pPr>
            <w:r w:rsidRPr="00A9396C">
              <w:rPr>
                <w:spacing w:val="-2"/>
                <w:szCs w:val="22"/>
              </w:rPr>
              <w:t>-2.462</w:t>
            </w:r>
          </w:p>
        </w:tc>
      </w:tr>
      <w:tr w:rsidR="00B030B0" w:rsidRPr="00A9396C" w14:paraId="3EBED671" w14:textId="77777777" w:rsidTr="00205FC6">
        <w:tc>
          <w:tcPr>
            <w:tcW w:w="3402" w:type="dxa"/>
          </w:tcPr>
          <w:p w14:paraId="2A0F7EC6" w14:textId="77777777" w:rsidR="00B030B0" w:rsidRPr="00A9396C" w:rsidRDefault="00B030B0" w:rsidP="00A9396C">
            <w:pPr>
              <w:pStyle w:val="Alishlah31text"/>
              <w:rPr>
                <w:spacing w:val="-2"/>
                <w:szCs w:val="22"/>
              </w:rPr>
            </w:pPr>
            <w:r w:rsidRPr="00A9396C">
              <w:rPr>
                <w:spacing w:val="-2"/>
                <w:szCs w:val="22"/>
              </w:rPr>
              <w:t>Asymo. Sig. (2-tailed)</w:t>
            </w:r>
          </w:p>
        </w:tc>
        <w:tc>
          <w:tcPr>
            <w:tcW w:w="2126" w:type="dxa"/>
          </w:tcPr>
          <w:p w14:paraId="2F7F391D" w14:textId="77777777" w:rsidR="00B030B0" w:rsidRPr="00A9396C" w:rsidRDefault="00B030B0" w:rsidP="00A9396C">
            <w:pPr>
              <w:pStyle w:val="Alishlah31text"/>
              <w:rPr>
                <w:spacing w:val="-2"/>
                <w:szCs w:val="22"/>
              </w:rPr>
            </w:pPr>
            <w:r w:rsidRPr="00A9396C">
              <w:rPr>
                <w:spacing w:val="-2"/>
                <w:szCs w:val="22"/>
              </w:rPr>
              <w:t>.014</w:t>
            </w:r>
          </w:p>
        </w:tc>
      </w:tr>
      <w:tr w:rsidR="00B030B0" w:rsidRPr="00A9396C" w14:paraId="7F6BF2A5" w14:textId="77777777" w:rsidTr="00205FC6">
        <w:tc>
          <w:tcPr>
            <w:tcW w:w="3402" w:type="dxa"/>
          </w:tcPr>
          <w:p w14:paraId="3A357CC6" w14:textId="77777777" w:rsidR="00B030B0" w:rsidRPr="00A9396C" w:rsidRDefault="00B030B0" w:rsidP="00A9396C">
            <w:pPr>
              <w:pStyle w:val="Alishlah31text"/>
              <w:rPr>
                <w:spacing w:val="-2"/>
                <w:szCs w:val="22"/>
              </w:rPr>
            </w:pPr>
            <w:r w:rsidRPr="00A9396C">
              <w:rPr>
                <w:spacing w:val="-2"/>
                <w:szCs w:val="22"/>
              </w:rPr>
              <w:t>Exact Sig. [2*(1-tailed Sig.)]</w:t>
            </w:r>
          </w:p>
        </w:tc>
        <w:tc>
          <w:tcPr>
            <w:tcW w:w="2126" w:type="dxa"/>
          </w:tcPr>
          <w:p w14:paraId="31009BF6" w14:textId="77777777" w:rsidR="00B030B0" w:rsidRPr="00A9396C" w:rsidRDefault="00B030B0" w:rsidP="00A9396C">
            <w:pPr>
              <w:pStyle w:val="Alishlah31text"/>
              <w:rPr>
                <w:spacing w:val="-2"/>
                <w:szCs w:val="22"/>
              </w:rPr>
            </w:pPr>
            <w:r w:rsidRPr="00A9396C">
              <w:rPr>
                <w:spacing w:val="-2"/>
                <w:szCs w:val="22"/>
              </w:rPr>
              <w:t>.011b</w:t>
            </w:r>
          </w:p>
        </w:tc>
      </w:tr>
    </w:tbl>
    <w:p w14:paraId="257F9784" w14:textId="77777777" w:rsidR="000210A5" w:rsidRPr="00A9396C" w:rsidRDefault="000210A5" w:rsidP="00A9396C">
      <w:pPr>
        <w:pStyle w:val="Alishlah31text"/>
        <w:ind w:left="720" w:firstLine="720"/>
        <w:rPr>
          <w:spacing w:val="-2"/>
        </w:rPr>
      </w:pPr>
      <w:r w:rsidRPr="00A9396C">
        <w:rPr>
          <w:spacing w:val="-2"/>
        </w:rPr>
        <w:t>a. Grouping Variable : Posttest Eksperimen dan Posttest Kontrol</w:t>
      </w:r>
    </w:p>
    <w:p w14:paraId="00947E9D" w14:textId="2F4C8463" w:rsidR="00B030B0" w:rsidRPr="00A9396C" w:rsidRDefault="000210A5" w:rsidP="00A9396C">
      <w:pPr>
        <w:pStyle w:val="Alishlah31text"/>
        <w:ind w:left="720" w:firstLine="720"/>
        <w:rPr>
          <w:spacing w:val="-2"/>
        </w:rPr>
      </w:pPr>
      <w:r w:rsidRPr="00A9396C">
        <w:rPr>
          <w:spacing w:val="-2"/>
        </w:rPr>
        <w:t xml:space="preserve">b. Not Corrected for ties. </w:t>
      </w:r>
      <w:r w:rsidRPr="00A9396C">
        <w:rPr>
          <w:spacing w:val="-2"/>
        </w:rPr>
        <w:cr/>
      </w:r>
    </w:p>
    <w:p w14:paraId="03397325" w14:textId="77777777" w:rsidR="004E6A3F" w:rsidRPr="00A9396C" w:rsidRDefault="004E6A3F" w:rsidP="004E6A3F">
      <w:pPr>
        <w:pStyle w:val="Alishlah31text"/>
        <w:rPr>
          <w:spacing w:val="-2"/>
        </w:rPr>
      </w:pPr>
      <w:r w:rsidRPr="00A9396C">
        <w:rPr>
          <w:spacing w:val="-2"/>
        </w:rPr>
        <w:t>Based on the results of testing the third hypothesis there are significant differences in assertive behavior of Minangkabau women in preventing sexual harassment in the experimental group who follow the guidance of the group using the duo baleh with the control group without using the duo baleh. The results showed that Sig. (2 tailed) assertive behavior of Minangkabau women experimental group and the control group of 0.11 or probability below 0.05 (0.11 &lt; 0.05). Thus, group guidance using discordant duo baleh in improving assertive behavior of Minangkabau women in preventing sexual harassment in the experimental group was more effective than the control group without using discordant duo baleh. This effectiveness was seen from posttest assertive behavior in preventing sexual harassment in the experimental group which increased higher than the control group.</w:t>
      </w:r>
    </w:p>
    <w:p w14:paraId="6B992225" w14:textId="7084A164" w:rsidR="004E6A3F" w:rsidRPr="00A9396C" w:rsidRDefault="004E6A3F" w:rsidP="004E6A3F">
      <w:pPr>
        <w:pStyle w:val="Alishlah31text"/>
        <w:rPr>
          <w:spacing w:val="-2"/>
        </w:rPr>
      </w:pPr>
      <w:r w:rsidRPr="00A9396C">
        <w:rPr>
          <w:spacing w:val="-2"/>
        </w:rPr>
        <w:t xml:space="preserve">From these results, Ho is rejected and Ha is accepted. The third hypothesis tested in this study is acceptable, that there is a significant difference in the level of assertive behavior of Minangkabau women in preventing sexual harassment between the experimental group given group guidance using discordant duo baleh with the control group given group guidance without discordant duo baleh, because there is a significant difference it can be said that there is an effect of the implementation of group guidance based discordant duo baleh in improving the assertive behavior of Minangkabau women in preventing sexual harassment. </w:t>
      </w:r>
    </w:p>
    <w:p w14:paraId="61506C54" w14:textId="4DFAF8EE" w:rsidR="001C4854" w:rsidRPr="00721F9F" w:rsidRDefault="004E6A3F" w:rsidP="000D12F1">
      <w:pPr>
        <w:pStyle w:val="Alishlah31text"/>
        <w:rPr>
          <w:spacing w:val="-2"/>
          <w:lang w:val="id-ID"/>
        </w:rPr>
      </w:pPr>
      <w:r w:rsidRPr="00A9396C">
        <w:rPr>
          <w:spacing w:val="-2"/>
        </w:rPr>
        <w:t>The results of the research that has been put forward prove the application of cultural values in education to be important, especially in facing the challenges of globalization that can erode local cultural identity. Education not only serves as a transfer of knowledge, but also as a medium for preservation and inheritance of the noble values of national culture. This is supported by the findings of Sudapi research (2025) which shows that culture-based education is able to increase awareness in the younger generation in understanding and menginternalisasikan traditional values in their daily lives. Through this approach, Minangkabau women can not only acquire cognitive knowledge, but also the values of character, ethics, and social responsibility derived from local culture (Aldi et al., 2025). That way, culture-based education can be an important strategy in building a strong national character, rooted in local wisdom but able to deal with the flow of modernization wisely</w:t>
      </w:r>
      <w:r w:rsidRPr="00721F9F">
        <w:rPr>
          <w:rFonts w:ascii="Times New Roman" w:hAnsi="Times New Roman"/>
          <w:bCs/>
          <w:lang w:val="id-ID"/>
        </w:rPr>
        <w:t xml:space="preserve">. </w:t>
      </w:r>
    </w:p>
    <w:p w14:paraId="70EF7A9E" w14:textId="681515D5" w:rsidR="005B5AEC" w:rsidRPr="00721F9F" w:rsidRDefault="005B5AEC" w:rsidP="002A02C2">
      <w:pPr>
        <w:pStyle w:val="Alishlah21heading1"/>
        <w:rPr>
          <w:rFonts w:eastAsia="Arial"/>
          <w:lang w:val="id-ID"/>
        </w:rPr>
      </w:pPr>
      <w:r w:rsidRPr="00721F9F">
        <w:rPr>
          <w:rFonts w:eastAsia="Arial"/>
          <w:lang w:val="id-ID"/>
        </w:rPr>
        <w:t xml:space="preserve">CONCLUSION </w:t>
      </w:r>
    </w:p>
    <w:p w14:paraId="3C0495AB" w14:textId="1700FC5A" w:rsidR="000D12F1" w:rsidRPr="00A9396C" w:rsidRDefault="000D12F1" w:rsidP="00A9396C">
      <w:pPr>
        <w:pStyle w:val="Alishlah31text"/>
        <w:rPr>
          <w:spacing w:val="-2"/>
        </w:rPr>
      </w:pPr>
      <w:r w:rsidRPr="00A9396C">
        <w:rPr>
          <w:spacing w:val="-2"/>
        </w:rPr>
        <w:t>Based on the results of research and discussion that has been done, obtained several conclusions, namely: 1) There are significant differences in assertive behavior of students in the experimental group before and after following the guidance service discordant duo baleh group, 2) There are significant differences in assertive behavior of students in the group before and after following the guidance service group without special treatment, 3) There are significant differences in assertive behavior of students between the experimental group following the guidance service group with discordant duo baleh and the control group provided services group guidance without special treatment. Thus, it can be concluded that group guidance services based on duo baleh proved to be more effective in improving the assertive behavior of Minangkabau female students compared to group</w:t>
      </w:r>
      <w:r w:rsidR="002B1B68" w:rsidRPr="00A9396C">
        <w:rPr>
          <w:spacing w:val="-2"/>
        </w:rPr>
        <w:t>.</w:t>
      </w:r>
      <w:r w:rsidRPr="00A9396C">
        <w:rPr>
          <w:spacing w:val="-2"/>
        </w:rPr>
        <w:t xml:space="preserve"> guidance services without special </w:t>
      </w:r>
      <w:r w:rsidRPr="00A9396C">
        <w:rPr>
          <w:spacing w:val="-2"/>
        </w:rPr>
        <w:lastRenderedPageBreak/>
        <w:t>treatment.</w:t>
      </w:r>
      <w:r w:rsidRPr="00A9396C">
        <w:rPr>
          <w:spacing w:val="-2"/>
        </w:rPr>
        <w:cr/>
      </w:r>
    </w:p>
    <w:p w14:paraId="684C87B5" w14:textId="25F6D390" w:rsidR="002B1B68" w:rsidRPr="00721F9F" w:rsidRDefault="005B5AEC" w:rsidP="002B1B68">
      <w:pPr>
        <w:pStyle w:val="Alishlah21heading1"/>
        <w:numPr>
          <w:ilvl w:val="0"/>
          <w:numId w:val="0"/>
        </w:numPr>
        <w:rPr>
          <w:rFonts w:eastAsia="Arial"/>
          <w:lang w:val="id-ID"/>
        </w:rPr>
      </w:pPr>
      <w:r w:rsidRPr="00721F9F">
        <w:rPr>
          <w:rFonts w:eastAsia="Arial"/>
          <w:lang w:val="id-ID"/>
        </w:rPr>
        <w:t>REFERENCES</w:t>
      </w:r>
    </w:p>
    <w:p w14:paraId="0043FE2F"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bCs/>
          <w:sz w:val="18"/>
          <w:szCs w:val="18"/>
          <w:lang w:val="id-ID"/>
        </w:rPr>
        <w:fldChar w:fldCharType="begin" w:fldLock="1"/>
      </w:r>
      <w:r w:rsidRPr="00721F9F">
        <w:rPr>
          <w:rFonts w:ascii="Times New Roman" w:hAnsi="Times New Roman" w:cs="Times New Roman"/>
          <w:bCs/>
          <w:sz w:val="18"/>
          <w:szCs w:val="18"/>
          <w:lang w:val="id-ID"/>
        </w:rPr>
        <w:instrText xml:space="preserve">ADDIN Mendeley Bibliography CSL_BIBLIOGRAPHY </w:instrText>
      </w:r>
      <w:r w:rsidRPr="00721F9F">
        <w:rPr>
          <w:rFonts w:ascii="Times New Roman" w:hAnsi="Times New Roman" w:cs="Times New Roman"/>
          <w:bCs/>
          <w:sz w:val="18"/>
          <w:szCs w:val="18"/>
          <w:lang w:val="id-ID"/>
        </w:rPr>
        <w:fldChar w:fldCharType="separate"/>
      </w:r>
      <w:r w:rsidRPr="00721F9F">
        <w:rPr>
          <w:rFonts w:ascii="Times New Roman" w:hAnsi="Times New Roman" w:cs="Times New Roman"/>
          <w:noProof/>
          <w:sz w:val="18"/>
          <w:szCs w:val="18"/>
          <w:lang w:val="id-ID"/>
        </w:rPr>
        <w:t xml:space="preserve">Aguilar, S. J., &amp; Baek, C. (2020). Sexual Harassment in Academe is Underreported, Especially by Students in the Life and Physical Sciences. </w:t>
      </w:r>
      <w:r w:rsidRPr="00721F9F">
        <w:rPr>
          <w:rFonts w:ascii="Times New Roman" w:hAnsi="Times New Roman" w:cs="Times New Roman"/>
          <w:i/>
          <w:iCs/>
          <w:noProof/>
          <w:sz w:val="18"/>
          <w:szCs w:val="18"/>
          <w:lang w:val="id-ID"/>
        </w:rPr>
        <w:t>PloS One</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15</w:t>
      </w:r>
      <w:r w:rsidRPr="00721F9F">
        <w:rPr>
          <w:rFonts w:ascii="Times New Roman" w:hAnsi="Times New Roman" w:cs="Times New Roman"/>
          <w:noProof/>
          <w:sz w:val="18"/>
          <w:szCs w:val="18"/>
          <w:lang w:val="id-ID"/>
        </w:rPr>
        <w:t>(3), e0230312.</w:t>
      </w:r>
    </w:p>
    <w:p w14:paraId="4B7B060C"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Al Atikho, K., Ramli, M., &amp; Wahyuni, F. (2023). Keefektifan Bimbingan Kelompok dengan Teknik Structured Learning Approach untuk Meningkatkan Perilaku Asertif Siswa SMK dalam Mencegah Pelecehan Seksual. </w:t>
      </w:r>
      <w:r w:rsidRPr="00721F9F">
        <w:rPr>
          <w:rFonts w:ascii="Times New Roman" w:hAnsi="Times New Roman" w:cs="Times New Roman"/>
          <w:i/>
          <w:iCs/>
          <w:noProof/>
          <w:sz w:val="18"/>
          <w:szCs w:val="18"/>
          <w:lang w:val="id-ID"/>
        </w:rPr>
        <w:t>Jurnal Pembelajaran, Bimbingan, Dan Pengelolaan Pendidikan</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3</w:t>
      </w:r>
      <w:r w:rsidRPr="00721F9F">
        <w:rPr>
          <w:rFonts w:ascii="Times New Roman" w:hAnsi="Times New Roman" w:cs="Times New Roman"/>
          <w:noProof/>
          <w:sz w:val="18"/>
          <w:szCs w:val="18"/>
          <w:lang w:val="id-ID"/>
        </w:rPr>
        <w:t>(4), 311–319.</w:t>
      </w:r>
    </w:p>
    <w:p w14:paraId="49A3E44F"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Alberti, R. &amp; Emmons, M. (2017). </w:t>
      </w:r>
      <w:r w:rsidRPr="00721F9F">
        <w:rPr>
          <w:rFonts w:ascii="Times New Roman" w:hAnsi="Times New Roman" w:cs="Times New Roman"/>
          <w:i/>
          <w:iCs/>
          <w:noProof/>
          <w:sz w:val="18"/>
          <w:szCs w:val="18"/>
          <w:lang w:val="id-ID"/>
        </w:rPr>
        <w:t>Your Perfect Right</w:t>
      </w:r>
      <w:r w:rsidRPr="00721F9F">
        <w:rPr>
          <w:rFonts w:ascii="Times New Roman" w:hAnsi="Times New Roman" w:cs="Times New Roman"/>
          <w:noProof/>
          <w:sz w:val="18"/>
          <w:szCs w:val="18"/>
          <w:lang w:val="id-ID"/>
        </w:rPr>
        <w:t>. California: Impact Publishers.</w:t>
      </w:r>
    </w:p>
    <w:p w14:paraId="2F7A8CC8"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Aldi, M., &amp; Barizi, A. (2025). Filsafat Ilmu dalam Perspektif Budaya Alam Minangkabau: Membangun Kearifan Lokal untuk Pengembangan Pengetahuan. </w:t>
      </w:r>
      <w:r w:rsidRPr="00721F9F">
        <w:rPr>
          <w:rFonts w:ascii="Times New Roman" w:hAnsi="Times New Roman" w:cs="Times New Roman"/>
          <w:i/>
          <w:iCs/>
          <w:noProof/>
          <w:sz w:val="18"/>
          <w:szCs w:val="18"/>
          <w:lang w:val="id-ID"/>
        </w:rPr>
        <w:t>Teaching and Learning Journal of Mandalika (Teacher) e-ISSN 2721-9666</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6</w:t>
      </w:r>
      <w:r w:rsidRPr="00721F9F">
        <w:rPr>
          <w:rFonts w:ascii="Times New Roman" w:hAnsi="Times New Roman" w:cs="Times New Roman"/>
          <w:noProof/>
          <w:sz w:val="18"/>
          <w:szCs w:val="18"/>
          <w:lang w:val="id-ID"/>
        </w:rPr>
        <w:t>(1), 212–221.</w:t>
      </w:r>
    </w:p>
    <w:p w14:paraId="0B77A595"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Alfarid, A., Junior, C. T., &amp; Ramadani, P. (2022). Implikasi Penetapan Adat Basandi Syarak-Syarak Basandi Kitabullah Dalam Undang-Undang Nomor 17 Tahun 2022 Tentang Sumatra Barat Terhadap Politik Hukum Pemerintah Daerah Sumatra Barat. </w:t>
      </w:r>
      <w:r w:rsidRPr="00721F9F">
        <w:rPr>
          <w:rFonts w:ascii="Times New Roman" w:hAnsi="Times New Roman" w:cs="Times New Roman"/>
          <w:i/>
          <w:iCs/>
          <w:noProof/>
          <w:sz w:val="18"/>
          <w:szCs w:val="18"/>
          <w:lang w:val="id-ID"/>
        </w:rPr>
        <w:t>Jurnal Hukum Lex Generalis</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3</w:t>
      </w:r>
      <w:r w:rsidRPr="00721F9F">
        <w:rPr>
          <w:rFonts w:ascii="Times New Roman" w:hAnsi="Times New Roman" w:cs="Times New Roman"/>
          <w:noProof/>
          <w:sz w:val="18"/>
          <w:szCs w:val="18"/>
          <w:lang w:val="id-ID"/>
        </w:rPr>
        <w:t>(10), 776–794.</w:t>
      </w:r>
    </w:p>
    <w:p w14:paraId="0817FF34"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Ampuno, S. (2020). Perilaku Asertif Generasi Milenial dalam Perspektif Psikologi Islam. </w:t>
      </w:r>
      <w:r w:rsidRPr="00721F9F">
        <w:rPr>
          <w:rFonts w:ascii="Times New Roman" w:hAnsi="Times New Roman" w:cs="Times New Roman"/>
          <w:i/>
          <w:iCs/>
          <w:noProof/>
          <w:sz w:val="18"/>
          <w:szCs w:val="18"/>
          <w:lang w:val="id-ID"/>
        </w:rPr>
        <w:t>JIVA: Journal of Behaviour and Mental Health</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w:t>
      </w:r>
      <w:r w:rsidRPr="00721F9F">
        <w:rPr>
          <w:rFonts w:ascii="Times New Roman" w:hAnsi="Times New Roman" w:cs="Times New Roman"/>
          <w:noProof/>
          <w:sz w:val="18"/>
          <w:szCs w:val="18"/>
          <w:lang w:val="id-ID"/>
        </w:rPr>
        <w:t>(1).</w:t>
      </w:r>
    </w:p>
    <w:p w14:paraId="1BA6189A"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Ardaningrum, D. Z., &amp; Savira, S. I. (2022). Hubungan antara Harga Diri dengan Perilaku Asertif Mahasiswa Selama Masa Pandemi. </w:t>
      </w:r>
      <w:r w:rsidRPr="00721F9F">
        <w:rPr>
          <w:rFonts w:ascii="Times New Roman" w:hAnsi="Times New Roman" w:cs="Times New Roman"/>
          <w:i/>
          <w:iCs/>
          <w:noProof/>
          <w:sz w:val="18"/>
          <w:szCs w:val="18"/>
          <w:lang w:val="id-ID"/>
        </w:rPr>
        <w:t>Jurnal Penelitian Psikologi</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9</w:t>
      </w:r>
      <w:r w:rsidRPr="00721F9F">
        <w:rPr>
          <w:rFonts w:ascii="Times New Roman" w:hAnsi="Times New Roman" w:cs="Times New Roman"/>
          <w:noProof/>
          <w:sz w:val="18"/>
          <w:szCs w:val="18"/>
          <w:lang w:val="id-ID"/>
        </w:rPr>
        <w:t>(7), 107–120.</w:t>
      </w:r>
    </w:p>
    <w:p w14:paraId="4E0A93F3"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Ariani, I. (2015). Nilai Filosofis Budaya Matrilineal di Minangkabau (Relevansinya bagi Pengembangan Hak-Hak Perempuan di Indonesia). </w:t>
      </w:r>
      <w:r w:rsidRPr="00721F9F">
        <w:rPr>
          <w:rFonts w:ascii="Times New Roman" w:hAnsi="Times New Roman" w:cs="Times New Roman"/>
          <w:i/>
          <w:iCs/>
          <w:noProof/>
          <w:sz w:val="18"/>
          <w:szCs w:val="18"/>
          <w:lang w:val="id-ID"/>
        </w:rPr>
        <w:t>Jurnal Filsafat</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25</w:t>
      </w:r>
      <w:r w:rsidRPr="00721F9F">
        <w:rPr>
          <w:rFonts w:ascii="Times New Roman" w:hAnsi="Times New Roman" w:cs="Times New Roman"/>
          <w:noProof/>
          <w:sz w:val="18"/>
          <w:szCs w:val="18"/>
          <w:lang w:val="id-ID"/>
        </w:rPr>
        <w:t>(1), 32–55.</w:t>
      </w:r>
    </w:p>
    <w:p w14:paraId="06DAC07A"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Aryanto, W., Arumsari, C., &amp; Sulistiana, D. (2021). Hubungan Antara Harga Diri dengan Perilaku Asertif Pada Remaja. </w:t>
      </w:r>
      <w:r w:rsidRPr="00721F9F">
        <w:rPr>
          <w:rFonts w:ascii="Times New Roman" w:hAnsi="Times New Roman" w:cs="Times New Roman"/>
          <w:i/>
          <w:iCs/>
          <w:noProof/>
          <w:sz w:val="18"/>
          <w:szCs w:val="18"/>
          <w:lang w:val="id-ID"/>
        </w:rPr>
        <w:t>QUANTA</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5</w:t>
      </w:r>
      <w:r w:rsidRPr="00721F9F">
        <w:rPr>
          <w:rFonts w:ascii="Times New Roman" w:hAnsi="Times New Roman" w:cs="Times New Roman"/>
          <w:noProof/>
          <w:sz w:val="18"/>
          <w:szCs w:val="18"/>
          <w:lang w:val="id-ID"/>
        </w:rPr>
        <w:t>(3), 95–105.</w:t>
      </w:r>
    </w:p>
    <w:p w14:paraId="1116AAB7"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CNN Indonesia. (2020). </w:t>
      </w:r>
      <w:r w:rsidRPr="00721F9F">
        <w:rPr>
          <w:rFonts w:ascii="Times New Roman" w:hAnsi="Times New Roman" w:cs="Times New Roman"/>
          <w:i/>
          <w:iCs/>
          <w:noProof/>
          <w:sz w:val="18"/>
          <w:szCs w:val="18"/>
          <w:lang w:val="id-ID"/>
        </w:rPr>
        <w:t>Jadi Tersangka Kasus Pencabulan, Dosen UNP Belum Ditahan</w:t>
      </w:r>
      <w:r w:rsidRPr="00721F9F">
        <w:rPr>
          <w:rFonts w:ascii="Times New Roman" w:hAnsi="Times New Roman" w:cs="Times New Roman"/>
          <w:noProof/>
          <w:sz w:val="18"/>
          <w:szCs w:val="18"/>
          <w:lang w:val="id-ID"/>
        </w:rPr>
        <w:t>.</w:t>
      </w:r>
    </w:p>
    <w:p w14:paraId="2D9FF045"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Dilova, G., Syukron, M., Siregar, S. A., &amp; Hasanah, A. N. (2022). The Role of Minangkabau Women in Family and Community in Gender Fair Development. </w:t>
      </w:r>
      <w:r w:rsidRPr="00721F9F">
        <w:rPr>
          <w:rFonts w:ascii="Times New Roman" w:hAnsi="Times New Roman" w:cs="Times New Roman"/>
          <w:i/>
          <w:iCs/>
          <w:noProof/>
          <w:sz w:val="18"/>
          <w:szCs w:val="18"/>
          <w:lang w:val="id-ID"/>
        </w:rPr>
        <w:t>JCH (Jurnal Cendekia Hukum)</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8</w:t>
      </w:r>
      <w:r w:rsidRPr="00721F9F">
        <w:rPr>
          <w:rFonts w:ascii="Times New Roman" w:hAnsi="Times New Roman" w:cs="Times New Roman"/>
          <w:noProof/>
          <w:sz w:val="18"/>
          <w:szCs w:val="18"/>
          <w:lang w:val="id-ID"/>
        </w:rPr>
        <w:t>(1), 60–70.</w:t>
      </w:r>
    </w:p>
    <w:p w14:paraId="6BD14CF9"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Fauzan, M., &amp; Aprison, W. (2025). Islam dan Adat Minangkabau: Implikasi Terhadap Pendidikan Perempuan di Era Globalisasi. </w:t>
      </w:r>
      <w:r w:rsidRPr="00721F9F">
        <w:rPr>
          <w:rFonts w:ascii="Times New Roman" w:hAnsi="Times New Roman" w:cs="Times New Roman"/>
          <w:i/>
          <w:iCs/>
          <w:noProof/>
          <w:sz w:val="18"/>
          <w:szCs w:val="18"/>
          <w:lang w:val="id-ID"/>
        </w:rPr>
        <w:t>Didaktik: Jurnal Ilmiah PGSD STKIP Subang</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11</w:t>
      </w:r>
      <w:r w:rsidRPr="00721F9F">
        <w:rPr>
          <w:rFonts w:ascii="Times New Roman" w:hAnsi="Times New Roman" w:cs="Times New Roman"/>
          <w:noProof/>
          <w:sz w:val="18"/>
          <w:szCs w:val="18"/>
          <w:lang w:val="id-ID"/>
        </w:rPr>
        <w:t>(02), 254–268.</w:t>
      </w:r>
    </w:p>
    <w:p w14:paraId="5782D85A"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Fauziah, S., Karneli, Y., &amp; Netrawati, N. (2024). Pelakasanaan Bimbingan Kelompok Dengan Teknik Psikodrama Untuk Menghindari Pelecehan Seksual. </w:t>
      </w:r>
      <w:r w:rsidRPr="00721F9F">
        <w:rPr>
          <w:rFonts w:ascii="Times New Roman" w:hAnsi="Times New Roman" w:cs="Times New Roman"/>
          <w:i/>
          <w:iCs/>
          <w:noProof/>
          <w:sz w:val="18"/>
          <w:szCs w:val="18"/>
          <w:lang w:val="id-ID"/>
        </w:rPr>
        <w:t>Counselia; Jurnal Bimbingan Konseling Pendidikan Islam</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5</w:t>
      </w:r>
      <w:r w:rsidRPr="00721F9F">
        <w:rPr>
          <w:rFonts w:ascii="Times New Roman" w:hAnsi="Times New Roman" w:cs="Times New Roman"/>
          <w:noProof/>
          <w:sz w:val="18"/>
          <w:szCs w:val="18"/>
          <w:lang w:val="id-ID"/>
        </w:rPr>
        <w:t>(1), 118–127.</w:t>
      </w:r>
    </w:p>
    <w:p w14:paraId="51B2E41D"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Guschke, B. L., Busse, K. A., Researcher, F. S., Khalid, F., &amp; Muhr, S. L. (2019). Sexual Harassment in Higher Education. Experiences and Perceptions Among Students at a Danish University. </w:t>
      </w:r>
      <w:r w:rsidRPr="00721F9F">
        <w:rPr>
          <w:rFonts w:ascii="Times New Roman" w:hAnsi="Times New Roman" w:cs="Times New Roman"/>
          <w:i/>
          <w:iCs/>
          <w:noProof/>
          <w:sz w:val="18"/>
          <w:szCs w:val="18"/>
          <w:lang w:val="id-ID"/>
        </w:rPr>
        <w:t>Kvinder, Køn &amp; Forskning</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w:t>
      </w:r>
      <w:r w:rsidRPr="00721F9F">
        <w:rPr>
          <w:rFonts w:ascii="Times New Roman" w:hAnsi="Times New Roman" w:cs="Times New Roman"/>
          <w:noProof/>
          <w:sz w:val="18"/>
          <w:szCs w:val="18"/>
          <w:lang w:val="id-ID"/>
        </w:rPr>
        <w:t>–</w:t>
      </w:r>
      <w:r w:rsidRPr="00721F9F">
        <w:rPr>
          <w:rFonts w:ascii="Times New Roman" w:hAnsi="Times New Roman" w:cs="Times New Roman"/>
          <w:i/>
          <w:iCs/>
          <w:noProof/>
          <w:sz w:val="18"/>
          <w:szCs w:val="18"/>
          <w:lang w:val="id-ID"/>
        </w:rPr>
        <w:t>2</w:t>
      </w:r>
      <w:r w:rsidRPr="00721F9F">
        <w:rPr>
          <w:rFonts w:ascii="Times New Roman" w:hAnsi="Times New Roman" w:cs="Times New Roman"/>
          <w:noProof/>
          <w:sz w:val="18"/>
          <w:szCs w:val="18"/>
          <w:lang w:val="id-ID"/>
        </w:rPr>
        <w:t>.</w:t>
      </w:r>
    </w:p>
    <w:p w14:paraId="56E60A32"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Hardt, S., Stöckl, H., Wamoyi, J., &amp; Ranganathan, M. (2023). Sexual Harassment in Low-and Middle-Income Countries: A Qualitative Systematic Review. </w:t>
      </w:r>
      <w:r w:rsidRPr="00721F9F">
        <w:rPr>
          <w:rFonts w:ascii="Times New Roman" w:hAnsi="Times New Roman" w:cs="Times New Roman"/>
          <w:i/>
          <w:iCs/>
          <w:noProof/>
          <w:sz w:val="18"/>
          <w:szCs w:val="18"/>
          <w:lang w:val="id-ID"/>
        </w:rPr>
        <w:t>Trauma, Violence, &amp; Abuse</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24</w:t>
      </w:r>
      <w:r w:rsidRPr="00721F9F">
        <w:rPr>
          <w:rFonts w:ascii="Times New Roman" w:hAnsi="Times New Roman" w:cs="Times New Roman"/>
          <w:noProof/>
          <w:sz w:val="18"/>
          <w:szCs w:val="18"/>
          <w:lang w:val="id-ID"/>
        </w:rPr>
        <w:t>(5), 3346–3362.</w:t>
      </w:r>
    </w:p>
    <w:p w14:paraId="5221FBF3"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Iranty, D., Nawira, A., Riono, A. A., Berutu, M., Murdiana, L., Daini, R., Azizia, S., Safarina, N. A., &amp; Pratama, M. F. J. (2024). Mengembangkan Perilaku Asertif: Melindungi Diri Dari Kekerasan Langsung Dengan Sikap Tegas Dan Berani. </w:t>
      </w:r>
      <w:r w:rsidRPr="00721F9F">
        <w:rPr>
          <w:rFonts w:ascii="Times New Roman" w:hAnsi="Times New Roman" w:cs="Times New Roman"/>
          <w:i/>
          <w:iCs/>
          <w:noProof/>
          <w:sz w:val="18"/>
          <w:szCs w:val="18"/>
          <w:lang w:val="id-ID"/>
        </w:rPr>
        <w:t>Jurnal Pengabdian Kolaborasi Dan Inovasi IPTEKS</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2</w:t>
      </w:r>
      <w:r w:rsidRPr="00721F9F">
        <w:rPr>
          <w:rFonts w:ascii="Times New Roman" w:hAnsi="Times New Roman" w:cs="Times New Roman"/>
          <w:noProof/>
          <w:sz w:val="18"/>
          <w:szCs w:val="18"/>
          <w:lang w:val="id-ID"/>
        </w:rPr>
        <w:t>(5), 1697–1702.</w:t>
      </w:r>
    </w:p>
    <w:p w14:paraId="7CCB86AB"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Miranti, A., &amp; Sudiana, Y. (2021). Pelecehan Seksual Pada Laki-Laki Dan Perspektif Masyarakat Terhadap Maskulinitas (Analisis Wacana Kritis Norman Fairclough). </w:t>
      </w:r>
      <w:r w:rsidRPr="00721F9F">
        <w:rPr>
          <w:rFonts w:ascii="Times New Roman" w:hAnsi="Times New Roman" w:cs="Times New Roman"/>
          <w:i/>
          <w:iCs/>
          <w:noProof/>
          <w:sz w:val="18"/>
          <w:szCs w:val="18"/>
          <w:lang w:val="id-ID"/>
        </w:rPr>
        <w:t>Bricolage: Jurnal Magister Ilmu Komunikasi</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7</w:t>
      </w:r>
      <w:r w:rsidRPr="00721F9F">
        <w:rPr>
          <w:rFonts w:ascii="Times New Roman" w:hAnsi="Times New Roman" w:cs="Times New Roman"/>
          <w:noProof/>
          <w:sz w:val="18"/>
          <w:szCs w:val="18"/>
          <w:lang w:val="id-ID"/>
        </w:rPr>
        <w:t>(2), 261–276.</w:t>
      </w:r>
    </w:p>
    <w:p w14:paraId="26FA55D1"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Mitia, R., &amp; Charles, C. (2023). Implementasi Sumbang Duo Baleh dalam Membentuk Etika Siswa Kelas IV di SDN 03 Pakan Labuah. </w:t>
      </w:r>
      <w:r w:rsidRPr="00721F9F">
        <w:rPr>
          <w:rFonts w:ascii="Times New Roman" w:hAnsi="Times New Roman" w:cs="Times New Roman"/>
          <w:i/>
          <w:iCs/>
          <w:noProof/>
          <w:sz w:val="18"/>
          <w:szCs w:val="18"/>
          <w:lang w:val="id-ID"/>
        </w:rPr>
        <w:t>Indonesian Research Journal on Education</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3</w:t>
      </w:r>
      <w:r w:rsidRPr="00721F9F">
        <w:rPr>
          <w:rFonts w:ascii="Times New Roman" w:hAnsi="Times New Roman" w:cs="Times New Roman"/>
          <w:noProof/>
          <w:sz w:val="18"/>
          <w:szCs w:val="18"/>
          <w:lang w:val="id-ID"/>
        </w:rPr>
        <w:t>(1), 695–703.</w:t>
      </w:r>
    </w:p>
    <w:p w14:paraId="6CBB0AF7"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Morelent, Y., Isnanda, R., Gusnetti, G., &amp; Fauziati, P. (2022). Pembentukan Karakter dan Implementasi Budaya Perempuan Minang melalui Aturan Sumbang Duo Baleh di Sekolah Menengah Sumatera Barat. </w:t>
      </w:r>
      <w:r w:rsidRPr="00721F9F">
        <w:rPr>
          <w:rFonts w:ascii="Times New Roman" w:hAnsi="Times New Roman" w:cs="Times New Roman"/>
          <w:i/>
          <w:iCs/>
          <w:noProof/>
          <w:sz w:val="18"/>
          <w:szCs w:val="18"/>
          <w:lang w:val="id-ID"/>
        </w:rPr>
        <w:t>JSHP: Jurnal Sosial Humaniora Dan Pendidikan</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6</w:t>
      </w:r>
      <w:r w:rsidRPr="00721F9F">
        <w:rPr>
          <w:rFonts w:ascii="Times New Roman" w:hAnsi="Times New Roman" w:cs="Times New Roman"/>
          <w:noProof/>
          <w:sz w:val="18"/>
          <w:szCs w:val="18"/>
          <w:lang w:val="id-ID"/>
        </w:rPr>
        <w:t>(1), 41–49.</w:t>
      </w:r>
    </w:p>
    <w:p w14:paraId="5EA08FFA"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Nafis, N. Y., Hotifah, Y., &amp; Atmoko, A. (2021). Pengembangan Media Bimbingan Kelompok dengan Video dalam </w:t>
      </w:r>
      <w:r w:rsidRPr="00721F9F">
        <w:rPr>
          <w:rFonts w:ascii="Times New Roman" w:hAnsi="Times New Roman" w:cs="Times New Roman"/>
          <w:noProof/>
          <w:sz w:val="18"/>
          <w:szCs w:val="18"/>
          <w:lang w:val="id-ID"/>
        </w:rPr>
        <w:lastRenderedPageBreak/>
        <w:t xml:space="preserve">Meningkatkan Pemahaman Mengenai Pelecehan Seksual untuk Siswa Sekolah Menengah. </w:t>
      </w:r>
      <w:r w:rsidRPr="00721F9F">
        <w:rPr>
          <w:rFonts w:ascii="Times New Roman" w:hAnsi="Times New Roman" w:cs="Times New Roman"/>
          <w:i/>
          <w:iCs/>
          <w:noProof/>
          <w:sz w:val="18"/>
          <w:szCs w:val="18"/>
          <w:lang w:val="id-ID"/>
        </w:rPr>
        <w:t>Jurnal Pembelajaran, Bimbingan, Dan Pengelolaan Pendidikan</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w:t>
      </w:r>
      <w:r w:rsidRPr="00721F9F">
        <w:rPr>
          <w:rFonts w:ascii="Times New Roman" w:hAnsi="Times New Roman" w:cs="Times New Roman"/>
          <w:noProof/>
          <w:sz w:val="18"/>
          <w:szCs w:val="18"/>
          <w:lang w:val="id-ID"/>
        </w:rPr>
        <w:t>(9), 732–737.</w:t>
      </w:r>
    </w:p>
    <w:p w14:paraId="50C0598A"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Nurfadilah, A., Harahap, F. H., &amp; Althafullayya, M. R. (2024). Tangible Generasi Z Meretas Jalan Melalui Prinsip Sumbang Duo Baleh. </w:t>
      </w:r>
      <w:r w:rsidRPr="00721F9F">
        <w:rPr>
          <w:rFonts w:ascii="Times New Roman" w:hAnsi="Times New Roman" w:cs="Times New Roman"/>
          <w:i/>
          <w:iCs/>
          <w:noProof/>
          <w:sz w:val="18"/>
          <w:szCs w:val="18"/>
          <w:lang w:val="id-ID"/>
        </w:rPr>
        <w:t>Cakra Jurnal Penelitian Mahasiswa</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w:t>
      </w:r>
      <w:r w:rsidRPr="00721F9F">
        <w:rPr>
          <w:rFonts w:ascii="Times New Roman" w:hAnsi="Times New Roman" w:cs="Times New Roman"/>
          <w:noProof/>
          <w:sz w:val="18"/>
          <w:szCs w:val="18"/>
          <w:lang w:val="id-ID"/>
        </w:rPr>
        <w:t>(1), 24–32.</w:t>
      </w:r>
    </w:p>
    <w:p w14:paraId="7E37D64D"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Rakhmawati, D., Maulida, D., &amp; Yuliejantiningsih, Y. (2022). Pembanjiran Informasi, Asertivitas Seksual dan Kekerasan Seksual di Perguruan Tinggi. </w:t>
      </w:r>
      <w:r w:rsidRPr="00721F9F">
        <w:rPr>
          <w:rFonts w:ascii="Times New Roman" w:hAnsi="Times New Roman" w:cs="Times New Roman"/>
          <w:i/>
          <w:iCs/>
          <w:noProof/>
          <w:sz w:val="18"/>
          <w:szCs w:val="18"/>
          <w:lang w:val="id-ID"/>
        </w:rPr>
        <w:t>Indonesian Journal of Guidance and Counseling: Theory and Application</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11</w:t>
      </w:r>
      <w:r w:rsidRPr="00721F9F">
        <w:rPr>
          <w:rFonts w:ascii="Times New Roman" w:hAnsi="Times New Roman" w:cs="Times New Roman"/>
          <w:noProof/>
          <w:sz w:val="18"/>
          <w:szCs w:val="18"/>
          <w:lang w:val="id-ID"/>
        </w:rPr>
        <w:t>(2), 75–82.</w:t>
      </w:r>
    </w:p>
    <w:p w14:paraId="3F2539A4"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Ratmil, M. (2023). </w:t>
      </w:r>
      <w:r w:rsidRPr="00721F9F">
        <w:rPr>
          <w:rFonts w:ascii="Times New Roman" w:hAnsi="Times New Roman" w:cs="Times New Roman"/>
          <w:i/>
          <w:iCs/>
          <w:noProof/>
          <w:sz w:val="18"/>
          <w:szCs w:val="18"/>
          <w:lang w:val="id-ID"/>
        </w:rPr>
        <w:t>Sumbang Duo Baleh : Pendidikan Karakter Kearifan Lokal Minangkabau</w:t>
      </w:r>
      <w:r w:rsidRPr="00721F9F">
        <w:rPr>
          <w:rFonts w:ascii="Times New Roman" w:hAnsi="Times New Roman" w:cs="Times New Roman"/>
          <w:noProof/>
          <w:sz w:val="18"/>
          <w:szCs w:val="18"/>
          <w:lang w:val="id-ID"/>
        </w:rPr>
        <w:t>. Padang: Visigraf.</w:t>
      </w:r>
    </w:p>
    <w:p w14:paraId="12211130"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Rendra, R. P., &amp; Suardi, S. (2021). Konstruksi Makna Tentang Pelecehan Seksual dalam Penulisan Berita di Frekuensiantara. com. </w:t>
      </w:r>
      <w:r w:rsidRPr="00721F9F">
        <w:rPr>
          <w:rFonts w:ascii="Times New Roman" w:hAnsi="Times New Roman" w:cs="Times New Roman"/>
          <w:i/>
          <w:iCs/>
          <w:noProof/>
          <w:sz w:val="18"/>
          <w:szCs w:val="18"/>
          <w:lang w:val="id-ID"/>
        </w:rPr>
        <w:t>Jurnal Riset Mahasiswa Dakwah Dan Komunikasi</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3</w:t>
      </w:r>
      <w:r w:rsidRPr="00721F9F">
        <w:rPr>
          <w:rFonts w:ascii="Times New Roman" w:hAnsi="Times New Roman" w:cs="Times New Roman"/>
          <w:noProof/>
          <w:sz w:val="18"/>
          <w:szCs w:val="18"/>
          <w:lang w:val="id-ID"/>
        </w:rPr>
        <w:t>(6), 361–374.</w:t>
      </w:r>
    </w:p>
    <w:p w14:paraId="199D124A"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Reza, R. M. (2022). </w:t>
      </w:r>
      <w:r w:rsidRPr="00721F9F">
        <w:rPr>
          <w:rFonts w:ascii="Times New Roman" w:hAnsi="Times New Roman" w:cs="Times New Roman"/>
          <w:i/>
          <w:iCs/>
          <w:noProof/>
          <w:sz w:val="18"/>
          <w:szCs w:val="18"/>
          <w:lang w:val="id-ID"/>
        </w:rPr>
        <w:t>Penerapan Sumbang Duo Baleh Pada Anak di TK Islam Masjid Raya Jihad Kota Padang Panjang</w:t>
      </w:r>
      <w:r w:rsidRPr="00721F9F">
        <w:rPr>
          <w:rFonts w:ascii="Times New Roman" w:hAnsi="Times New Roman" w:cs="Times New Roman"/>
          <w:noProof/>
          <w:sz w:val="18"/>
          <w:szCs w:val="18"/>
          <w:lang w:val="id-ID"/>
        </w:rPr>
        <w:t>.</w:t>
      </w:r>
    </w:p>
    <w:p w14:paraId="39D36F09"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Rusfandi, R. (2024). Pentingnya Pemahaman Budaya dan Identitas Sosial. </w:t>
      </w:r>
      <w:r w:rsidRPr="00721F9F">
        <w:rPr>
          <w:rFonts w:ascii="Times New Roman" w:hAnsi="Times New Roman" w:cs="Times New Roman"/>
          <w:i/>
          <w:iCs/>
          <w:noProof/>
          <w:sz w:val="18"/>
          <w:szCs w:val="18"/>
          <w:lang w:val="id-ID"/>
        </w:rPr>
        <w:t>Jurnal Manejemen, Akuntansi Dan Pendidikan</w:t>
      </w:r>
      <w:r w:rsidRPr="00721F9F">
        <w:rPr>
          <w:rFonts w:ascii="Times New Roman" w:hAnsi="Times New Roman" w:cs="Times New Roman"/>
          <w:noProof/>
          <w:sz w:val="18"/>
          <w:szCs w:val="18"/>
          <w:lang w:val="id-ID"/>
        </w:rPr>
        <w:t>, 18–32.</w:t>
      </w:r>
    </w:p>
    <w:p w14:paraId="7F57710D"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Rusyidi, B., Bintari, A., &amp; Wibowo, H. (2019). Pengalaman dan Pengetahuan tentang Pelecehan Seksual: Studi Awal di Kalangan Mahasiswa Perguruan Tinggi (Experience and Knowledge on Sexual Harassment: a Preliminary Study Among Indonesian University Students). </w:t>
      </w:r>
      <w:r w:rsidRPr="00721F9F">
        <w:rPr>
          <w:rFonts w:ascii="Times New Roman" w:hAnsi="Times New Roman" w:cs="Times New Roman"/>
          <w:i/>
          <w:iCs/>
          <w:noProof/>
          <w:sz w:val="18"/>
          <w:szCs w:val="18"/>
          <w:lang w:val="id-ID"/>
        </w:rPr>
        <w:t>Share: Social Work Journal</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9</w:t>
      </w:r>
      <w:r w:rsidRPr="00721F9F">
        <w:rPr>
          <w:rFonts w:ascii="Times New Roman" w:hAnsi="Times New Roman" w:cs="Times New Roman"/>
          <w:noProof/>
          <w:sz w:val="18"/>
          <w:szCs w:val="18"/>
          <w:lang w:val="id-ID"/>
        </w:rPr>
        <w:t>(1), 75–85.</w:t>
      </w:r>
    </w:p>
    <w:p w14:paraId="5898F62F"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Sa’adah, N. (2023). Pengaruh Kepercayaan Diri terhadap Perilaku Asertif pada Mahasiswa Prodi Psikologi di Kota Aceh. </w:t>
      </w:r>
      <w:r w:rsidRPr="00721F9F">
        <w:rPr>
          <w:rFonts w:ascii="Times New Roman" w:hAnsi="Times New Roman" w:cs="Times New Roman"/>
          <w:i/>
          <w:iCs/>
          <w:noProof/>
          <w:sz w:val="18"/>
          <w:szCs w:val="18"/>
          <w:lang w:val="id-ID"/>
        </w:rPr>
        <w:t>Psyche 165 Journal</w:t>
      </w:r>
      <w:r w:rsidRPr="00721F9F">
        <w:rPr>
          <w:rFonts w:ascii="Times New Roman" w:hAnsi="Times New Roman" w:cs="Times New Roman"/>
          <w:noProof/>
          <w:sz w:val="18"/>
          <w:szCs w:val="18"/>
          <w:lang w:val="id-ID"/>
        </w:rPr>
        <w:t>, 168–174.</w:t>
      </w:r>
    </w:p>
    <w:p w14:paraId="7F2949A7"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Sindonews. (2023, November 10). </w:t>
      </w:r>
      <w:r w:rsidRPr="00721F9F">
        <w:rPr>
          <w:rFonts w:ascii="Times New Roman" w:hAnsi="Times New Roman" w:cs="Times New Roman"/>
          <w:i/>
          <w:iCs/>
          <w:noProof/>
          <w:sz w:val="18"/>
          <w:szCs w:val="18"/>
          <w:lang w:val="id-ID"/>
        </w:rPr>
        <w:t>Beraksi 13 Kali, Pelaku Pelecehan Seksual di Padang Ditangkap Polres Pariaman</w:t>
      </w:r>
      <w:r w:rsidRPr="00721F9F">
        <w:rPr>
          <w:rFonts w:ascii="Times New Roman" w:hAnsi="Times New Roman" w:cs="Times New Roman"/>
          <w:noProof/>
          <w:sz w:val="18"/>
          <w:szCs w:val="18"/>
          <w:lang w:val="id-ID"/>
        </w:rPr>
        <w:t>. Retrieved from https://daerah.sindonews.com/read/1249923/174/beraksi-13-kali-pelaku-pelecehan-seksual-di-padang-ditangkap-polres-pariaman-1699834279</w:t>
      </w:r>
    </w:p>
    <w:p w14:paraId="6DFB910A"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Sudapi, S., Ermadani, S., Putra, P. D., Khairunisa, A., Zen, F., Ananda, W., Putri, Z., Ananda, M. T., Al Khaliq, R. F., &amp; Sabreza, F. A. (2025). Peningkatan Pemahaman Pancasila Sebagai Dasar Nilai Pengembangan Ilmu Melalui Kegiatan Sosialisasi Aturan Adat Minangkabau “Sumbang Duo Baleh” Di Sekolah Dasar Negeri 14 Kota Padang. </w:t>
      </w:r>
      <w:r w:rsidRPr="00721F9F">
        <w:rPr>
          <w:rFonts w:ascii="Times New Roman" w:hAnsi="Times New Roman" w:cs="Times New Roman"/>
          <w:i/>
          <w:iCs/>
          <w:noProof/>
          <w:sz w:val="18"/>
          <w:szCs w:val="18"/>
          <w:lang w:val="id-ID"/>
        </w:rPr>
        <w:t>Jurnal Ilmiah Pengabdian Pada Masyarakat</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2</w:t>
      </w:r>
      <w:r w:rsidRPr="00721F9F">
        <w:rPr>
          <w:rFonts w:ascii="Times New Roman" w:hAnsi="Times New Roman" w:cs="Times New Roman"/>
          <w:noProof/>
          <w:sz w:val="18"/>
          <w:szCs w:val="18"/>
          <w:lang w:val="id-ID"/>
        </w:rPr>
        <w:t>(4), 1164–1171.</w:t>
      </w:r>
    </w:p>
    <w:p w14:paraId="66F812C2"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Syakhsiyyah, T., Safitri, D., &amp; Sujarwo, S. (2025). Dampak Globalisasi Terhadap Perubahan Budaya Lokal pada Masyarakat. </w:t>
      </w:r>
      <w:r w:rsidRPr="00721F9F">
        <w:rPr>
          <w:rFonts w:ascii="Times New Roman" w:hAnsi="Times New Roman" w:cs="Times New Roman"/>
          <w:i/>
          <w:iCs/>
          <w:noProof/>
          <w:sz w:val="18"/>
          <w:szCs w:val="18"/>
          <w:lang w:val="id-ID"/>
        </w:rPr>
        <w:t>Jurnal Intelek Insan Cendikia</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2</w:t>
      </w:r>
      <w:r w:rsidRPr="00721F9F">
        <w:rPr>
          <w:rFonts w:ascii="Times New Roman" w:hAnsi="Times New Roman" w:cs="Times New Roman"/>
          <w:noProof/>
          <w:sz w:val="18"/>
          <w:szCs w:val="18"/>
          <w:lang w:val="id-ID"/>
        </w:rPr>
        <w:t>(6), 12421–12428.</w:t>
      </w:r>
    </w:p>
    <w:p w14:paraId="55F48C7E"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Tobing, M. S., Karneli, Y., Nurfarhanah, N., &amp; Hariko, R. (2023). Pelaksanaan Layanan Bimbingan Kelompok dengan Media Audio Visual untuk Meningkatkan Pemahaman Bahaya Narkoba pada Siswa. </w:t>
      </w:r>
      <w:r w:rsidRPr="00721F9F">
        <w:rPr>
          <w:rFonts w:ascii="Times New Roman" w:hAnsi="Times New Roman" w:cs="Times New Roman"/>
          <w:i/>
          <w:iCs/>
          <w:noProof/>
          <w:sz w:val="18"/>
          <w:szCs w:val="18"/>
          <w:lang w:val="id-ID"/>
        </w:rPr>
        <w:t>SIBATIK JOURNAL: Jurnal Ilmiah Bidang Sosial, Ekonomi, Budaya, Teknologi, Dan Pendidikan</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2</w:t>
      </w:r>
      <w:r w:rsidRPr="00721F9F">
        <w:rPr>
          <w:rFonts w:ascii="Times New Roman" w:hAnsi="Times New Roman" w:cs="Times New Roman"/>
          <w:noProof/>
          <w:sz w:val="18"/>
          <w:szCs w:val="18"/>
          <w:lang w:val="id-ID"/>
        </w:rPr>
        <w:t>(10), 2975–2988.</w:t>
      </w:r>
    </w:p>
    <w:p w14:paraId="21BEACD2" w14:textId="77777777" w:rsidR="002B1B68" w:rsidRPr="00721F9F" w:rsidRDefault="002B1B68" w:rsidP="002B1B68">
      <w:pPr>
        <w:widowControl w:val="0"/>
        <w:autoSpaceDE w:val="0"/>
        <w:autoSpaceDN w:val="0"/>
        <w:adjustRightInd w:val="0"/>
        <w:ind w:left="480" w:hanging="480"/>
        <w:jc w:val="both"/>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Yulista, M., Fatmariza, F., Muchtar, H., &amp; Dewi, S. F. (2024). Upaya Mahasiswa Perempuan dalam Mengantisipasi Kekerasan Seksual. </w:t>
      </w:r>
      <w:r w:rsidRPr="00721F9F">
        <w:rPr>
          <w:rFonts w:ascii="Times New Roman" w:hAnsi="Times New Roman" w:cs="Times New Roman"/>
          <w:i/>
          <w:iCs/>
          <w:noProof/>
          <w:sz w:val="18"/>
          <w:szCs w:val="18"/>
          <w:lang w:val="id-ID"/>
        </w:rPr>
        <w:t>Jurnal Ideologi Dan Konstitusi PKP UNP</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4</w:t>
      </w:r>
      <w:r w:rsidRPr="00721F9F">
        <w:rPr>
          <w:rFonts w:ascii="Times New Roman" w:hAnsi="Times New Roman" w:cs="Times New Roman"/>
          <w:noProof/>
          <w:sz w:val="18"/>
          <w:szCs w:val="18"/>
          <w:lang w:val="id-ID"/>
        </w:rPr>
        <w:t>(1), 10–20.</w:t>
      </w:r>
    </w:p>
    <w:p w14:paraId="2AF8AF1C" w14:textId="77777777" w:rsidR="002B1B68" w:rsidRPr="00721F9F" w:rsidRDefault="002B1B68" w:rsidP="002B1B68">
      <w:pPr>
        <w:widowControl w:val="0"/>
        <w:autoSpaceDE w:val="0"/>
        <w:autoSpaceDN w:val="0"/>
        <w:adjustRightInd w:val="0"/>
        <w:ind w:left="480" w:hanging="480"/>
        <w:rPr>
          <w:rFonts w:ascii="Times New Roman" w:hAnsi="Times New Roman" w:cs="Times New Roman"/>
          <w:noProof/>
          <w:sz w:val="18"/>
          <w:szCs w:val="18"/>
          <w:lang w:val="id-ID"/>
        </w:rPr>
      </w:pPr>
      <w:r w:rsidRPr="00721F9F">
        <w:rPr>
          <w:rFonts w:ascii="Times New Roman" w:hAnsi="Times New Roman" w:cs="Times New Roman"/>
          <w:noProof/>
          <w:sz w:val="18"/>
          <w:szCs w:val="18"/>
          <w:lang w:val="id-ID"/>
        </w:rPr>
        <w:t xml:space="preserve">Zakiya, N., &amp; Hariyadi, S. (2022). Nilai Budaya Kolektivisme dan Perilaku Asertif pada Suku Jawa. </w:t>
      </w:r>
      <w:r w:rsidRPr="00721F9F">
        <w:rPr>
          <w:rFonts w:ascii="Times New Roman" w:hAnsi="Times New Roman" w:cs="Times New Roman"/>
          <w:i/>
          <w:iCs/>
          <w:noProof/>
          <w:sz w:val="18"/>
          <w:szCs w:val="18"/>
          <w:lang w:val="id-ID"/>
        </w:rPr>
        <w:t>Journal of Social and Industrial Psychology</w:t>
      </w:r>
      <w:r w:rsidRPr="00721F9F">
        <w:rPr>
          <w:rFonts w:ascii="Times New Roman" w:hAnsi="Times New Roman" w:cs="Times New Roman"/>
          <w:noProof/>
          <w:sz w:val="18"/>
          <w:szCs w:val="18"/>
          <w:lang w:val="id-ID"/>
        </w:rPr>
        <w:t xml:space="preserve">, </w:t>
      </w:r>
      <w:r w:rsidRPr="00721F9F">
        <w:rPr>
          <w:rFonts w:ascii="Times New Roman" w:hAnsi="Times New Roman" w:cs="Times New Roman"/>
          <w:i/>
          <w:iCs/>
          <w:noProof/>
          <w:sz w:val="18"/>
          <w:szCs w:val="18"/>
          <w:lang w:val="id-ID"/>
        </w:rPr>
        <w:t>11</w:t>
      </w:r>
      <w:r w:rsidRPr="00721F9F">
        <w:rPr>
          <w:rFonts w:ascii="Times New Roman" w:hAnsi="Times New Roman" w:cs="Times New Roman"/>
          <w:noProof/>
          <w:sz w:val="18"/>
          <w:szCs w:val="18"/>
          <w:lang w:val="id-ID"/>
        </w:rPr>
        <w:t>(2), 62–71.</w:t>
      </w:r>
    </w:p>
    <w:p w14:paraId="21628F34" w14:textId="77777777" w:rsidR="002B1B68" w:rsidRPr="00721F9F" w:rsidRDefault="002B1B68" w:rsidP="002B1B68">
      <w:pPr>
        <w:widowControl w:val="0"/>
        <w:autoSpaceDE w:val="0"/>
        <w:autoSpaceDN w:val="0"/>
        <w:adjustRightInd w:val="0"/>
        <w:ind w:left="480" w:hanging="480"/>
        <w:rPr>
          <w:rFonts w:ascii="Times New Roman" w:hAnsi="Times New Roman" w:cs="Times New Roman"/>
          <w:bCs/>
          <w:sz w:val="18"/>
          <w:szCs w:val="18"/>
          <w:lang w:val="id-ID"/>
        </w:rPr>
      </w:pPr>
      <w:r w:rsidRPr="00721F9F">
        <w:rPr>
          <w:rFonts w:ascii="Times New Roman" w:hAnsi="Times New Roman" w:cs="Times New Roman"/>
          <w:bCs/>
          <w:sz w:val="18"/>
          <w:szCs w:val="18"/>
          <w:lang w:val="id-ID"/>
        </w:rPr>
        <w:fldChar w:fldCharType="end"/>
      </w:r>
    </w:p>
    <w:p w14:paraId="5D1C830C" w14:textId="77777777" w:rsidR="002B1B68" w:rsidRPr="00721F9F" w:rsidRDefault="002B1B68" w:rsidP="002B1B68">
      <w:pPr>
        <w:jc w:val="center"/>
        <w:rPr>
          <w:rFonts w:ascii="Times New Roman" w:hAnsi="Times New Roman" w:cs="Times New Roman"/>
          <w:sz w:val="18"/>
          <w:szCs w:val="18"/>
          <w:lang w:val="id-ID"/>
        </w:rPr>
      </w:pPr>
    </w:p>
    <w:p w14:paraId="55BE4AAF" w14:textId="77777777" w:rsidR="002B1B68" w:rsidRPr="00721F9F" w:rsidRDefault="002B1B68" w:rsidP="008721F6">
      <w:pPr>
        <w:pStyle w:val="Alishlah71References"/>
        <w:spacing w:line="240" w:lineRule="auto"/>
        <w:rPr>
          <w:sz w:val="18"/>
          <w:szCs w:val="18"/>
          <w:lang w:val="id-ID"/>
        </w:rPr>
      </w:pPr>
    </w:p>
    <w:p w14:paraId="0F6CD22A" w14:textId="77777777" w:rsidR="002B31FD" w:rsidRPr="00721F9F" w:rsidRDefault="002B31FD" w:rsidP="002B31FD">
      <w:pPr>
        <w:rPr>
          <w:b/>
          <w:bCs/>
          <w:i/>
          <w:iCs/>
          <w:sz w:val="18"/>
          <w:szCs w:val="18"/>
          <w:lang w:val="id-ID"/>
        </w:rPr>
      </w:pPr>
    </w:p>
    <w:sectPr w:rsidR="002B31FD" w:rsidRPr="00721F9F"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BACBC" w14:textId="77777777" w:rsidR="00ED5ED3" w:rsidRDefault="00ED5ED3" w:rsidP="008E64A2">
      <w:pPr>
        <w:spacing w:after="0" w:line="240" w:lineRule="auto"/>
      </w:pPr>
      <w:r>
        <w:separator/>
      </w:r>
    </w:p>
    <w:p w14:paraId="501E6031" w14:textId="77777777" w:rsidR="00ED5ED3" w:rsidRDefault="00ED5ED3"/>
  </w:endnote>
  <w:endnote w:type="continuationSeparator" w:id="0">
    <w:p w14:paraId="686030E2" w14:textId="77777777" w:rsidR="00ED5ED3" w:rsidRDefault="00ED5ED3" w:rsidP="008E64A2">
      <w:pPr>
        <w:spacing w:after="0" w:line="240" w:lineRule="auto"/>
      </w:pPr>
      <w:r>
        <w:continuationSeparator/>
      </w:r>
    </w:p>
    <w:p w14:paraId="4D40326E" w14:textId="77777777" w:rsidR="00ED5ED3" w:rsidRDefault="00ED5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E60"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8A6B3"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ACD93" w14:textId="77777777" w:rsidR="00ED5ED3" w:rsidRDefault="00ED5ED3" w:rsidP="008E64A2">
      <w:pPr>
        <w:spacing w:after="0" w:line="240" w:lineRule="auto"/>
      </w:pPr>
      <w:r>
        <w:separator/>
      </w:r>
    </w:p>
    <w:p w14:paraId="39BD89D2" w14:textId="77777777" w:rsidR="00ED5ED3" w:rsidRDefault="00ED5ED3"/>
  </w:footnote>
  <w:footnote w:type="continuationSeparator" w:id="0">
    <w:p w14:paraId="0A1095DF" w14:textId="77777777" w:rsidR="00ED5ED3" w:rsidRDefault="00ED5ED3" w:rsidP="008E64A2">
      <w:pPr>
        <w:spacing w:after="0" w:line="240" w:lineRule="auto"/>
      </w:pPr>
      <w:r>
        <w:continuationSeparator/>
      </w:r>
    </w:p>
    <w:p w14:paraId="3952335A" w14:textId="77777777" w:rsidR="00ED5ED3" w:rsidRDefault="00ED5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D2CE"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sidRPr="00A9396C">
      <w:rPr>
        <w:lang w:val="id-ID"/>
      </w:rPr>
      <mc:AlternateContent>
        <mc:Choice Requires="wps">
          <w:drawing>
            <wp:anchor distT="0" distB="0" distL="114300" distR="114300" simplePos="0" relativeHeight="251663360" behindDoc="0" locked="0" layoutInCell="1" allowOverlap="1" wp14:anchorId="7F3791A6" wp14:editId="11DB85B8">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13C4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A9396C">
      <w:rPr>
        <w:rFonts w:ascii="Palatino Linotype" w:hAnsi="Palatino Linotype"/>
        <w:i/>
        <w:sz w:val="16"/>
        <w:lang w:val="id-ID"/>
      </w:rPr>
      <w:t xml:space="preserve">Al-Ishlah: Jurnal Pendidikan,Vol. 4, 1 (April 2022): </w:t>
    </w:r>
    <w:r w:rsidR="00727D5A" w:rsidRPr="00A9396C">
      <w:rPr>
        <w:rFonts w:ascii="Palatino Linotype" w:hAnsi="Palatino Linotype"/>
        <w:i/>
        <w:sz w:val="16"/>
        <w:lang w:val="id-ID"/>
      </w:rPr>
      <w:t>p</w:t>
    </w:r>
    <w:r w:rsidR="001914CF" w:rsidRPr="00A9396C">
      <w:rPr>
        <w:rFonts w:ascii="Palatino Linotype" w:hAnsi="Palatino Linotype"/>
        <w:i/>
        <w:sz w:val="16"/>
        <w:lang w:val="id-ID"/>
      </w:rPr>
      <w:t>-</w:t>
    </w:r>
    <w:r w:rsidR="00727D5A" w:rsidRPr="00A9396C">
      <w:rPr>
        <w:rFonts w:ascii="Palatino Linotype" w:hAnsi="Palatino Linotype"/>
        <w:i/>
        <w:sz w:val="16"/>
        <w:lang w:val="id-ID"/>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4CD5DD36" w14:textId="77777777" w:rsidR="00B74579" w:rsidRDefault="00B745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B7470" w14:textId="77777777" w:rsidR="001C18FA" w:rsidRPr="00A9396C" w:rsidRDefault="001C18FA" w:rsidP="0048254D">
    <w:pPr>
      <w:pStyle w:val="Header"/>
      <w:ind w:right="45"/>
      <w:rPr>
        <w:rFonts w:ascii="Palatino Linotype" w:hAnsi="Palatino Linotype"/>
        <w:b/>
        <w:sz w:val="20"/>
        <w:lang w:val="id-ID"/>
      </w:rPr>
    </w:pPr>
    <w:bookmarkStart w:id="1" w:name="_Hlk97159129"/>
    <w:r w:rsidRPr="00A9396C">
      <w:rPr>
        <w:rFonts w:ascii="Palatino Linotype" w:hAnsi="Palatino Linotype"/>
        <w:b/>
        <w:sz w:val="20"/>
        <w:lang w:val="id-ID"/>
      </w:rPr>
      <w:t>Al-Ishlah: Jurnal Pendidikan</w:t>
    </w:r>
  </w:p>
  <w:p w14:paraId="004ECDF3"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6A3F8DE9"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DA5936D" wp14:editId="44157D30">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D754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84808415">
    <w:abstractNumId w:val="9"/>
  </w:num>
  <w:num w:numId="2" w16cid:durableId="2147314808">
    <w:abstractNumId w:val="10"/>
  </w:num>
  <w:num w:numId="3" w16cid:durableId="1506287434">
    <w:abstractNumId w:val="6"/>
  </w:num>
  <w:num w:numId="4" w16cid:durableId="1051615214">
    <w:abstractNumId w:val="5"/>
  </w:num>
  <w:num w:numId="5" w16cid:durableId="1465267756">
    <w:abstractNumId w:val="13"/>
  </w:num>
  <w:num w:numId="6" w16cid:durableId="755636836">
    <w:abstractNumId w:val="16"/>
  </w:num>
  <w:num w:numId="7" w16cid:durableId="466048229">
    <w:abstractNumId w:val="1"/>
  </w:num>
  <w:num w:numId="8" w16cid:durableId="35281634">
    <w:abstractNumId w:val="15"/>
  </w:num>
  <w:num w:numId="9" w16cid:durableId="893002642">
    <w:abstractNumId w:val="8"/>
  </w:num>
  <w:num w:numId="10" w16cid:durableId="321198316">
    <w:abstractNumId w:val="14"/>
  </w:num>
  <w:num w:numId="11" w16cid:durableId="1535652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076897">
    <w:abstractNumId w:val="17"/>
  </w:num>
  <w:num w:numId="13" w16cid:durableId="1424688404">
    <w:abstractNumId w:val="2"/>
  </w:num>
  <w:num w:numId="14" w16cid:durableId="403332393">
    <w:abstractNumId w:val="11"/>
  </w:num>
  <w:num w:numId="15" w16cid:durableId="631012799">
    <w:abstractNumId w:val="12"/>
  </w:num>
  <w:num w:numId="16" w16cid:durableId="1975862781">
    <w:abstractNumId w:val="0"/>
  </w:num>
  <w:num w:numId="17" w16cid:durableId="292322634">
    <w:abstractNumId w:val="4"/>
  </w:num>
  <w:num w:numId="18" w16cid:durableId="14468034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7F1BE6"/>
    <w:rsid w:val="00005213"/>
    <w:rsid w:val="000061CE"/>
    <w:rsid w:val="000210A5"/>
    <w:rsid w:val="00031DD5"/>
    <w:rsid w:val="000333AC"/>
    <w:rsid w:val="000355EA"/>
    <w:rsid w:val="00035C67"/>
    <w:rsid w:val="00047A51"/>
    <w:rsid w:val="00056E9C"/>
    <w:rsid w:val="00064136"/>
    <w:rsid w:val="000735BB"/>
    <w:rsid w:val="00075197"/>
    <w:rsid w:val="000831BD"/>
    <w:rsid w:val="000A13A3"/>
    <w:rsid w:val="000A36F0"/>
    <w:rsid w:val="000D12F1"/>
    <w:rsid w:val="000D5EE8"/>
    <w:rsid w:val="000E2588"/>
    <w:rsid w:val="000E2C60"/>
    <w:rsid w:val="000E7A05"/>
    <w:rsid w:val="000F1812"/>
    <w:rsid w:val="000F5D2E"/>
    <w:rsid w:val="000F66B9"/>
    <w:rsid w:val="00114306"/>
    <w:rsid w:val="00116D51"/>
    <w:rsid w:val="001358C8"/>
    <w:rsid w:val="00143989"/>
    <w:rsid w:val="00145F3A"/>
    <w:rsid w:val="00147524"/>
    <w:rsid w:val="00151740"/>
    <w:rsid w:val="001603B5"/>
    <w:rsid w:val="00171FEA"/>
    <w:rsid w:val="00175AF2"/>
    <w:rsid w:val="00182EA2"/>
    <w:rsid w:val="001914CF"/>
    <w:rsid w:val="001A4292"/>
    <w:rsid w:val="001A581B"/>
    <w:rsid w:val="001C1084"/>
    <w:rsid w:val="001C18FA"/>
    <w:rsid w:val="001C30E8"/>
    <w:rsid w:val="001C4854"/>
    <w:rsid w:val="001C7B8C"/>
    <w:rsid w:val="001E42C1"/>
    <w:rsid w:val="001E48E8"/>
    <w:rsid w:val="001F4625"/>
    <w:rsid w:val="002001C5"/>
    <w:rsid w:val="00202D95"/>
    <w:rsid w:val="0022427B"/>
    <w:rsid w:val="002263FF"/>
    <w:rsid w:val="00226E30"/>
    <w:rsid w:val="0023514C"/>
    <w:rsid w:val="002446CA"/>
    <w:rsid w:val="00245BDA"/>
    <w:rsid w:val="002663A1"/>
    <w:rsid w:val="00270B5A"/>
    <w:rsid w:val="00287854"/>
    <w:rsid w:val="00290481"/>
    <w:rsid w:val="00297EB3"/>
    <w:rsid w:val="002A02C2"/>
    <w:rsid w:val="002A2BCB"/>
    <w:rsid w:val="002A639C"/>
    <w:rsid w:val="002A7ABC"/>
    <w:rsid w:val="002B1B68"/>
    <w:rsid w:val="002B31FD"/>
    <w:rsid w:val="002B59BA"/>
    <w:rsid w:val="002C5029"/>
    <w:rsid w:val="002C5180"/>
    <w:rsid w:val="002C57D4"/>
    <w:rsid w:val="002D4EAA"/>
    <w:rsid w:val="003037AA"/>
    <w:rsid w:val="003062D6"/>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135E9"/>
    <w:rsid w:val="004258A8"/>
    <w:rsid w:val="00432323"/>
    <w:rsid w:val="004333C2"/>
    <w:rsid w:val="00434F97"/>
    <w:rsid w:val="00435996"/>
    <w:rsid w:val="00444B72"/>
    <w:rsid w:val="004521BE"/>
    <w:rsid w:val="00457015"/>
    <w:rsid w:val="00461028"/>
    <w:rsid w:val="004642B9"/>
    <w:rsid w:val="004763B3"/>
    <w:rsid w:val="00480F3A"/>
    <w:rsid w:val="0048254D"/>
    <w:rsid w:val="004A39B9"/>
    <w:rsid w:val="004A4086"/>
    <w:rsid w:val="004C2768"/>
    <w:rsid w:val="004C2BBB"/>
    <w:rsid w:val="004C67A3"/>
    <w:rsid w:val="004C700A"/>
    <w:rsid w:val="004D00C2"/>
    <w:rsid w:val="004D0C98"/>
    <w:rsid w:val="004E4D6D"/>
    <w:rsid w:val="004E6A3F"/>
    <w:rsid w:val="004F29DF"/>
    <w:rsid w:val="004F6BCE"/>
    <w:rsid w:val="005041B5"/>
    <w:rsid w:val="0050557B"/>
    <w:rsid w:val="005145F9"/>
    <w:rsid w:val="00526694"/>
    <w:rsid w:val="005340DA"/>
    <w:rsid w:val="00544318"/>
    <w:rsid w:val="0055125A"/>
    <w:rsid w:val="005551AF"/>
    <w:rsid w:val="0055535C"/>
    <w:rsid w:val="00561289"/>
    <w:rsid w:val="00562090"/>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E1603"/>
    <w:rsid w:val="005E192A"/>
    <w:rsid w:val="0061136D"/>
    <w:rsid w:val="00617741"/>
    <w:rsid w:val="00626D7A"/>
    <w:rsid w:val="00630559"/>
    <w:rsid w:val="006405DC"/>
    <w:rsid w:val="00642A67"/>
    <w:rsid w:val="00655540"/>
    <w:rsid w:val="006659EC"/>
    <w:rsid w:val="00673220"/>
    <w:rsid w:val="0067431D"/>
    <w:rsid w:val="00674F13"/>
    <w:rsid w:val="00675603"/>
    <w:rsid w:val="006802BF"/>
    <w:rsid w:val="00684266"/>
    <w:rsid w:val="00686344"/>
    <w:rsid w:val="006875E7"/>
    <w:rsid w:val="00690C1D"/>
    <w:rsid w:val="0069239F"/>
    <w:rsid w:val="006A2878"/>
    <w:rsid w:val="006A6719"/>
    <w:rsid w:val="006B3B48"/>
    <w:rsid w:val="006B5DB7"/>
    <w:rsid w:val="006C79FB"/>
    <w:rsid w:val="006D0B77"/>
    <w:rsid w:val="006E711A"/>
    <w:rsid w:val="006F160B"/>
    <w:rsid w:val="00701A0F"/>
    <w:rsid w:val="0071335B"/>
    <w:rsid w:val="00716FCB"/>
    <w:rsid w:val="00717FE7"/>
    <w:rsid w:val="00721B39"/>
    <w:rsid w:val="00721F9F"/>
    <w:rsid w:val="00723972"/>
    <w:rsid w:val="00727D5A"/>
    <w:rsid w:val="0073613A"/>
    <w:rsid w:val="0074579B"/>
    <w:rsid w:val="00750180"/>
    <w:rsid w:val="00751F6C"/>
    <w:rsid w:val="007549C7"/>
    <w:rsid w:val="00757F18"/>
    <w:rsid w:val="00763D48"/>
    <w:rsid w:val="007706D1"/>
    <w:rsid w:val="00776DFE"/>
    <w:rsid w:val="00784B9B"/>
    <w:rsid w:val="00787398"/>
    <w:rsid w:val="007A2C38"/>
    <w:rsid w:val="007B2B7A"/>
    <w:rsid w:val="007B716C"/>
    <w:rsid w:val="007C117C"/>
    <w:rsid w:val="007E0F04"/>
    <w:rsid w:val="007E5CEF"/>
    <w:rsid w:val="007E6AA6"/>
    <w:rsid w:val="007E6E1C"/>
    <w:rsid w:val="007F0542"/>
    <w:rsid w:val="007F1BE6"/>
    <w:rsid w:val="007F2733"/>
    <w:rsid w:val="00802C6D"/>
    <w:rsid w:val="008036D9"/>
    <w:rsid w:val="0081315D"/>
    <w:rsid w:val="008477FA"/>
    <w:rsid w:val="00863036"/>
    <w:rsid w:val="008721F6"/>
    <w:rsid w:val="00873823"/>
    <w:rsid w:val="00874DBD"/>
    <w:rsid w:val="00877385"/>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A0C87"/>
    <w:rsid w:val="009B07D9"/>
    <w:rsid w:val="009C1B55"/>
    <w:rsid w:val="009C7544"/>
    <w:rsid w:val="009D09F2"/>
    <w:rsid w:val="009D3532"/>
    <w:rsid w:val="009D5004"/>
    <w:rsid w:val="009E52F0"/>
    <w:rsid w:val="009F0C88"/>
    <w:rsid w:val="009F4CD2"/>
    <w:rsid w:val="009F71B3"/>
    <w:rsid w:val="00A00078"/>
    <w:rsid w:val="00A00571"/>
    <w:rsid w:val="00A02BB2"/>
    <w:rsid w:val="00A02E0B"/>
    <w:rsid w:val="00A10E86"/>
    <w:rsid w:val="00A234A4"/>
    <w:rsid w:val="00A275DB"/>
    <w:rsid w:val="00A36F58"/>
    <w:rsid w:val="00A414CC"/>
    <w:rsid w:val="00A448B5"/>
    <w:rsid w:val="00A54BE9"/>
    <w:rsid w:val="00A66748"/>
    <w:rsid w:val="00A75CB1"/>
    <w:rsid w:val="00A80097"/>
    <w:rsid w:val="00A82CDD"/>
    <w:rsid w:val="00A91453"/>
    <w:rsid w:val="00A9396C"/>
    <w:rsid w:val="00A96285"/>
    <w:rsid w:val="00A9708A"/>
    <w:rsid w:val="00A97F4A"/>
    <w:rsid w:val="00AA580B"/>
    <w:rsid w:val="00AB2854"/>
    <w:rsid w:val="00AB386C"/>
    <w:rsid w:val="00AB4892"/>
    <w:rsid w:val="00AB6B7A"/>
    <w:rsid w:val="00AC475D"/>
    <w:rsid w:val="00AC5858"/>
    <w:rsid w:val="00AD26B9"/>
    <w:rsid w:val="00AD7FAB"/>
    <w:rsid w:val="00AE2A82"/>
    <w:rsid w:val="00AE7180"/>
    <w:rsid w:val="00AF2F8D"/>
    <w:rsid w:val="00AF6218"/>
    <w:rsid w:val="00B00874"/>
    <w:rsid w:val="00B029BB"/>
    <w:rsid w:val="00B030B0"/>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74579"/>
    <w:rsid w:val="00BA14D2"/>
    <w:rsid w:val="00BA707F"/>
    <w:rsid w:val="00BB6E10"/>
    <w:rsid w:val="00BD0A28"/>
    <w:rsid w:val="00BD0ABC"/>
    <w:rsid w:val="00BE398A"/>
    <w:rsid w:val="00BF0A78"/>
    <w:rsid w:val="00BF21AD"/>
    <w:rsid w:val="00BF2297"/>
    <w:rsid w:val="00BF4139"/>
    <w:rsid w:val="00BF4472"/>
    <w:rsid w:val="00BF6007"/>
    <w:rsid w:val="00C01DA4"/>
    <w:rsid w:val="00C1416D"/>
    <w:rsid w:val="00C15C08"/>
    <w:rsid w:val="00C21EFA"/>
    <w:rsid w:val="00C361A9"/>
    <w:rsid w:val="00C36799"/>
    <w:rsid w:val="00C37B1B"/>
    <w:rsid w:val="00C4224C"/>
    <w:rsid w:val="00C5072E"/>
    <w:rsid w:val="00C55DA2"/>
    <w:rsid w:val="00C66ECA"/>
    <w:rsid w:val="00C721BA"/>
    <w:rsid w:val="00C77ABE"/>
    <w:rsid w:val="00C8406B"/>
    <w:rsid w:val="00C94847"/>
    <w:rsid w:val="00CA3B3C"/>
    <w:rsid w:val="00CA6363"/>
    <w:rsid w:val="00CC0C2B"/>
    <w:rsid w:val="00CC3DB2"/>
    <w:rsid w:val="00CC7F21"/>
    <w:rsid w:val="00CD3AE9"/>
    <w:rsid w:val="00CE131B"/>
    <w:rsid w:val="00CE242C"/>
    <w:rsid w:val="00CF5425"/>
    <w:rsid w:val="00D13D39"/>
    <w:rsid w:val="00D13E4C"/>
    <w:rsid w:val="00D2296B"/>
    <w:rsid w:val="00D31547"/>
    <w:rsid w:val="00D37209"/>
    <w:rsid w:val="00D426C6"/>
    <w:rsid w:val="00D51A98"/>
    <w:rsid w:val="00D74358"/>
    <w:rsid w:val="00D75604"/>
    <w:rsid w:val="00D77FAD"/>
    <w:rsid w:val="00D81206"/>
    <w:rsid w:val="00D90DB0"/>
    <w:rsid w:val="00D9253E"/>
    <w:rsid w:val="00DA0836"/>
    <w:rsid w:val="00DA2631"/>
    <w:rsid w:val="00DD295B"/>
    <w:rsid w:val="00DE2B7D"/>
    <w:rsid w:val="00DE7300"/>
    <w:rsid w:val="00DE7E0A"/>
    <w:rsid w:val="00DF215F"/>
    <w:rsid w:val="00E00922"/>
    <w:rsid w:val="00E05855"/>
    <w:rsid w:val="00E1438C"/>
    <w:rsid w:val="00E22B8E"/>
    <w:rsid w:val="00E22D4C"/>
    <w:rsid w:val="00E355DD"/>
    <w:rsid w:val="00E45249"/>
    <w:rsid w:val="00E517C5"/>
    <w:rsid w:val="00E53371"/>
    <w:rsid w:val="00E56B59"/>
    <w:rsid w:val="00E85AC8"/>
    <w:rsid w:val="00EA7D37"/>
    <w:rsid w:val="00ED5ED3"/>
    <w:rsid w:val="00EE35A7"/>
    <w:rsid w:val="00EF47B8"/>
    <w:rsid w:val="00F03710"/>
    <w:rsid w:val="00F05579"/>
    <w:rsid w:val="00F15294"/>
    <w:rsid w:val="00F30CBA"/>
    <w:rsid w:val="00F30EA6"/>
    <w:rsid w:val="00F36C4F"/>
    <w:rsid w:val="00F40982"/>
    <w:rsid w:val="00F67706"/>
    <w:rsid w:val="00F6777E"/>
    <w:rsid w:val="00F85533"/>
    <w:rsid w:val="00F8776C"/>
    <w:rsid w:val="00F941E4"/>
    <w:rsid w:val="00FA3411"/>
    <w:rsid w:val="00FA43FF"/>
    <w:rsid w:val="00FA57C1"/>
    <w:rsid w:val="00FC00CE"/>
    <w:rsid w:val="00FC77F5"/>
    <w:rsid w:val="00FD3643"/>
    <w:rsid w:val="00FD612C"/>
    <w:rsid w:val="00FE1BD7"/>
    <w:rsid w:val="00FE2A5A"/>
    <w:rsid w:val="00FE2F54"/>
    <w:rsid w:val="00FE4EBE"/>
    <w:rsid w:val="00FE5014"/>
    <w:rsid w:val="00FE6068"/>
    <w:rsid w:val="00FF03FB"/>
    <w:rsid w:val="00FF2D21"/>
    <w:rsid w:val="00FF4BFF"/>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6F5A8"/>
  <w15:chartTrackingRefBased/>
  <w15:docId w15:val="{3922289D-ACD7-4849-B356-AD6F7729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Colorful List - Accent 11,kepala 1,Heading 31,Body of text1,List Paragraph11,Colorful List - Accent 111,Body of text2,List Paragraph12,Colorful List - Accent 112,Body of text3,List Paragraph13,Body of text+2"/>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Colorful List - Accent 11 Char,kepala 1 Char,Heading 31 Char,Body of text1 Char,List Paragraph11 Char,Colorful List - Accent 111 Char,Body of text2 Char,List Paragraph12 Char,Body of text3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styleId="LightShading">
    <w:name w:val="Light Shading"/>
    <w:basedOn w:val="TableNormal"/>
    <w:uiPriority w:val="60"/>
    <w:rsid w:val="001E48E8"/>
    <w:pPr>
      <w:widowControl w:val="0"/>
      <w:autoSpaceDE w:val="0"/>
      <w:autoSpaceDN w:val="0"/>
      <w:spacing w:after="0" w:line="240" w:lineRule="auto"/>
    </w:pPr>
    <w:rPr>
      <w:rFonts w:ascii="Times New Roman" w:hAnsi="Times New Roman" w:cs="Times New Roman"/>
      <w:color w:val="000000" w:themeColor="text1" w:themeShade="BF"/>
      <w:sz w:val="20"/>
      <w:szCs w:val="20"/>
      <w:lang w:val="en-US" w:eastAsia="en-ID"/>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
    <w:name w:val="Table Grid11"/>
    <w:basedOn w:val="TableNormal"/>
    <w:uiPriority w:val="59"/>
    <w:rsid w:val="00E22D4C"/>
    <w:pPr>
      <w:spacing w:after="0" w:line="240" w:lineRule="auto"/>
    </w:pPr>
    <w:rPr>
      <w:rFonts w:ascii="Times New Roman" w:hAnsi="Times New Roman" w:cs="Times New Roman"/>
      <w:kern w:val="2"/>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00571"/>
    <w:pPr>
      <w:spacing w:after="0" w:line="240" w:lineRule="auto"/>
    </w:pPr>
    <w:rPr>
      <w:rFonts w:ascii="Times New Roman" w:hAnsi="Times New Roman" w:cs="Times New Roman"/>
      <w:kern w:val="2"/>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7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6898">
      <w:bodyDiv w:val="1"/>
      <w:marLeft w:val="0"/>
      <w:marRight w:val="0"/>
      <w:marTop w:val="0"/>
      <w:marBottom w:val="0"/>
      <w:divBdr>
        <w:top w:val="none" w:sz="0" w:space="0" w:color="auto"/>
        <w:left w:val="none" w:sz="0" w:space="0" w:color="auto"/>
        <w:bottom w:val="none" w:sz="0" w:space="0" w:color="auto"/>
        <w:right w:val="none" w:sz="0" w:space="0" w:color="auto"/>
      </w:divBdr>
      <w:divsChild>
        <w:div w:id="317881038">
          <w:marLeft w:val="0"/>
          <w:marRight w:val="0"/>
          <w:marTop w:val="0"/>
          <w:marBottom w:val="0"/>
          <w:divBdr>
            <w:top w:val="none" w:sz="0" w:space="0" w:color="auto"/>
            <w:left w:val="none" w:sz="0" w:space="0" w:color="auto"/>
            <w:bottom w:val="none" w:sz="0" w:space="0" w:color="auto"/>
            <w:right w:val="none" w:sz="0" w:space="0" w:color="auto"/>
          </w:divBdr>
          <w:divsChild>
            <w:div w:id="555508667">
              <w:marLeft w:val="0"/>
              <w:marRight w:val="0"/>
              <w:marTop w:val="0"/>
              <w:marBottom w:val="0"/>
              <w:divBdr>
                <w:top w:val="none" w:sz="0" w:space="0" w:color="auto"/>
                <w:left w:val="none" w:sz="0" w:space="0" w:color="auto"/>
                <w:bottom w:val="none" w:sz="0" w:space="0" w:color="auto"/>
                <w:right w:val="none" w:sz="0" w:space="0" w:color="auto"/>
              </w:divBdr>
              <w:divsChild>
                <w:div w:id="1073091136">
                  <w:marLeft w:val="0"/>
                  <w:marRight w:val="0"/>
                  <w:marTop w:val="0"/>
                  <w:marBottom w:val="0"/>
                  <w:divBdr>
                    <w:top w:val="none" w:sz="0" w:space="0" w:color="auto"/>
                    <w:left w:val="none" w:sz="0" w:space="0" w:color="auto"/>
                    <w:bottom w:val="none" w:sz="0" w:space="0" w:color="auto"/>
                    <w:right w:val="none" w:sz="0" w:space="0" w:color="auto"/>
                  </w:divBdr>
                  <w:divsChild>
                    <w:div w:id="1700155623">
                      <w:marLeft w:val="0"/>
                      <w:marRight w:val="0"/>
                      <w:marTop w:val="0"/>
                      <w:marBottom w:val="0"/>
                      <w:divBdr>
                        <w:top w:val="none" w:sz="0" w:space="0" w:color="auto"/>
                        <w:left w:val="none" w:sz="0" w:space="0" w:color="auto"/>
                        <w:bottom w:val="none" w:sz="0" w:space="0" w:color="auto"/>
                        <w:right w:val="none" w:sz="0" w:space="0" w:color="auto"/>
                      </w:divBdr>
                      <w:divsChild>
                        <w:div w:id="433476736">
                          <w:marLeft w:val="0"/>
                          <w:marRight w:val="0"/>
                          <w:marTop w:val="0"/>
                          <w:marBottom w:val="0"/>
                          <w:divBdr>
                            <w:top w:val="none" w:sz="0" w:space="0" w:color="auto"/>
                            <w:left w:val="none" w:sz="0" w:space="0" w:color="auto"/>
                            <w:bottom w:val="none" w:sz="0" w:space="0" w:color="auto"/>
                            <w:right w:val="none" w:sz="0" w:space="0" w:color="auto"/>
                          </w:divBdr>
                          <w:divsChild>
                            <w:div w:id="14591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42834797">
      <w:bodyDiv w:val="1"/>
      <w:marLeft w:val="0"/>
      <w:marRight w:val="0"/>
      <w:marTop w:val="0"/>
      <w:marBottom w:val="0"/>
      <w:divBdr>
        <w:top w:val="none" w:sz="0" w:space="0" w:color="auto"/>
        <w:left w:val="none" w:sz="0" w:space="0" w:color="auto"/>
        <w:bottom w:val="none" w:sz="0" w:space="0" w:color="auto"/>
        <w:right w:val="none" w:sz="0" w:space="0" w:color="auto"/>
      </w:divBdr>
      <w:divsChild>
        <w:div w:id="1856726958">
          <w:marLeft w:val="0"/>
          <w:marRight w:val="0"/>
          <w:marTop w:val="0"/>
          <w:marBottom w:val="0"/>
          <w:divBdr>
            <w:top w:val="none" w:sz="0" w:space="0" w:color="auto"/>
            <w:left w:val="none" w:sz="0" w:space="0" w:color="auto"/>
            <w:bottom w:val="none" w:sz="0" w:space="0" w:color="auto"/>
            <w:right w:val="none" w:sz="0" w:space="0" w:color="auto"/>
          </w:divBdr>
          <w:divsChild>
            <w:div w:id="1439332620">
              <w:marLeft w:val="0"/>
              <w:marRight w:val="0"/>
              <w:marTop w:val="0"/>
              <w:marBottom w:val="0"/>
              <w:divBdr>
                <w:top w:val="none" w:sz="0" w:space="0" w:color="auto"/>
                <w:left w:val="none" w:sz="0" w:space="0" w:color="auto"/>
                <w:bottom w:val="none" w:sz="0" w:space="0" w:color="auto"/>
                <w:right w:val="none" w:sz="0" w:space="0" w:color="auto"/>
              </w:divBdr>
              <w:divsChild>
                <w:div w:id="207107605">
                  <w:marLeft w:val="0"/>
                  <w:marRight w:val="0"/>
                  <w:marTop w:val="0"/>
                  <w:marBottom w:val="0"/>
                  <w:divBdr>
                    <w:top w:val="none" w:sz="0" w:space="0" w:color="auto"/>
                    <w:left w:val="none" w:sz="0" w:space="0" w:color="auto"/>
                    <w:bottom w:val="none" w:sz="0" w:space="0" w:color="auto"/>
                    <w:right w:val="none" w:sz="0" w:space="0" w:color="auto"/>
                  </w:divBdr>
                  <w:divsChild>
                    <w:div w:id="1814633884">
                      <w:marLeft w:val="0"/>
                      <w:marRight w:val="0"/>
                      <w:marTop w:val="0"/>
                      <w:marBottom w:val="0"/>
                      <w:divBdr>
                        <w:top w:val="none" w:sz="0" w:space="0" w:color="auto"/>
                        <w:left w:val="none" w:sz="0" w:space="0" w:color="auto"/>
                        <w:bottom w:val="none" w:sz="0" w:space="0" w:color="auto"/>
                        <w:right w:val="none" w:sz="0" w:space="0" w:color="auto"/>
                      </w:divBdr>
                      <w:divsChild>
                        <w:div w:id="1071805017">
                          <w:marLeft w:val="0"/>
                          <w:marRight w:val="0"/>
                          <w:marTop w:val="0"/>
                          <w:marBottom w:val="0"/>
                          <w:divBdr>
                            <w:top w:val="none" w:sz="0" w:space="0" w:color="auto"/>
                            <w:left w:val="none" w:sz="0" w:space="0" w:color="auto"/>
                            <w:bottom w:val="none" w:sz="0" w:space="0" w:color="auto"/>
                            <w:right w:val="none" w:sz="0" w:space="0" w:color="auto"/>
                          </w:divBdr>
                          <w:divsChild>
                            <w:div w:id="4348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734738164">
      <w:bodyDiv w:val="1"/>
      <w:marLeft w:val="0"/>
      <w:marRight w:val="0"/>
      <w:marTop w:val="0"/>
      <w:marBottom w:val="0"/>
      <w:divBdr>
        <w:top w:val="none" w:sz="0" w:space="0" w:color="auto"/>
        <w:left w:val="none" w:sz="0" w:space="0" w:color="auto"/>
        <w:bottom w:val="none" w:sz="0" w:space="0" w:color="auto"/>
        <w:right w:val="none" w:sz="0" w:space="0" w:color="auto"/>
      </w:divBdr>
      <w:divsChild>
        <w:div w:id="1212307854">
          <w:marLeft w:val="0"/>
          <w:marRight w:val="0"/>
          <w:marTop w:val="0"/>
          <w:marBottom w:val="0"/>
          <w:divBdr>
            <w:top w:val="none" w:sz="0" w:space="0" w:color="auto"/>
            <w:left w:val="none" w:sz="0" w:space="0" w:color="auto"/>
            <w:bottom w:val="none" w:sz="0" w:space="0" w:color="auto"/>
            <w:right w:val="none" w:sz="0" w:space="0" w:color="auto"/>
          </w:divBdr>
          <w:divsChild>
            <w:div w:id="1401250811">
              <w:marLeft w:val="0"/>
              <w:marRight w:val="0"/>
              <w:marTop w:val="0"/>
              <w:marBottom w:val="0"/>
              <w:divBdr>
                <w:top w:val="none" w:sz="0" w:space="0" w:color="auto"/>
                <w:left w:val="none" w:sz="0" w:space="0" w:color="auto"/>
                <w:bottom w:val="none" w:sz="0" w:space="0" w:color="auto"/>
                <w:right w:val="none" w:sz="0" w:space="0" w:color="auto"/>
              </w:divBdr>
              <w:divsChild>
                <w:div w:id="25301482">
                  <w:marLeft w:val="0"/>
                  <w:marRight w:val="0"/>
                  <w:marTop w:val="0"/>
                  <w:marBottom w:val="0"/>
                  <w:divBdr>
                    <w:top w:val="none" w:sz="0" w:space="0" w:color="auto"/>
                    <w:left w:val="none" w:sz="0" w:space="0" w:color="auto"/>
                    <w:bottom w:val="none" w:sz="0" w:space="0" w:color="auto"/>
                    <w:right w:val="none" w:sz="0" w:space="0" w:color="auto"/>
                  </w:divBdr>
                  <w:divsChild>
                    <w:div w:id="1023673104">
                      <w:marLeft w:val="0"/>
                      <w:marRight w:val="0"/>
                      <w:marTop w:val="0"/>
                      <w:marBottom w:val="0"/>
                      <w:divBdr>
                        <w:top w:val="none" w:sz="0" w:space="0" w:color="auto"/>
                        <w:left w:val="none" w:sz="0" w:space="0" w:color="auto"/>
                        <w:bottom w:val="none" w:sz="0" w:space="0" w:color="auto"/>
                        <w:right w:val="none" w:sz="0" w:space="0" w:color="auto"/>
                      </w:divBdr>
                      <w:divsChild>
                        <w:div w:id="1778600710">
                          <w:marLeft w:val="0"/>
                          <w:marRight w:val="0"/>
                          <w:marTop w:val="0"/>
                          <w:marBottom w:val="0"/>
                          <w:divBdr>
                            <w:top w:val="none" w:sz="0" w:space="0" w:color="auto"/>
                            <w:left w:val="none" w:sz="0" w:space="0" w:color="auto"/>
                            <w:bottom w:val="none" w:sz="0" w:space="0" w:color="auto"/>
                            <w:right w:val="none" w:sz="0" w:space="0" w:color="auto"/>
                          </w:divBdr>
                          <w:divsChild>
                            <w:div w:id="14393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3938">
      <w:bodyDiv w:val="1"/>
      <w:marLeft w:val="0"/>
      <w:marRight w:val="0"/>
      <w:marTop w:val="0"/>
      <w:marBottom w:val="0"/>
      <w:divBdr>
        <w:top w:val="none" w:sz="0" w:space="0" w:color="auto"/>
        <w:left w:val="none" w:sz="0" w:space="0" w:color="auto"/>
        <w:bottom w:val="none" w:sz="0" w:space="0" w:color="auto"/>
        <w:right w:val="none" w:sz="0" w:space="0" w:color="auto"/>
      </w:divBdr>
      <w:divsChild>
        <w:div w:id="324944304">
          <w:marLeft w:val="0"/>
          <w:marRight w:val="0"/>
          <w:marTop w:val="0"/>
          <w:marBottom w:val="0"/>
          <w:divBdr>
            <w:top w:val="none" w:sz="0" w:space="0" w:color="auto"/>
            <w:left w:val="none" w:sz="0" w:space="0" w:color="auto"/>
            <w:bottom w:val="none" w:sz="0" w:space="0" w:color="auto"/>
            <w:right w:val="none" w:sz="0" w:space="0" w:color="auto"/>
          </w:divBdr>
          <w:divsChild>
            <w:div w:id="1563983194">
              <w:marLeft w:val="0"/>
              <w:marRight w:val="0"/>
              <w:marTop w:val="0"/>
              <w:marBottom w:val="0"/>
              <w:divBdr>
                <w:top w:val="none" w:sz="0" w:space="0" w:color="auto"/>
                <w:left w:val="none" w:sz="0" w:space="0" w:color="auto"/>
                <w:bottom w:val="none" w:sz="0" w:space="0" w:color="auto"/>
                <w:right w:val="none" w:sz="0" w:space="0" w:color="auto"/>
              </w:divBdr>
              <w:divsChild>
                <w:div w:id="299388742">
                  <w:marLeft w:val="0"/>
                  <w:marRight w:val="0"/>
                  <w:marTop w:val="0"/>
                  <w:marBottom w:val="0"/>
                  <w:divBdr>
                    <w:top w:val="none" w:sz="0" w:space="0" w:color="auto"/>
                    <w:left w:val="none" w:sz="0" w:space="0" w:color="auto"/>
                    <w:bottom w:val="none" w:sz="0" w:space="0" w:color="auto"/>
                    <w:right w:val="none" w:sz="0" w:space="0" w:color="auto"/>
                  </w:divBdr>
                  <w:divsChild>
                    <w:div w:id="418989281">
                      <w:marLeft w:val="0"/>
                      <w:marRight w:val="0"/>
                      <w:marTop w:val="0"/>
                      <w:marBottom w:val="0"/>
                      <w:divBdr>
                        <w:top w:val="none" w:sz="0" w:space="0" w:color="auto"/>
                        <w:left w:val="none" w:sz="0" w:space="0" w:color="auto"/>
                        <w:bottom w:val="none" w:sz="0" w:space="0" w:color="auto"/>
                        <w:right w:val="none" w:sz="0" w:space="0" w:color="auto"/>
                      </w:divBdr>
                      <w:divsChild>
                        <w:div w:id="1868829805">
                          <w:marLeft w:val="0"/>
                          <w:marRight w:val="0"/>
                          <w:marTop w:val="0"/>
                          <w:marBottom w:val="0"/>
                          <w:divBdr>
                            <w:top w:val="none" w:sz="0" w:space="0" w:color="auto"/>
                            <w:left w:val="none" w:sz="0" w:space="0" w:color="auto"/>
                            <w:bottom w:val="none" w:sz="0" w:space="0" w:color="auto"/>
                            <w:right w:val="none" w:sz="0" w:space="0" w:color="auto"/>
                          </w:divBdr>
                          <w:divsChild>
                            <w:div w:id="13172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83734">
      <w:bodyDiv w:val="1"/>
      <w:marLeft w:val="0"/>
      <w:marRight w:val="0"/>
      <w:marTop w:val="0"/>
      <w:marBottom w:val="0"/>
      <w:divBdr>
        <w:top w:val="none" w:sz="0" w:space="0" w:color="auto"/>
        <w:left w:val="none" w:sz="0" w:space="0" w:color="auto"/>
        <w:bottom w:val="none" w:sz="0" w:space="0" w:color="auto"/>
        <w:right w:val="none" w:sz="0" w:space="0" w:color="auto"/>
      </w:divBdr>
      <w:divsChild>
        <w:div w:id="29230881">
          <w:marLeft w:val="0"/>
          <w:marRight w:val="0"/>
          <w:marTop w:val="0"/>
          <w:marBottom w:val="0"/>
          <w:divBdr>
            <w:top w:val="none" w:sz="0" w:space="0" w:color="auto"/>
            <w:left w:val="none" w:sz="0" w:space="0" w:color="auto"/>
            <w:bottom w:val="none" w:sz="0" w:space="0" w:color="auto"/>
            <w:right w:val="none" w:sz="0" w:space="0" w:color="auto"/>
          </w:divBdr>
          <w:divsChild>
            <w:div w:id="1322352092">
              <w:marLeft w:val="0"/>
              <w:marRight w:val="0"/>
              <w:marTop w:val="0"/>
              <w:marBottom w:val="0"/>
              <w:divBdr>
                <w:top w:val="none" w:sz="0" w:space="0" w:color="auto"/>
                <w:left w:val="none" w:sz="0" w:space="0" w:color="auto"/>
                <w:bottom w:val="none" w:sz="0" w:space="0" w:color="auto"/>
                <w:right w:val="none" w:sz="0" w:space="0" w:color="auto"/>
              </w:divBdr>
              <w:divsChild>
                <w:div w:id="1998143414">
                  <w:marLeft w:val="0"/>
                  <w:marRight w:val="0"/>
                  <w:marTop w:val="0"/>
                  <w:marBottom w:val="0"/>
                  <w:divBdr>
                    <w:top w:val="none" w:sz="0" w:space="0" w:color="auto"/>
                    <w:left w:val="none" w:sz="0" w:space="0" w:color="auto"/>
                    <w:bottom w:val="none" w:sz="0" w:space="0" w:color="auto"/>
                    <w:right w:val="none" w:sz="0" w:space="0" w:color="auto"/>
                  </w:divBdr>
                  <w:divsChild>
                    <w:div w:id="1692103931">
                      <w:marLeft w:val="0"/>
                      <w:marRight w:val="0"/>
                      <w:marTop w:val="0"/>
                      <w:marBottom w:val="0"/>
                      <w:divBdr>
                        <w:top w:val="none" w:sz="0" w:space="0" w:color="auto"/>
                        <w:left w:val="none" w:sz="0" w:space="0" w:color="auto"/>
                        <w:bottom w:val="none" w:sz="0" w:space="0" w:color="auto"/>
                        <w:right w:val="none" w:sz="0" w:space="0" w:color="auto"/>
                      </w:divBdr>
                      <w:divsChild>
                        <w:div w:id="1872375540">
                          <w:marLeft w:val="0"/>
                          <w:marRight w:val="0"/>
                          <w:marTop w:val="0"/>
                          <w:marBottom w:val="0"/>
                          <w:divBdr>
                            <w:top w:val="none" w:sz="0" w:space="0" w:color="auto"/>
                            <w:left w:val="none" w:sz="0" w:space="0" w:color="auto"/>
                            <w:bottom w:val="none" w:sz="0" w:space="0" w:color="auto"/>
                            <w:right w:val="none" w:sz="0" w:space="0" w:color="auto"/>
                          </w:divBdr>
                          <w:divsChild>
                            <w:div w:id="19550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16868220">
      <w:bodyDiv w:val="1"/>
      <w:marLeft w:val="0"/>
      <w:marRight w:val="0"/>
      <w:marTop w:val="0"/>
      <w:marBottom w:val="0"/>
      <w:divBdr>
        <w:top w:val="none" w:sz="0" w:space="0" w:color="auto"/>
        <w:left w:val="none" w:sz="0" w:space="0" w:color="auto"/>
        <w:bottom w:val="none" w:sz="0" w:space="0" w:color="auto"/>
        <w:right w:val="none" w:sz="0" w:space="0" w:color="auto"/>
      </w:divBdr>
      <w:divsChild>
        <w:div w:id="76290746">
          <w:marLeft w:val="0"/>
          <w:marRight w:val="0"/>
          <w:marTop w:val="0"/>
          <w:marBottom w:val="0"/>
          <w:divBdr>
            <w:top w:val="none" w:sz="0" w:space="0" w:color="auto"/>
            <w:left w:val="none" w:sz="0" w:space="0" w:color="auto"/>
            <w:bottom w:val="none" w:sz="0" w:space="0" w:color="auto"/>
            <w:right w:val="none" w:sz="0" w:space="0" w:color="auto"/>
          </w:divBdr>
          <w:divsChild>
            <w:div w:id="1205947597">
              <w:marLeft w:val="0"/>
              <w:marRight w:val="0"/>
              <w:marTop w:val="0"/>
              <w:marBottom w:val="0"/>
              <w:divBdr>
                <w:top w:val="none" w:sz="0" w:space="0" w:color="auto"/>
                <w:left w:val="none" w:sz="0" w:space="0" w:color="auto"/>
                <w:bottom w:val="none" w:sz="0" w:space="0" w:color="auto"/>
                <w:right w:val="none" w:sz="0" w:space="0" w:color="auto"/>
              </w:divBdr>
              <w:divsChild>
                <w:div w:id="1331905209">
                  <w:marLeft w:val="0"/>
                  <w:marRight w:val="0"/>
                  <w:marTop w:val="0"/>
                  <w:marBottom w:val="0"/>
                  <w:divBdr>
                    <w:top w:val="none" w:sz="0" w:space="0" w:color="auto"/>
                    <w:left w:val="none" w:sz="0" w:space="0" w:color="auto"/>
                    <w:bottom w:val="none" w:sz="0" w:space="0" w:color="auto"/>
                    <w:right w:val="none" w:sz="0" w:space="0" w:color="auto"/>
                  </w:divBdr>
                  <w:divsChild>
                    <w:div w:id="1187211173">
                      <w:marLeft w:val="0"/>
                      <w:marRight w:val="0"/>
                      <w:marTop w:val="0"/>
                      <w:marBottom w:val="0"/>
                      <w:divBdr>
                        <w:top w:val="none" w:sz="0" w:space="0" w:color="auto"/>
                        <w:left w:val="none" w:sz="0" w:space="0" w:color="auto"/>
                        <w:bottom w:val="none" w:sz="0" w:space="0" w:color="auto"/>
                        <w:right w:val="none" w:sz="0" w:space="0" w:color="auto"/>
                      </w:divBdr>
                      <w:divsChild>
                        <w:div w:id="1345670181">
                          <w:marLeft w:val="0"/>
                          <w:marRight w:val="0"/>
                          <w:marTop w:val="0"/>
                          <w:marBottom w:val="0"/>
                          <w:divBdr>
                            <w:top w:val="none" w:sz="0" w:space="0" w:color="auto"/>
                            <w:left w:val="none" w:sz="0" w:space="0" w:color="auto"/>
                            <w:bottom w:val="none" w:sz="0" w:space="0" w:color="auto"/>
                            <w:right w:val="none" w:sz="0" w:space="0" w:color="auto"/>
                          </w:divBdr>
                          <w:divsChild>
                            <w:div w:id="2069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FARWIL'S%20FOLDER\JASA%20KETIK\EHDA\NURUL\Article%20Nurul%20Aprilia%20Fit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Nurul Aprilia Fitria.dotx</Template>
  <TotalTime>1</TotalTime>
  <Pages>8</Pages>
  <Words>4406</Words>
  <Characters>25116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cp:revision>
  <cp:lastPrinted>2022-03-12T14:54:00Z</cp:lastPrinted>
  <dcterms:created xsi:type="dcterms:W3CDTF">2025-08-08T18:39:00Z</dcterms:created>
  <dcterms:modified xsi:type="dcterms:W3CDTF">2025-08-08T18:39:00Z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GrammarlyDocumentId">
    <vt:lpwstr>0eb303a4-08ad-4086-8b65-38fb1c3f494b</vt:lpwstr>
  </property>
</Properties>
</file>