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11B7A">
      <w:pPr>
        <w:pStyle w:val="27"/>
        <w:jc w:val="center"/>
        <w:rPr>
          <w:rFonts w:hint="default" w:ascii="Palatino Linotype" w:hAnsi="Palatino Linotype" w:cs="Palatino Linotype"/>
        </w:rPr>
      </w:pPr>
      <w:r>
        <w:rPr>
          <w:rFonts w:hint="default" w:ascii="Palatino Linotype" w:hAnsi="Palatino Linotype" w:cs="Palatino Linotype"/>
          <w:sz w:val="28"/>
          <w:szCs w:val="28"/>
          <w:lang w:val="en-US"/>
        </w:rPr>
        <w:t>“Interactive Book Creator e-Module to Improve Elementary Students’ Numeracy and Green Economy Awareness”</w:t>
      </w:r>
    </w:p>
    <w:p w14:paraId="4C029B45">
      <w:pPr>
        <w:pStyle w:val="28"/>
        <w:rPr>
          <w:rFonts w:hint="default"/>
          <w:vertAlign w:val="superscript"/>
          <w:lang w:val="en-US"/>
        </w:rPr>
      </w:pPr>
      <w:r>
        <w:rPr>
          <w:rFonts w:hint="default"/>
          <w:lang w:val="en-US"/>
        </w:rPr>
        <w:t>Ratih Purnamasari</w:t>
      </w:r>
      <w:r>
        <w:rPr>
          <w:vertAlign w:val="superscript"/>
          <w:lang w:val="en-GB"/>
        </w:rPr>
        <w:t>1</w:t>
      </w:r>
      <w:r>
        <w:rPr>
          <w:lang w:val="en-GB"/>
        </w:rPr>
        <w:t xml:space="preserve">, </w:t>
      </w:r>
      <w:r>
        <w:rPr>
          <w:rFonts w:hint="default"/>
          <w:lang w:val="en-US"/>
        </w:rPr>
        <w:t>Nurlinda Safitri</w:t>
      </w:r>
      <w:r>
        <w:rPr>
          <w:vertAlign w:val="superscript"/>
          <w:lang w:val="en-GB"/>
        </w:rPr>
        <w:t>2</w:t>
      </w:r>
      <w:r>
        <w:rPr>
          <w:lang w:val="en-GB"/>
        </w:rPr>
        <w:t xml:space="preserve">, </w:t>
      </w:r>
      <w:r>
        <w:rPr>
          <w:rFonts w:hint="default"/>
          <w:lang w:val="en-US"/>
        </w:rPr>
        <w:t>Rukmini Handayani</w:t>
      </w:r>
      <w:r>
        <w:rPr>
          <w:rFonts w:hint="default"/>
          <w:vertAlign w:val="superscript"/>
          <w:lang w:val="en-US"/>
        </w:rPr>
        <w:t>3</w:t>
      </w:r>
    </w:p>
    <w:p w14:paraId="44CEA9DE">
      <w:pPr>
        <w:pStyle w:val="30"/>
        <w:rPr>
          <w:rFonts w:hint="default"/>
          <w:color w:val="auto"/>
          <w:lang w:val="en-US"/>
        </w:rPr>
      </w:pPr>
      <w:r>
        <w:rPr>
          <w:color w:val="auto"/>
          <w:vertAlign w:val="superscript"/>
          <w:lang w:val="en-GB"/>
        </w:rPr>
        <w:t>1</w:t>
      </w:r>
      <w:r>
        <w:rPr>
          <w:color w:val="auto"/>
          <w:lang w:val="en-GB"/>
        </w:rPr>
        <w:tab/>
      </w:r>
      <w:r>
        <w:rPr>
          <w:rFonts w:hint="default"/>
          <w:color w:val="auto"/>
          <w:lang w:val="en-US"/>
        </w:rPr>
        <w:t>PGSD, FKIP, Universitas Pakuan</w:t>
      </w:r>
      <w:r>
        <w:rPr>
          <w:color w:val="auto"/>
          <w:lang w:val="en-GB"/>
        </w:rPr>
        <w:t xml:space="preserve">; </w:t>
      </w:r>
      <w:r>
        <w:rPr>
          <w:rFonts w:hint="default"/>
          <w:color w:val="auto"/>
          <w:lang w:val="en-US"/>
        </w:rPr>
        <w:fldChar w:fldCharType="begin"/>
      </w:r>
      <w:r>
        <w:rPr>
          <w:rFonts w:hint="default"/>
          <w:color w:val="auto"/>
          <w:lang w:val="en-US"/>
        </w:rPr>
        <w:instrText xml:space="preserve"> HYPERLINK "mailto:ratihpurnamasari@unpak.ac.id" </w:instrText>
      </w:r>
      <w:r>
        <w:rPr>
          <w:rFonts w:hint="default"/>
          <w:color w:val="auto"/>
          <w:lang w:val="en-US"/>
        </w:rPr>
        <w:fldChar w:fldCharType="separate"/>
      </w:r>
      <w:r>
        <w:rPr>
          <w:rStyle w:val="20"/>
          <w:rFonts w:hint="default"/>
          <w:lang w:val="en-US"/>
        </w:rPr>
        <w:t>ratihpurnamasari@unpak.ac.id</w:t>
      </w:r>
      <w:r>
        <w:rPr>
          <w:rFonts w:hint="default"/>
          <w:color w:val="auto"/>
          <w:lang w:val="en-US"/>
        </w:rPr>
        <w:fldChar w:fldCharType="end"/>
      </w:r>
      <w:r>
        <w:rPr>
          <w:rFonts w:hint="default"/>
          <w:color w:val="auto"/>
          <w:lang w:val="en-US"/>
        </w:rPr>
        <w:t xml:space="preserve"> </w:t>
      </w:r>
    </w:p>
    <w:p w14:paraId="122D002F">
      <w:pPr>
        <w:pStyle w:val="30"/>
        <w:rPr>
          <w:rFonts w:hint="default"/>
          <w:color w:val="auto"/>
          <w:lang w:val="en-US"/>
        </w:rPr>
      </w:pPr>
      <w:r>
        <w:rPr>
          <w:color w:val="auto"/>
          <w:vertAlign w:val="superscript"/>
          <w:lang w:val="en-GB"/>
        </w:rPr>
        <w:t>2</w:t>
      </w:r>
      <w:r>
        <w:rPr>
          <w:color w:val="auto"/>
          <w:lang w:val="en-GB"/>
        </w:rPr>
        <w:tab/>
      </w:r>
      <w:r>
        <w:rPr>
          <w:rFonts w:hint="default"/>
          <w:color w:val="auto"/>
          <w:lang w:val="en-US"/>
        </w:rPr>
        <w:t>PPG, FKIP, Universitas Pakuan</w:t>
      </w:r>
      <w:r>
        <w:rPr>
          <w:color w:val="auto"/>
          <w:lang w:val="en-GB"/>
        </w:rPr>
        <w:t xml:space="preserve">; </w:t>
      </w:r>
      <w:r>
        <w:rPr>
          <w:rFonts w:hint="default"/>
          <w:color w:val="auto"/>
          <w:lang w:val="en-US"/>
        </w:rPr>
        <w:fldChar w:fldCharType="begin"/>
      </w:r>
      <w:r>
        <w:rPr>
          <w:rFonts w:hint="default"/>
          <w:color w:val="auto"/>
          <w:lang w:val="en-US"/>
        </w:rPr>
        <w:instrText xml:space="preserve"> HYPERLINK "mailto:nurlindasafitri@unpak.ac.id" </w:instrText>
      </w:r>
      <w:r>
        <w:rPr>
          <w:rFonts w:hint="default"/>
          <w:color w:val="auto"/>
          <w:lang w:val="en-US"/>
        </w:rPr>
        <w:fldChar w:fldCharType="separate"/>
      </w:r>
      <w:r>
        <w:rPr>
          <w:rStyle w:val="20"/>
          <w:rFonts w:hint="default"/>
          <w:lang w:val="en-US"/>
        </w:rPr>
        <w:t>nurlindasafitri@unpak.ac.id</w:t>
      </w:r>
      <w:r>
        <w:rPr>
          <w:rFonts w:hint="default"/>
          <w:color w:val="auto"/>
          <w:lang w:val="en-US"/>
        </w:rPr>
        <w:fldChar w:fldCharType="end"/>
      </w:r>
    </w:p>
    <w:p w14:paraId="000125F2">
      <w:pPr>
        <w:pStyle w:val="30"/>
        <w:rPr>
          <w:rFonts w:hint="default"/>
          <w:color w:val="auto"/>
          <w:lang w:val="en-US"/>
        </w:rPr>
      </w:pPr>
      <w:r>
        <w:rPr>
          <w:rFonts w:hint="default"/>
          <w:color w:val="auto"/>
          <w:vertAlign w:val="superscript"/>
          <w:lang w:val="en-US"/>
        </w:rPr>
        <w:t xml:space="preserve">3     </w:t>
      </w:r>
      <w:r>
        <w:rPr>
          <w:rFonts w:hint="default"/>
          <w:color w:val="auto"/>
          <w:lang w:val="en-US"/>
        </w:rPr>
        <w:t>PGSD, FKIP, Universitas Pakuan</w:t>
      </w:r>
      <w:r>
        <w:rPr>
          <w:color w:val="auto"/>
          <w:lang w:val="en-GB"/>
        </w:rPr>
        <w:t xml:space="preserve">; </w:t>
      </w:r>
      <w:r>
        <w:rPr>
          <w:rFonts w:hint="default"/>
          <w:color w:val="auto"/>
          <w:lang w:val="en-US"/>
        </w:rPr>
        <w:fldChar w:fldCharType="begin"/>
      </w:r>
      <w:r>
        <w:rPr>
          <w:rFonts w:hint="default"/>
          <w:color w:val="auto"/>
          <w:lang w:val="en-US"/>
        </w:rPr>
        <w:instrText xml:space="preserve"> HYPERLINK "mailto:rukminihandayani@unpak.ac.id" </w:instrText>
      </w:r>
      <w:r>
        <w:rPr>
          <w:rFonts w:hint="default"/>
          <w:color w:val="auto"/>
          <w:lang w:val="en-US"/>
        </w:rPr>
        <w:fldChar w:fldCharType="separate"/>
      </w:r>
      <w:r>
        <w:rPr>
          <w:rStyle w:val="20"/>
          <w:rFonts w:hint="default"/>
          <w:lang w:val="en-US"/>
        </w:rPr>
        <w:t>rukminihandayani@unpak.ac.id</w:t>
      </w:r>
      <w:r>
        <w:rPr>
          <w:rFonts w:hint="default"/>
          <w:color w:val="auto"/>
          <w:lang w:val="en-US"/>
        </w:rPr>
        <w:fldChar w:fldCharType="end"/>
      </w:r>
      <w:r>
        <w:rPr>
          <w:rFonts w:hint="default"/>
          <w:color w:val="auto"/>
          <w:lang w:val="en-US"/>
        </w:rPr>
        <w:t xml:space="preserve"> </w:t>
      </w:r>
    </w:p>
    <w:p w14:paraId="388A0BD4">
      <w:pPr>
        <w:pStyle w:val="30"/>
        <w:rPr>
          <w:color w:val="auto"/>
          <w:lang w:val="en-GB"/>
        </w:rPr>
      </w:pPr>
    </w:p>
    <w:tbl>
      <w:tblPr>
        <w:tblStyle w:val="23"/>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7"/>
        <w:gridCol w:w="282"/>
        <w:gridCol w:w="5776"/>
      </w:tblGrid>
      <w:tr w14:paraId="7BFF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87" w:type="dxa"/>
            <w:tcBorders>
              <w:top w:val="double" w:color="auto" w:sz="4" w:space="0"/>
              <w:left w:val="nil"/>
              <w:bottom w:val="single" w:color="auto" w:sz="4" w:space="0"/>
              <w:right w:val="nil"/>
            </w:tcBorders>
          </w:tcPr>
          <w:p w14:paraId="7A455D17">
            <w:pPr>
              <w:spacing w:before="120" w:after="0" w:line="240" w:lineRule="auto"/>
              <w:jc w:val="both"/>
              <w:rPr>
                <w:rFonts w:ascii="Palatino Linotype" w:hAnsi="Palatino Linotype" w:eastAsiaTheme="minorEastAsia"/>
                <w:b/>
                <w:sz w:val="20"/>
                <w:szCs w:val="20"/>
                <w:lang w:val="en-US"/>
              </w:rPr>
            </w:pPr>
            <w:r>
              <w:rPr>
                <w:rFonts w:ascii="Palatino Linotype" w:hAnsi="Palatino Linotype" w:eastAsiaTheme="minorEastAsia"/>
                <w:b/>
                <w:sz w:val="20"/>
                <w:szCs w:val="20"/>
                <w:lang w:val="en-US"/>
              </w:rPr>
              <w:t>ARTICLE INFO</w:t>
            </w:r>
          </w:p>
        </w:tc>
        <w:tc>
          <w:tcPr>
            <w:tcW w:w="282" w:type="dxa"/>
            <w:tcBorders>
              <w:top w:val="double" w:color="auto" w:sz="4" w:space="0"/>
              <w:left w:val="nil"/>
              <w:bottom w:val="nil"/>
              <w:right w:val="nil"/>
            </w:tcBorders>
          </w:tcPr>
          <w:p w14:paraId="52113ABC">
            <w:pPr>
              <w:spacing w:before="120" w:after="0" w:line="240" w:lineRule="auto"/>
              <w:jc w:val="center"/>
              <w:rPr>
                <w:rFonts w:ascii="Palatino Linotype" w:hAnsi="Palatino Linotype" w:eastAsiaTheme="minorEastAsia"/>
                <w:sz w:val="20"/>
                <w:szCs w:val="20"/>
                <w:lang w:val="en-US"/>
              </w:rPr>
            </w:pPr>
          </w:p>
        </w:tc>
        <w:tc>
          <w:tcPr>
            <w:tcW w:w="5776" w:type="dxa"/>
            <w:tcBorders>
              <w:top w:val="double" w:color="auto" w:sz="4" w:space="0"/>
              <w:left w:val="nil"/>
              <w:bottom w:val="single" w:color="auto" w:sz="4" w:space="0"/>
              <w:right w:val="nil"/>
            </w:tcBorders>
          </w:tcPr>
          <w:p w14:paraId="7A07100A">
            <w:pPr>
              <w:spacing w:before="120" w:after="0" w:line="240" w:lineRule="auto"/>
              <w:ind w:left="81"/>
              <w:rPr>
                <w:rFonts w:ascii="Palatino Linotype" w:hAnsi="Palatino Linotype" w:eastAsiaTheme="minorEastAsia"/>
                <w:color w:val="000000"/>
                <w:sz w:val="24"/>
                <w:szCs w:val="24"/>
                <w:lang w:val="en-US"/>
              </w:rPr>
            </w:pPr>
            <w:r>
              <w:rPr>
                <w:rFonts w:ascii="Palatino Linotype" w:hAnsi="Palatino Linotype" w:eastAsiaTheme="minorEastAsia"/>
                <w:b/>
                <w:bCs/>
                <w:iCs/>
                <w:color w:val="000000"/>
                <w:sz w:val="20"/>
                <w:szCs w:val="20"/>
                <w:lang w:val="en-US"/>
              </w:rPr>
              <w:t>ABSTRACT</w:t>
            </w:r>
          </w:p>
        </w:tc>
      </w:tr>
      <w:tr w14:paraId="2807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2787" w:type="dxa"/>
            <w:tcBorders>
              <w:top w:val="single" w:color="auto" w:sz="4" w:space="0"/>
              <w:left w:val="nil"/>
              <w:bottom w:val="single" w:color="auto" w:sz="4" w:space="0"/>
              <w:right w:val="nil"/>
            </w:tcBorders>
          </w:tcPr>
          <w:p w14:paraId="0DA0AB51">
            <w:pPr>
              <w:spacing w:before="120" w:after="120" w:line="240" w:lineRule="auto"/>
              <w:jc w:val="both"/>
              <w:rPr>
                <w:rFonts w:ascii="Palatino Linotype" w:hAnsi="Palatino Linotype" w:eastAsiaTheme="minorEastAsia"/>
                <w:b/>
                <w:i/>
                <w:sz w:val="18"/>
                <w:szCs w:val="18"/>
                <w:lang w:val="en-US"/>
              </w:rPr>
            </w:pPr>
            <w:r>
              <w:rPr>
                <w:rFonts w:ascii="Palatino Linotype" w:hAnsi="Palatino Linotype" w:eastAsiaTheme="minorEastAsia"/>
                <w:b/>
                <w:i/>
                <w:sz w:val="18"/>
                <w:szCs w:val="18"/>
                <w:lang w:val="en-US"/>
              </w:rPr>
              <w:t>Keywords:</w:t>
            </w:r>
          </w:p>
          <w:p w14:paraId="7285253D">
            <w:pPr>
              <w:pStyle w:val="34"/>
              <w:jc w:val="left"/>
            </w:pPr>
            <w:r>
              <w:rPr>
                <w:rFonts w:hint="default"/>
              </w:rPr>
              <w:t>Book Creator, Green economy, Interactive e-module, Numeracy skills</w:t>
            </w:r>
            <w:r>
              <w:t xml:space="preserve"> </w:t>
            </w:r>
          </w:p>
          <w:p w14:paraId="0CE5E7B5">
            <w:pPr>
              <w:pStyle w:val="34"/>
            </w:pPr>
          </w:p>
          <w:p w14:paraId="26485EC4">
            <w:pPr>
              <w:pStyle w:val="34"/>
            </w:pPr>
            <w:r>
              <w:t>(List three to five pertinent keywords specific to the article; yet reasonably common within the subject discipline; use lower case except for names).</w:t>
            </w:r>
          </w:p>
          <w:p w14:paraId="41684B90">
            <w:pPr>
              <w:spacing w:after="0" w:line="240" w:lineRule="auto"/>
              <w:jc w:val="both"/>
              <w:rPr>
                <w:rFonts w:ascii="Palatino Linotype" w:hAnsi="Palatino Linotype" w:eastAsiaTheme="minorEastAsia"/>
                <w:sz w:val="18"/>
                <w:szCs w:val="18"/>
                <w:lang w:val="en-US"/>
              </w:rPr>
            </w:pPr>
          </w:p>
        </w:tc>
        <w:tc>
          <w:tcPr>
            <w:tcW w:w="282" w:type="dxa"/>
            <w:vMerge w:val="restart"/>
            <w:tcBorders>
              <w:top w:val="nil"/>
              <w:left w:val="nil"/>
              <w:bottom w:val="nil"/>
              <w:right w:val="nil"/>
            </w:tcBorders>
          </w:tcPr>
          <w:p w14:paraId="59279C4B">
            <w:pPr>
              <w:spacing w:before="120" w:after="0" w:line="240" w:lineRule="auto"/>
              <w:jc w:val="both"/>
              <w:rPr>
                <w:rFonts w:ascii="Palatino Linotype" w:hAnsi="Palatino Linotype" w:eastAsiaTheme="minorEastAsia"/>
                <w:sz w:val="18"/>
                <w:szCs w:val="18"/>
                <w:lang w:val="en-US"/>
              </w:rPr>
            </w:pPr>
          </w:p>
        </w:tc>
        <w:tc>
          <w:tcPr>
            <w:tcW w:w="5776" w:type="dxa"/>
            <w:vMerge w:val="restart"/>
            <w:tcBorders>
              <w:top w:val="single" w:color="auto" w:sz="4" w:space="0"/>
              <w:left w:val="nil"/>
              <w:bottom w:val="nil"/>
              <w:right w:val="nil"/>
            </w:tcBorders>
          </w:tcPr>
          <w:p w14:paraId="5FA3BFF0">
            <w:pPr>
              <w:pStyle w:val="32"/>
              <w:rPr>
                <w:rFonts w:hint="default"/>
                <w:lang w:val="en-US"/>
              </w:rPr>
            </w:pPr>
            <w:r>
              <w:rPr>
                <w:rFonts w:hint="default"/>
                <w:sz w:val="20"/>
                <w:szCs w:val="20"/>
              </w:rPr>
              <w:t xml:space="preserve">This study aimed to develop an interactive e-module based on Book Creator to improve elementary school students’ numeracy skills on the topic of ordering fractions linked to green economy practices, while simultaneously fostering early awareness of sustainability. The research employed a Research and Development (R&amp;D) approach using the ADDIE model through the stages of needs analysis, design, development, implementation, and evaluation. The e-module was developed with textual content, illustrations, videos, audio narration, and interactive activities that connect fraction concepts with environmentally friendly practices, such as energy conservation and waste management. Expert validation results showed the e-module achieved a feasibility level of 97.9%, categorized as “Highly Feasible” in terms of content, media, and language aspects. A small-scale trial with fifth-grade students demonstrated a significant improvement in numeracy skills, evidenced by an N-gain score of 0.597, into the medium category. </w:t>
            </w:r>
            <w:r>
              <w:rPr>
                <w:rFonts w:hint="default"/>
                <w:sz w:val="20"/>
                <w:szCs w:val="20"/>
                <w:lang w:val="en-US"/>
              </w:rPr>
              <w:t>S</w:t>
            </w:r>
            <w:r>
              <w:rPr>
                <w:rFonts w:hint="default"/>
                <w:sz w:val="20"/>
                <w:szCs w:val="20"/>
              </w:rPr>
              <w:t>tudent response questionnaire results, which averaged 88.6%, indicating a “Highly Feasible” category. The development of this Book Creator-based e-module aligns with Piaget’s cognitive development theory and Vygotsky’s sociocultural theory, both of which emphasize the importance of visual aids and social interaction in building understanding of abstract concepts. These findings confirm the effectiveness of digital media for contextual numeracy learning and make a valuable contribution to the development of innovative learning resources relevant to 21st-century challenges and supportive of sustainable education goals. Further research is recommended to involve larger samples and longer intervention periods to validate the long-term effectiveness of this e-module.</w:t>
            </w:r>
          </w:p>
        </w:tc>
      </w:tr>
      <w:tr w14:paraId="2FA0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2787" w:type="dxa"/>
            <w:vMerge w:val="restart"/>
            <w:tcBorders>
              <w:top w:val="single" w:color="auto" w:sz="4" w:space="0"/>
              <w:left w:val="nil"/>
              <w:bottom w:val="single" w:color="auto" w:sz="4" w:space="0"/>
              <w:right w:val="nil"/>
            </w:tcBorders>
          </w:tcPr>
          <w:p w14:paraId="384C97BD">
            <w:pPr>
              <w:spacing w:before="120" w:after="120" w:line="240" w:lineRule="auto"/>
              <w:jc w:val="both"/>
              <w:rPr>
                <w:rFonts w:ascii="Palatino Linotype" w:hAnsi="Palatino Linotype" w:eastAsiaTheme="minorEastAsia"/>
                <w:b/>
                <w:i/>
                <w:sz w:val="18"/>
                <w:szCs w:val="18"/>
                <w:lang w:val="en-US"/>
              </w:rPr>
            </w:pPr>
            <w:r>
              <w:rPr>
                <w:rFonts w:ascii="Palatino Linotype" w:hAnsi="Palatino Linotype" w:eastAsiaTheme="minorEastAsia"/>
                <w:b/>
                <w:i/>
                <w:sz w:val="18"/>
                <w:szCs w:val="18"/>
                <w:lang w:val="en-US"/>
              </w:rPr>
              <w:t>Article history:</w:t>
            </w:r>
          </w:p>
          <w:p w14:paraId="6D661283">
            <w:pPr>
              <w:pStyle w:val="29"/>
            </w:pPr>
            <w:r>
              <w:t>Received 2021-08-14</w:t>
            </w:r>
          </w:p>
          <w:p w14:paraId="7FE11828">
            <w:pPr>
              <w:pStyle w:val="29"/>
            </w:pPr>
            <w:r>
              <w:t xml:space="preserve">Revised </w:t>
            </w:r>
            <w:r>
              <w:tab/>
            </w:r>
            <w:r>
              <w:t>2021-11-12</w:t>
            </w:r>
          </w:p>
          <w:p w14:paraId="7968BE60">
            <w:pPr>
              <w:pStyle w:val="29"/>
              <w:rPr>
                <w:lang w:val="en-AU"/>
              </w:rPr>
            </w:pPr>
            <w:r>
              <w:t>Accepted 2022-01-17</w:t>
            </w:r>
          </w:p>
        </w:tc>
        <w:tc>
          <w:tcPr>
            <w:tcW w:w="282" w:type="dxa"/>
            <w:vMerge w:val="continue"/>
            <w:tcBorders>
              <w:top w:val="nil"/>
              <w:left w:val="nil"/>
              <w:bottom w:val="nil"/>
              <w:right w:val="nil"/>
            </w:tcBorders>
          </w:tcPr>
          <w:p w14:paraId="425C4EDA">
            <w:pPr>
              <w:spacing w:before="120" w:after="0" w:line="240" w:lineRule="auto"/>
              <w:jc w:val="both"/>
              <w:rPr>
                <w:rFonts w:ascii="Palatino Linotype" w:hAnsi="Palatino Linotype" w:eastAsiaTheme="minorEastAsia"/>
                <w:sz w:val="20"/>
                <w:szCs w:val="20"/>
                <w:lang w:val="en-US"/>
              </w:rPr>
            </w:pPr>
          </w:p>
        </w:tc>
        <w:tc>
          <w:tcPr>
            <w:tcW w:w="5776" w:type="dxa"/>
            <w:vMerge w:val="continue"/>
            <w:tcBorders>
              <w:top w:val="nil"/>
              <w:left w:val="nil"/>
              <w:bottom w:val="nil"/>
              <w:right w:val="nil"/>
            </w:tcBorders>
          </w:tcPr>
          <w:p w14:paraId="6A49E346">
            <w:pPr>
              <w:spacing w:before="120" w:after="0" w:line="240" w:lineRule="auto"/>
              <w:jc w:val="both"/>
              <w:rPr>
                <w:rFonts w:ascii="Palatino Linotype" w:hAnsi="Palatino Linotype" w:eastAsiaTheme="minorEastAsia"/>
                <w:iCs/>
                <w:color w:val="000000"/>
                <w:sz w:val="18"/>
                <w:szCs w:val="18"/>
                <w:lang w:val="en-US"/>
              </w:rPr>
            </w:pPr>
          </w:p>
        </w:tc>
      </w:tr>
      <w:tr w14:paraId="699B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87" w:type="dxa"/>
            <w:vMerge w:val="continue"/>
            <w:tcBorders>
              <w:top w:val="single" w:color="auto" w:sz="4" w:space="0"/>
              <w:left w:val="nil"/>
              <w:bottom w:val="single" w:color="auto" w:sz="4" w:space="0"/>
              <w:right w:val="nil"/>
            </w:tcBorders>
          </w:tcPr>
          <w:p w14:paraId="4B7FABEA">
            <w:pPr>
              <w:spacing w:before="120" w:after="120" w:line="240" w:lineRule="auto"/>
              <w:jc w:val="both"/>
              <w:rPr>
                <w:rFonts w:ascii="Palatino Linotype" w:hAnsi="Palatino Linotype" w:eastAsiaTheme="minorEastAsia"/>
                <w:b/>
                <w:i/>
                <w:sz w:val="20"/>
                <w:szCs w:val="20"/>
                <w:lang w:val="en-US"/>
              </w:rPr>
            </w:pPr>
          </w:p>
        </w:tc>
        <w:tc>
          <w:tcPr>
            <w:tcW w:w="282" w:type="dxa"/>
            <w:vMerge w:val="continue"/>
            <w:tcBorders>
              <w:top w:val="nil"/>
              <w:left w:val="nil"/>
              <w:bottom w:val="nil"/>
              <w:right w:val="nil"/>
            </w:tcBorders>
          </w:tcPr>
          <w:p w14:paraId="7BF30114">
            <w:pPr>
              <w:spacing w:before="120" w:after="0" w:line="240" w:lineRule="auto"/>
              <w:jc w:val="both"/>
              <w:rPr>
                <w:rFonts w:ascii="Palatino Linotype" w:hAnsi="Palatino Linotype" w:eastAsiaTheme="minorEastAsia"/>
                <w:sz w:val="20"/>
                <w:szCs w:val="20"/>
                <w:lang w:val="en-US"/>
              </w:rPr>
            </w:pPr>
          </w:p>
        </w:tc>
        <w:tc>
          <w:tcPr>
            <w:tcW w:w="5776" w:type="dxa"/>
            <w:tcBorders>
              <w:top w:val="nil"/>
              <w:left w:val="nil"/>
              <w:bottom w:val="single" w:color="auto" w:sz="4" w:space="0"/>
              <w:right w:val="nil"/>
            </w:tcBorders>
          </w:tcPr>
          <w:p w14:paraId="347D4AA3">
            <w:pPr>
              <w:spacing w:before="120" w:after="120" w:line="240" w:lineRule="auto"/>
              <w:jc w:val="right"/>
              <w:rPr>
                <w:rFonts w:ascii="Palatino Linotype" w:hAnsi="Palatino Linotype" w:eastAsiaTheme="minorEastAsia"/>
                <w:i/>
                <w:iCs/>
                <w:color w:val="000000"/>
                <w:sz w:val="18"/>
                <w:szCs w:val="18"/>
                <w:lang w:val="en-US"/>
              </w:rPr>
            </w:pPr>
            <w:r>
              <w:rPr>
                <w:rFonts w:ascii="Palatino Linotype" w:hAnsi="Palatino Linotype" w:eastAsiaTheme="minorEastAsia"/>
                <w:i/>
                <w:iCs/>
                <w:color w:val="000000"/>
                <w:sz w:val="18"/>
                <w:szCs w:val="18"/>
                <w:lang w:val="en-US"/>
              </w:rPr>
              <w:t xml:space="preserve">This is an open access article under the </w:t>
            </w:r>
            <w:r>
              <w:fldChar w:fldCharType="begin"/>
            </w:r>
            <w:r>
              <w:instrText xml:space="preserve"> HYPERLINK "https://creativecommons.org/licenses/by-nc-sa/4.0/" </w:instrText>
            </w:r>
            <w:r>
              <w:fldChar w:fldCharType="separate"/>
            </w:r>
            <w:r>
              <w:rPr>
                <w:rStyle w:val="20"/>
                <w:rFonts w:ascii="Palatino Linotype" w:hAnsi="Palatino Linotype" w:eastAsiaTheme="minorEastAsia"/>
                <w:i/>
                <w:iCs/>
                <w:sz w:val="18"/>
                <w:szCs w:val="18"/>
                <w:lang w:val="en-US"/>
              </w:rPr>
              <w:t>CC BY-NC-SA</w:t>
            </w:r>
            <w:r>
              <w:rPr>
                <w:rStyle w:val="20"/>
                <w:rFonts w:ascii="Palatino Linotype" w:hAnsi="Palatino Linotype" w:eastAsiaTheme="minorEastAsia"/>
                <w:i/>
                <w:iCs/>
                <w:sz w:val="18"/>
                <w:szCs w:val="18"/>
                <w:lang w:val="en-US"/>
              </w:rPr>
              <w:fldChar w:fldCharType="end"/>
            </w:r>
            <w:r>
              <w:rPr>
                <w:rFonts w:ascii="Palatino Linotype" w:hAnsi="Palatino Linotype" w:eastAsiaTheme="minorEastAsia"/>
                <w:i/>
                <w:iCs/>
                <w:color w:val="000000"/>
                <w:sz w:val="18"/>
                <w:szCs w:val="18"/>
                <w:lang w:val="en-US"/>
              </w:rPr>
              <w:t xml:space="preserve"> license.</w:t>
            </w:r>
          </w:p>
          <w:p w14:paraId="45A5181F">
            <w:pPr>
              <w:spacing w:before="120" w:after="120" w:line="240" w:lineRule="auto"/>
              <w:jc w:val="right"/>
              <w:rPr>
                <w:rFonts w:ascii="Palatino Linotype" w:hAnsi="Palatino Linotype" w:eastAsiaTheme="minorEastAsia"/>
                <w:i/>
                <w:iCs/>
                <w:color w:val="000000"/>
                <w:sz w:val="18"/>
                <w:szCs w:val="18"/>
                <w:lang w:val="en-US"/>
              </w:rPr>
            </w:pPr>
            <w:r>
              <w:rPr>
                <w:rFonts w:ascii="Palatino Linotype" w:hAnsi="Palatino Linotype" w:eastAsiaTheme="minorEastAsia"/>
                <w:sz w:val="20"/>
                <w:szCs w:val="20"/>
                <w:lang w:val="en-US"/>
              </w:rPr>
              <w:drawing>
                <wp:inline distT="0" distB="0" distL="0" distR="0">
                  <wp:extent cx="1054100"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054509" cy="371475"/>
                          </a:xfrm>
                          <a:prstGeom prst="rect">
                            <a:avLst/>
                          </a:prstGeom>
                          <a:noFill/>
                          <a:ln>
                            <a:noFill/>
                          </a:ln>
                        </pic:spPr>
                      </pic:pic>
                    </a:graphicData>
                  </a:graphic>
                </wp:inline>
              </w:drawing>
            </w:r>
          </w:p>
        </w:tc>
      </w:tr>
      <w:tr w14:paraId="7166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gridSpan w:val="3"/>
            <w:tcBorders>
              <w:top w:val="nil"/>
              <w:left w:val="nil"/>
              <w:bottom w:val="double" w:color="auto" w:sz="4" w:space="0"/>
              <w:right w:val="nil"/>
            </w:tcBorders>
          </w:tcPr>
          <w:p w14:paraId="0119A395">
            <w:pPr>
              <w:pStyle w:val="30"/>
              <w:ind w:left="0" w:firstLine="10"/>
              <w:rPr>
                <w:b/>
                <w:bCs/>
              </w:rPr>
            </w:pPr>
            <w:bookmarkStart w:id="0" w:name="_Hlk97159440"/>
            <w:r>
              <w:rPr>
                <w:b/>
                <w:bCs/>
              </w:rPr>
              <w:t>Corresponding Author</w:t>
            </w:r>
            <w:bookmarkEnd w:id="0"/>
            <w:r>
              <w:rPr>
                <w:b/>
                <w:bCs/>
              </w:rPr>
              <w:t>:</w:t>
            </w:r>
          </w:p>
          <w:p w14:paraId="32A504CA">
            <w:pPr>
              <w:pStyle w:val="31"/>
            </w:pPr>
            <w:r>
              <w:rPr>
                <w:rFonts w:hint="default"/>
                <w:lang w:val="en-US"/>
              </w:rPr>
              <w:t>Ratih Purnamasari</w:t>
            </w:r>
            <w:r>
              <w:t xml:space="preserve"> </w:t>
            </w:r>
          </w:p>
          <w:p w14:paraId="7FFB93EA">
            <w:pPr>
              <w:pStyle w:val="31"/>
            </w:pPr>
            <w:r>
              <w:rPr>
                <w:rFonts w:hint="default"/>
                <w:color w:val="auto"/>
                <w:lang w:val="en-US"/>
              </w:rPr>
              <w:t>Universitas Pakuan</w:t>
            </w:r>
            <w:r>
              <w:rPr>
                <w:color w:val="auto"/>
                <w:lang w:val="en-GB"/>
              </w:rPr>
              <w:t xml:space="preserve">; </w:t>
            </w:r>
            <w:r>
              <w:rPr>
                <w:rFonts w:hint="default"/>
                <w:color w:val="auto"/>
                <w:lang w:val="en-US"/>
              </w:rPr>
              <w:fldChar w:fldCharType="begin"/>
            </w:r>
            <w:r>
              <w:rPr>
                <w:rFonts w:hint="default"/>
                <w:color w:val="auto"/>
                <w:lang w:val="en-US"/>
              </w:rPr>
              <w:instrText xml:space="preserve"> HYPERLINK "mailto:ratihpurnamasari@unpak.ac.id" </w:instrText>
            </w:r>
            <w:r>
              <w:rPr>
                <w:rFonts w:hint="default"/>
                <w:color w:val="auto"/>
                <w:lang w:val="en-US"/>
              </w:rPr>
              <w:fldChar w:fldCharType="separate"/>
            </w:r>
            <w:r>
              <w:rPr>
                <w:rStyle w:val="20"/>
                <w:rFonts w:hint="default"/>
                <w:lang w:val="en-US"/>
              </w:rPr>
              <w:t>ratihpurnamasari@unpak.ac.id</w:t>
            </w:r>
            <w:r>
              <w:rPr>
                <w:rFonts w:hint="default"/>
                <w:color w:val="auto"/>
                <w:lang w:val="en-US"/>
              </w:rPr>
              <w:fldChar w:fldCharType="end"/>
            </w:r>
            <w:r>
              <w:rPr>
                <w:rFonts w:hint="default"/>
                <w:color w:val="auto"/>
                <w:lang w:val="en-US"/>
              </w:rPr>
              <w:t xml:space="preserve"> </w:t>
            </w:r>
          </w:p>
        </w:tc>
      </w:tr>
    </w:tbl>
    <w:p w14:paraId="26A41061">
      <w:pPr>
        <w:pStyle w:val="35"/>
        <w:ind w:left="226" w:leftChars="0" w:hanging="226" w:firstLineChars="0"/>
        <w:rPr>
          <w:lang w:val="en-GB"/>
        </w:rPr>
      </w:pPr>
      <w:r>
        <w:rPr>
          <w:lang w:val="en-GB"/>
        </w:rPr>
        <w:t>INTRODUCTION</w:t>
      </w:r>
    </w:p>
    <w:p w14:paraId="5B2FB170">
      <w:pPr>
        <w:pStyle w:val="33"/>
        <w:spacing w:line="240" w:lineRule="auto"/>
        <w:rPr>
          <w:rFonts w:hint="default"/>
          <w:spacing w:val="-2"/>
        </w:rPr>
      </w:pPr>
      <w:r>
        <w:rPr>
          <w:rFonts w:hint="default"/>
          <w:spacing w:val="-2"/>
        </w:rPr>
        <w:t xml:space="preserve"> The 21st century requires students not only to master numeracy skills but also to develop an awareness of the importance of sustainable green economy practices. Numeracy skills are essential foundational abilities for understanding and solving everyday problems involving numbers, data interpretation, and logical reasoning, which serve as crucial tools for lifelong learning and active participation in society (O’Flaherty &amp; Liddy, 2018; Kopnina, 2020). Meanwhile, green economy awareness refers to students’ understanding of environmentally friendly and sustainable economic practices, emphasizing the importance of green skills as key competencies to support sustainable development and prepare a generation capable of addressing global environmental and economic challenges (Pavlova, 2019; Murga-Menoyo, 2014; Da Matta et al., 2025). The integration of numeracy skills and green economy awareness in education becomes a strategic step to support the achievement of the Sustainable Development Goals (SDGs) through contextual learning relevant to the challenges of the 21st century.</w:t>
      </w:r>
    </w:p>
    <w:p w14:paraId="43AB6AF3">
      <w:pPr>
        <w:pStyle w:val="33"/>
        <w:rPr>
          <w:rFonts w:hint="default"/>
          <w:spacing w:val="-2"/>
        </w:rPr>
      </w:pPr>
      <w:r>
        <w:rPr>
          <w:rFonts w:hint="default"/>
          <w:spacing w:val="-2"/>
        </w:rPr>
        <w:t>However, in Indonesia, elementary school students’ numeracy abilities remain relatively low. This is reflected in various studies that highlight students’ limited numeracy literacy and low mathematical thinking skills, which are essential for facing 21st-century challenges (Farida et al., 2023; Yetti, 2024). Recent assessments indicate that many elementary students struggle to solve numeracy problems of medium to high complexity, underscoring the need for innovative pe</w:t>
      </w:r>
      <w:bookmarkStart w:id="2" w:name="_GoBack"/>
      <w:bookmarkEnd w:id="2"/>
      <w:r>
        <w:rPr>
          <w:rFonts w:hint="default"/>
          <w:spacing w:val="-2"/>
        </w:rPr>
        <w:t>dagogy and more contextualized learning approaches (Sari et al., 2024). Furthermore, the integration of green economy concepts and sustainability values into elementary education remains very limited, even though fostering this awareness from an early age is crucial to shaping attitudes and behaviors that support sustainable living (Pratiwi et al., 2025; Satriawan et al., 2025). Research shows that strengthening numeracy combined with sustainability education is an effective strategy for equipping students to address global environmental and economic challenges.</w:t>
      </w:r>
    </w:p>
    <w:p w14:paraId="2114E3E5">
      <w:pPr>
        <w:pStyle w:val="33"/>
        <w:rPr>
          <w:rFonts w:hint="default"/>
          <w:spacing w:val="-2"/>
        </w:rPr>
      </w:pPr>
      <w:r>
        <w:rPr>
          <w:rFonts w:hint="default"/>
          <w:spacing w:val="-2"/>
        </w:rPr>
        <w:t>One potential solution to improve numeracy skills and sustainability awareness in elementary students is the use of interactive digital learning media that present numeracy concepts in contexts relevant to environmental and green economy issues. Various studies have shown that using interactive digital media in mathematics education can transform classrooms into more dynamic and engaging spaces, supporting deeper understanding of numeracy concepts (Engelbrecht et al., 2020; Hwa, 2018). Additionally, technology-based gamification approaches have proven effective in instilling environmental awareness in elementary students (Ricoy &amp; Sánchez-Martínez, 2022). Collaborative digital book design has also been utilized to integrate mathematics content with environmental education, opening up significant opportunities for platforms like Book Creator to be used as interactive e-modules supporting numeracy learning based on sustainability (Daskolia et al., 2018; Milman &amp; Carlson-Bancroft, 2014). However, research specifically focused on developing interactive e-modules using Book Creator to enhance numeracy skills while simultaneously instilling green economy awareness in elementary students remains very limited, highlighting the need for innovative future research in this area.</w:t>
      </w:r>
    </w:p>
    <w:p w14:paraId="24F9FBCD">
      <w:pPr>
        <w:pStyle w:val="33"/>
        <w:rPr>
          <w:rFonts w:hint="default" w:eastAsia="SimSun"/>
          <w:spacing w:val="-2"/>
          <w:lang w:val="zh-CN" w:eastAsia="zh-CN"/>
        </w:rPr>
      </w:pPr>
      <w:r>
        <w:rPr>
          <w:rFonts w:hint="default"/>
          <w:spacing w:val="-2"/>
        </w:rPr>
        <w:t>This study aims to develop an interactive e-module based on Book Creator that can improve numeracy skills and green economy awareness in elementary school students. The development was carried out using the ADDIE model (Analysis, Design, Development, Implementation, Evaluation) to ensure the validity, practicality, and effectiveness of the resulting product. Through this research, it is expected that an innovative learning resource will be produced that not only improves the quality of mathematics instruction but also fosters students’ concern for the environment and sustainable economic development from an early age.</w:t>
      </w:r>
    </w:p>
    <w:p w14:paraId="14EB75A7">
      <w:pPr>
        <w:pStyle w:val="35"/>
        <w:ind w:left="226" w:leftChars="0" w:hanging="226" w:firstLineChars="0"/>
        <w:rPr>
          <w:rFonts w:eastAsia="Arial"/>
        </w:rPr>
      </w:pPr>
      <w:r>
        <w:rPr>
          <w:rFonts w:eastAsia="Arial"/>
        </w:rPr>
        <w:t xml:space="preserve">METHODS </w:t>
      </w:r>
    </w:p>
    <w:p w14:paraId="33EB6817">
      <w:pPr>
        <w:pStyle w:val="33"/>
        <w:rPr>
          <w:rFonts w:hint="default" w:eastAsia="SimSun"/>
          <w:spacing w:val="-2"/>
          <w:lang w:val="zh-CN" w:eastAsia="zh-CN"/>
        </w:rPr>
      </w:pPr>
      <w:r>
        <w:rPr>
          <w:rFonts w:hint="default" w:eastAsia="SimSun"/>
          <w:spacing w:val="-2"/>
          <w:lang w:val="zh-CN" w:eastAsia="zh-CN"/>
        </w:rPr>
        <w:t>This study employed a Research and Development (R&amp;D) approach using the ADDIE development model (Analysis, Design, Development, Implementation, Evaluation). This model was selected because it offers a systematic sequence of stages to design, develop, and evaluate learning products, resulting in instructional media or materials that are valid, practical, and effective. Various studies have demonstrated that consistent application of the ADDIE model can enhance the quality of learning through the development of e-modules, interactive media, and innovative learning models, which have been proven to significantly improve students’ problem-solving abilities, creativity, and critical thinking skills (Rahayu et al., 2020; Pramono &amp; Lestari, 2021; Febrianto et al., 2023; Hidayat &amp; Putra, 2022; Setiawan &amp; Mustaji, 2020). The development process of the e-module using the ADDIE model is illustrated in Figure 1.</w:t>
      </w:r>
    </w:p>
    <w:p w14:paraId="1897F272">
      <w:pPr>
        <w:pStyle w:val="33"/>
        <w:rPr>
          <w:rFonts w:hint="default" w:eastAsia="SimSun"/>
          <w:spacing w:val="-2"/>
          <w:lang w:val="zh-CN" w:eastAsia="zh-CN"/>
        </w:rPr>
      </w:pPr>
    </w:p>
    <w:p w14:paraId="1BCBE706">
      <w:pPr>
        <w:pStyle w:val="33"/>
        <w:ind w:left="0" w:leftChars="0" w:firstLine="0" w:firstLineChars="0"/>
        <w:rPr>
          <w:rFonts w:hint="default" w:eastAsia="SimSun"/>
          <w:b/>
          <w:bCs/>
          <w:i/>
          <w:iCs/>
          <w:spacing w:val="-2"/>
          <w:lang w:val="zh-CN" w:eastAsia="zh-CN"/>
        </w:rPr>
      </w:pPr>
      <w:r>
        <w:rPr>
          <w:rFonts w:hint="default" w:eastAsia="SimSun"/>
          <w:b/>
          <w:bCs/>
          <w:i/>
          <w:iCs/>
          <w:spacing w:val="-2"/>
          <w:lang w:val="zh-CN" w:eastAsia="zh-CN"/>
        </w:rPr>
        <w:t>2.1 Research Design</w:t>
      </w:r>
    </w:p>
    <w:p w14:paraId="712AF96F">
      <w:pPr>
        <w:pStyle w:val="33"/>
        <w:rPr>
          <w:rFonts w:hint="default" w:eastAsia="SimSun"/>
          <w:spacing w:val="-2"/>
          <w:lang w:val="zh-CN" w:eastAsia="zh-CN"/>
        </w:rPr>
      </w:pPr>
      <w:r>
        <w:rPr>
          <w:rFonts w:hint="default" w:eastAsia="SimSun"/>
          <w:spacing w:val="-2"/>
          <w:lang w:val="zh-CN" w:eastAsia="zh-CN"/>
        </w:rPr>
        <w:t>This study utilized a Research and Development (R&amp;D) approach with the ADDIE development model, consisting of five main stages: Analysis, Design, Development, Implementation, and Evaluation. The ADDIE model was chosen because it provides systematic steps to produce learning products that are valid, practical, and effective.</w:t>
      </w:r>
    </w:p>
    <w:p w14:paraId="7E0967F8">
      <w:pPr>
        <w:pStyle w:val="33"/>
        <w:rPr>
          <w:rFonts w:hint="default" w:eastAsia="SimSun"/>
          <w:spacing w:val="-2"/>
          <w:lang w:val="zh-CN" w:eastAsia="zh-CN"/>
        </w:rPr>
      </w:pPr>
      <w:r>
        <w:rPr>
          <w:rFonts w:hint="default" w:eastAsia="SimSun"/>
          <w:spacing w:val="-2"/>
          <w:lang w:val="zh-CN" w:eastAsia="zh-CN"/>
        </w:rPr>
        <w:t>The research procedure began with the analysis stage, which involved identifying students’ needs, difficulties in learning numeracy, and opportunities to integrate green economy content into lessons. This stage aimed to obtain a clear picture of the current state of numeracy instruction in the classroom and the relevance of applying green economy concepts. Next, in the design stage, the researcher developed the e-module plan, including the content framework, storyboard, and selection of numeracy material contextualized with the theme of the green economy. The development stage was then carried out by creating the e-module using the Book Creator application. The e-module was designed to integrate text, images, videos, and interactive elements to support students’ active engagement in learning.</w:t>
      </w:r>
    </w:p>
    <w:p w14:paraId="3A8243B9">
      <w:pPr>
        <w:pStyle w:val="33"/>
        <w:rPr>
          <w:rFonts w:hint="default" w:eastAsia="SimSun"/>
          <w:spacing w:val="-2"/>
          <w:lang w:val="zh-CN" w:eastAsia="zh-CN"/>
        </w:rPr>
      </w:pPr>
      <w:r>
        <w:rPr>
          <w:rFonts w:hint="default" w:eastAsia="SimSun"/>
          <w:spacing w:val="-2"/>
          <w:lang w:val="zh-CN" w:eastAsia="zh-CN"/>
        </w:rPr>
        <w:t>In the implementation stage, the developed e-module was tested in a limited trial with fifth-grade students to evaluate its practicality and to gather students’ responses to the media. Finally, in the evaluation stage, formative evaluations were conducted through expert validation by content and media specialists, as well as by measuring the effectiveness of the e-module through pretest and posttest numeracy assessments to determine students’ improvement after using the e-module. The complete research flow using the ADDIE model is illustrated in Figure 1.</w:t>
      </w:r>
    </w:p>
    <w:p w14:paraId="1893A285">
      <w:pPr>
        <w:pStyle w:val="33"/>
        <w:rPr>
          <w:rFonts w:hint="default" w:eastAsia="SimSun"/>
          <w:spacing w:val="-2"/>
          <w:lang w:val="zh-CN" w:eastAsia="zh-CN"/>
        </w:rPr>
      </w:pPr>
      <w:r>
        <w:rPr>
          <w:rFonts w:hint="default" w:eastAsia="SimSun"/>
          <w:spacing w:val="-2"/>
          <w:lang w:val="zh-CN" w:eastAsia="zh-CN"/>
        </w:rPr>
        <w:t>The e-module content covered the topic of ordering fractions, contextualized with examples of daily activities related to green economy practices, such as saving electricity, waste management, and efficient water use. The research instruments included expert validation sheets for content and media, student response questionnaires to assess the practicality of the e-module, and numeracy tests in the form of pretest and posttest questions.</w:t>
      </w:r>
    </w:p>
    <w:p w14:paraId="5A949162">
      <w:pPr>
        <w:pStyle w:val="33"/>
        <w:rPr>
          <w:rFonts w:hint="default" w:eastAsia="SimSun"/>
          <w:spacing w:val="-2"/>
          <w:lang w:val="en-US" w:eastAsia="zh-CN"/>
        </w:rPr>
      </w:pPr>
    </w:p>
    <w:p w14:paraId="52DBC309">
      <w:pPr>
        <w:pStyle w:val="33"/>
        <w:jc w:val="center"/>
        <w:rPr>
          <w:rFonts w:hint="default" w:eastAsia="SimSun"/>
          <w:spacing w:val="-2"/>
          <w:lang w:val="en-US" w:eastAsia="zh-CN"/>
        </w:rPr>
      </w:pPr>
      <w:r>
        <w:drawing>
          <wp:inline distT="0" distB="0" distL="114300" distR="114300">
            <wp:extent cx="5114290" cy="2053590"/>
            <wp:effectExtent l="0" t="0" r="635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tretch>
                      <a:fillRect/>
                    </a:stretch>
                  </pic:blipFill>
                  <pic:spPr>
                    <a:xfrm>
                      <a:off x="0" y="0"/>
                      <a:ext cx="5114290" cy="2053590"/>
                    </a:xfrm>
                    <a:prstGeom prst="rect">
                      <a:avLst/>
                    </a:prstGeom>
                    <a:noFill/>
                    <a:ln>
                      <a:noFill/>
                    </a:ln>
                  </pic:spPr>
                </pic:pic>
              </a:graphicData>
            </a:graphic>
          </wp:inline>
        </w:drawing>
      </w:r>
    </w:p>
    <w:p w14:paraId="7600A4CA">
      <w:pPr>
        <w:pStyle w:val="33"/>
        <w:jc w:val="center"/>
        <w:rPr>
          <w:rFonts w:hint="default"/>
          <w:lang w:val="en-US" w:eastAsia="zh-CN"/>
        </w:rPr>
      </w:pPr>
      <w:r>
        <w:rPr>
          <w:rFonts w:hint="default"/>
          <w:lang w:val="en-US" w:eastAsia="zh-CN"/>
        </w:rPr>
        <w:t>Figur 1. ADDIE Proces</w:t>
      </w:r>
    </w:p>
    <w:p w14:paraId="44933147">
      <w:pPr>
        <w:pStyle w:val="33"/>
        <w:ind w:left="0" w:leftChars="0" w:firstLine="0" w:firstLineChars="0"/>
        <w:rPr>
          <w:rFonts w:hint="default" w:eastAsia="SimSun"/>
          <w:i/>
          <w:iCs/>
          <w:spacing w:val="-2"/>
          <w:lang w:val="en-US" w:eastAsia="zh-CN"/>
        </w:rPr>
      </w:pPr>
    </w:p>
    <w:p w14:paraId="495C42A1">
      <w:pPr>
        <w:keepNext w:val="0"/>
        <w:keepLines w:val="0"/>
        <w:widowControl/>
        <w:suppressLineNumbers w:val="0"/>
        <w:jc w:val="left"/>
        <w:rPr>
          <w:rFonts w:hint="default" w:ascii="Palatino Linotype" w:hAnsi="Palatino Linotype" w:eastAsia="PalatinoLinotype-BoldItalic"/>
          <w:b/>
          <w:bCs/>
          <w:i/>
          <w:iCs/>
          <w:color w:val="000000"/>
          <w:kern w:val="0"/>
          <w:sz w:val="20"/>
          <w:szCs w:val="20"/>
          <w:lang w:val="en-US" w:eastAsia="zh-CN"/>
        </w:rPr>
      </w:pPr>
      <w:r>
        <w:rPr>
          <w:rFonts w:hint="default" w:ascii="Palatino Linotype" w:hAnsi="Palatino Linotype" w:eastAsia="PalatinoLinotype-BoldItalic" w:cs="Palatino Linotype"/>
          <w:b/>
          <w:bCs/>
          <w:i/>
          <w:iCs/>
          <w:color w:val="000000"/>
          <w:kern w:val="0"/>
          <w:sz w:val="20"/>
          <w:szCs w:val="20"/>
          <w:lang w:val="en-US" w:eastAsia="zh-CN" w:bidi="ar"/>
        </w:rPr>
        <w:t xml:space="preserve">2.2 </w:t>
      </w:r>
      <w:r>
        <w:rPr>
          <w:rFonts w:hint="default" w:ascii="Palatino Linotype" w:hAnsi="Palatino Linotype" w:eastAsia="PalatinoLinotype-BoldItalic"/>
          <w:b/>
          <w:bCs/>
          <w:i/>
          <w:iCs/>
          <w:color w:val="000000"/>
          <w:kern w:val="0"/>
          <w:sz w:val="20"/>
          <w:szCs w:val="20"/>
          <w:lang w:val="en-US" w:eastAsia="zh-CN"/>
        </w:rPr>
        <w:t>Population and Sampling Technique</w:t>
      </w:r>
    </w:p>
    <w:p w14:paraId="274A74C7">
      <w:pPr>
        <w:pStyle w:val="33"/>
        <w:rPr>
          <w:rFonts w:hint="default" w:eastAsia="SimSun"/>
          <w:spacing w:val="-2"/>
          <w:lang w:val="en-US" w:eastAsia="zh-CN"/>
        </w:rPr>
      </w:pPr>
      <w:r>
        <w:rPr>
          <w:rFonts w:hint="default" w:eastAsia="SimSun"/>
          <w:spacing w:val="-2"/>
          <w:lang w:val="en-US" w:eastAsia="zh-CN"/>
        </w:rPr>
        <w:t>The subjects of this study were fifth-grade students at an elementary school in Bogor City, Indonesia. The fifth grade consisted of three parallel classes: 5A, 5B, and 5C. This study involved the mathematics teacher, three experts, namely a content expert and a media expert, who were responsible for validating the developed e-module, as well as two evaluation experts who validated the numeracy test instruments contextualized with green economy awareness.</w:t>
      </w:r>
    </w:p>
    <w:p w14:paraId="1E9EAB42">
      <w:pPr>
        <w:pStyle w:val="33"/>
        <w:rPr>
          <w:rFonts w:hint="default" w:eastAsia="SimSun"/>
          <w:i/>
          <w:iCs/>
          <w:spacing w:val="-2"/>
          <w:lang w:val="en-US" w:eastAsia="zh-CN"/>
        </w:rPr>
      </w:pPr>
    </w:p>
    <w:p w14:paraId="34388682">
      <w:pPr>
        <w:keepNext w:val="0"/>
        <w:keepLines w:val="0"/>
        <w:widowControl/>
        <w:suppressLineNumbers w:val="0"/>
        <w:jc w:val="left"/>
        <w:rPr>
          <w:rFonts w:hint="default" w:ascii="Palatino Linotype" w:hAnsi="Palatino Linotype" w:eastAsia="PalatinoLinotype-BoldItalic"/>
          <w:b/>
          <w:bCs/>
          <w:i/>
          <w:iCs/>
          <w:color w:val="000000"/>
          <w:kern w:val="0"/>
          <w:sz w:val="20"/>
          <w:szCs w:val="20"/>
          <w:lang w:val="en-US" w:eastAsia="zh-CN"/>
        </w:rPr>
      </w:pPr>
      <w:r>
        <w:rPr>
          <w:rFonts w:hint="default" w:ascii="Palatino Linotype" w:hAnsi="Palatino Linotype" w:eastAsia="PalatinoLinotype-BoldItalic" w:cs="Palatino Linotype"/>
          <w:b/>
          <w:bCs/>
          <w:i/>
          <w:iCs/>
          <w:color w:val="000000"/>
          <w:kern w:val="0"/>
          <w:sz w:val="20"/>
          <w:szCs w:val="20"/>
          <w:lang w:val="en-US" w:eastAsia="zh-CN" w:bidi="ar"/>
        </w:rPr>
        <w:t>2.</w:t>
      </w:r>
      <w:r>
        <w:rPr>
          <w:rFonts w:hint="default" w:ascii="Palatino Linotype" w:hAnsi="Palatino Linotype" w:eastAsia="PalatinoLinotype-BoldItalic"/>
          <w:b/>
          <w:bCs/>
          <w:i/>
          <w:iCs/>
          <w:color w:val="000000"/>
          <w:kern w:val="0"/>
          <w:sz w:val="20"/>
          <w:szCs w:val="20"/>
          <w:lang w:val="en-US" w:eastAsia="zh-CN"/>
        </w:rPr>
        <w:t>3 Data Collection Instruments</w:t>
      </w:r>
    </w:p>
    <w:p w14:paraId="5D904334">
      <w:pPr>
        <w:pStyle w:val="33"/>
        <w:rPr>
          <w:rFonts w:hint="default" w:eastAsia="SimSun"/>
          <w:spacing w:val="-2"/>
          <w:lang w:val="en-US" w:eastAsia="zh-CN"/>
        </w:rPr>
      </w:pPr>
      <w:r>
        <w:rPr>
          <w:rFonts w:hint="default" w:eastAsia="SimSun"/>
          <w:spacing w:val="-2"/>
          <w:lang w:val="en-US" w:eastAsia="zh-CN"/>
        </w:rPr>
        <w:t>Data collection was conducted in three ways: first, expert validation of the content and appearance of the e-module; second, student response questionnaires administered after using the e-module; and third, numeracy tests given before and after the use of the e-module. The test items designed to measure learning outcomes were developed through validation by evaluation experts and aligned with the requirements of PISA-type numeracy questions, which include three cognitive levels and three cognitive domains: understanding, application, and reasoning. Qualitative data from expert validation and student questionnaires were analyzed descriptively, while quantitative data from the pretest and posttest results were analyzed using gain score analysis to determine the improvement in students’ numeracy skills after learning with the e-module.</w:t>
      </w:r>
    </w:p>
    <w:p w14:paraId="11480EC9">
      <w:pPr>
        <w:pStyle w:val="33"/>
        <w:rPr>
          <w:rFonts w:hint="default" w:eastAsia="SimSun"/>
          <w:i/>
          <w:iCs/>
          <w:spacing w:val="-2"/>
          <w:lang w:val="en-US" w:eastAsia="zh-CN"/>
        </w:rPr>
      </w:pPr>
    </w:p>
    <w:p w14:paraId="0BF97BDF">
      <w:pPr>
        <w:keepNext w:val="0"/>
        <w:keepLines w:val="0"/>
        <w:widowControl/>
        <w:suppressLineNumbers w:val="0"/>
        <w:jc w:val="left"/>
        <w:rPr>
          <w:rFonts w:hint="default" w:ascii="Palatino Linotype" w:hAnsi="Palatino Linotype" w:eastAsia="PalatinoLinotype-BoldItalic"/>
          <w:b/>
          <w:bCs/>
          <w:i/>
          <w:iCs/>
          <w:color w:val="000000"/>
          <w:kern w:val="0"/>
          <w:sz w:val="20"/>
          <w:szCs w:val="20"/>
          <w:lang w:val="en-US" w:eastAsia="zh-CN"/>
        </w:rPr>
      </w:pPr>
      <w:r>
        <w:rPr>
          <w:rFonts w:hint="default" w:ascii="Palatino Linotype" w:hAnsi="Palatino Linotype" w:eastAsia="PalatinoLinotype-BoldItalic"/>
          <w:b/>
          <w:bCs/>
          <w:i/>
          <w:iCs/>
          <w:color w:val="000000"/>
          <w:kern w:val="0"/>
          <w:sz w:val="20"/>
          <w:szCs w:val="20"/>
          <w:lang w:val="en-US" w:eastAsia="zh-CN"/>
        </w:rPr>
        <w:t>2.4 Expert Validation</w:t>
      </w:r>
    </w:p>
    <w:p w14:paraId="27655B55">
      <w:pPr>
        <w:pStyle w:val="33"/>
        <w:rPr>
          <w:rFonts w:hint="default" w:ascii="Palatino Linotype" w:hAnsi="Palatino Linotype" w:eastAsia="PalatinoLinotype-BoldItalic"/>
          <w:b w:val="0"/>
          <w:bCs w:val="0"/>
          <w:i w:val="0"/>
          <w:iCs w:val="0"/>
          <w:color w:val="000000"/>
          <w:kern w:val="0"/>
          <w:sz w:val="20"/>
          <w:szCs w:val="20"/>
          <w:lang w:val="en-US" w:eastAsia="zh-CN"/>
        </w:rPr>
      </w:pPr>
      <w:r>
        <w:rPr>
          <w:rFonts w:hint="default" w:ascii="Palatino Linotype" w:hAnsi="Palatino Linotype" w:eastAsia="PalatinoLinotype-BoldItalic"/>
          <w:b w:val="0"/>
          <w:bCs w:val="0"/>
          <w:i w:val="0"/>
          <w:iCs w:val="0"/>
          <w:color w:val="000000"/>
          <w:kern w:val="0"/>
          <w:sz w:val="20"/>
          <w:szCs w:val="20"/>
          <w:lang w:val="en-US" w:eastAsia="zh-CN"/>
        </w:rPr>
        <w:t>The developed e-module was validated by three experts: a lecturer in Primary School Teacher Education (PGSD) as the content expert, a lecturer in Computer Science as the media expert, and a lecturer in Indonesian Language and Literature Education as the language expert. Each expert assessed the product using a structured evaluation rubric that included criteria such as content accuracy, appropriateness for students’ developmental stages, visual appeal, interactivity, and practicality of e-module use. The evaluation rubric employed a 4-point Likert scale, ranging from 1 (not appropriate) to 4 (highly appropriate). The scores obtained, along with qualitative feedback from the experts, were used as the basis for revising the e-module to improve its quality before conducting the trial with students.</w:t>
      </w:r>
    </w:p>
    <w:p w14:paraId="6F6B7F6B">
      <w:pPr>
        <w:pStyle w:val="33"/>
        <w:rPr>
          <w:rFonts w:hint="default" w:ascii="Palatino Linotype" w:hAnsi="Palatino Linotype" w:eastAsia="PalatinoLinotype-BoldItalic"/>
          <w:b w:val="0"/>
          <w:bCs w:val="0"/>
          <w:i/>
          <w:iCs/>
          <w:color w:val="000000"/>
          <w:kern w:val="0"/>
          <w:sz w:val="20"/>
          <w:szCs w:val="20"/>
          <w:lang w:val="en-US" w:eastAsia="zh-CN"/>
        </w:rPr>
      </w:pPr>
    </w:p>
    <w:p w14:paraId="678D8CB2">
      <w:pPr>
        <w:keepNext w:val="0"/>
        <w:keepLines w:val="0"/>
        <w:widowControl/>
        <w:suppressLineNumbers w:val="0"/>
        <w:jc w:val="left"/>
        <w:rPr>
          <w:rFonts w:hint="default" w:ascii="Palatino Linotype" w:hAnsi="Palatino Linotype" w:eastAsia="PalatinoLinotype-BoldItalic"/>
          <w:b/>
          <w:bCs/>
          <w:i/>
          <w:iCs/>
          <w:color w:val="000000"/>
          <w:kern w:val="0"/>
          <w:sz w:val="20"/>
          <w:szCs w:val="20"/>
          <w:lang w:val="en-US" w:eastAsia="zh-CN"/>
        </w:rPr>
      </w:pPr>
      <w:r>
        <w:rPr>
          <w:rFonts w:hint="default" w:ascii="Palatino Linotype" w:hAnsi="Palatino Linotype" w:eastAsia="PalatinoLinotype-BoldItalic"/>
          <w:b/>
          <w:bCs/>
          <w:i/>
          <w:iCs/>
          <w:color w:val="000000"/>
          <w:kern w:val="0"/>
          <w:sz w:val="20"/>
          <w:szCs w:val="20"/>
          <w:lang w:val="en-US" w:eastAsia="zh-CN"/>
        </w:rPr>
        <w:t>2.5 Product Revision and Testing</w:t>
      </w:r>
    </w:p>
    <w:p w14:paraId="637FAD49">
      <w:pPr>
        <w:pStyle w:val="33"/>
        <w:rPr>
          <w:rFonts w:hint="default" w:ascii="Palatino Linotype" w:hAnsi="Palatino Linotype" w:eastAsia="PalatinoLinotype-BoldItalic"/>
          <w:b w:val="0"/>
          <w:bCs w:val="0"/>
          <w:i w:val="0"/>
          <w:iCs w:val="0"/>
          <w:color w:val="000000"/>
          <w:kern w:val="0"/>
          <w:sz w:val="20"/>
          <w:szCs w:val="20"/>
          <w:lang w:val="en-US" w:eastAsia="zh-CN"/>
        </w:rPr>
      </w:pPr>
      <w:r>
        <w:rPr>
          <w:rFonts w:hint="default" w:ascii="Palatino Linotype" w:hAnsi="Palatino Linotype" w:eastAsia="PalatinoLinotype-BoldItalic"/>
          <w:b w:val="0"/>
          <w:bCs w:val="0"/>
          <w:i w:val="0"/>
          <w:iCs w:val="0"/>
          <w:color w:val="000000"/>
          <w:kern w:val="0"/>
          <w:sz w:val="20"/>
          <w:szCs w:val="20"/>
          <w:lang w:val="en-US" w:eastAsia="zh-CN"/>
        </w:rPr>
        <w:t>Based on the feedback from the experts, the e-module was revised to improve clarity, student engagement, and alignment with the cognitive and emotional development levels of elementary school children. After the revisions, a small-scale trial was conducted involving a limited number of students and teachers to assess the practicality and effectiveness of the product. Observations during the use of the e-module and feedback from the teachers were then analyzed to determine whether further refinements were necessary before implementing the e-module on a broader scale.</w:t>
      </w:r>
    </w:p>
    <w:p w14:paraId="009AAE07">
      <w:pPr>
        <w:pStyle w:val="33"/>
        <w:ind w:left="0" w:leftChars="0" w:firstLine="0" w:firstLineChars="0"/>
        <w:jc w:val="both"/>
        <w:rPr>
          <w:rFonts w:hint="default"/>
          <w:lang w:val="en-US" w:eastAsia="zh-CN"/>
        </w:rPr>
      </w:pPr>
    </w:p>
    <w:p w14:paraId="76F7BECA">
      <w:pPr>
        <w:pStyle w:val="35"/>
        <w:ind w:left="226" w:leftChars="0" w:hanging="226" w:firstLineChars="0"/>
      </w:pPr>
      <w:r>
        <w:rPr>
          <w:rFonts w:eastAsia="Arial"/>
        </w:rPr>
        <w:t>FINDINGS AND DISCUSSION</w:t>
      </w:r>
      <w:r>
        <w:t xml:space="preserve"> </w:t>
      </w:r>
    </w:p>
    <w:p w14:paraId="072F30E8">
      <w:pPr>
        <w:keepNext w:val="0"/>
        <w:keepLines w:val="0"/>
        <w:widowControl/>
        <w:suppressLineNumbers w:val="0"/>
        <w:jc w:val="left"/>
        <w:rPr>
          <w:rFonts w:hint="default" w:ascii="Palatino Linotype" w:hAnsi="Palatino Linotype" w:cs="Palatino Linotype"/>
          <w:b/>
          <w:bCs/>
          <w:i/>
          <w:iCs/>
          <w:sz w:val="20"/>
          <w:szCs w:val="20"/>
        </w:rPr>
      </w:pPr>
      <w:r>
        <w:rPr>
          <w:rFonts w:hint="default" w:ascii="Palatino Linotype" w:hAnsi="Palatino Linotype" w:cs="Palatino Linotype"/>
          <w:b/>
          <w:bCs/>
          <w:i/>
          <w:iCs/>
          <w:sz w:val="20"/>
          <w:szCs w:val="20"/>
          <w:lang w:val="en-US"/>
        </w:rPr>
        <w:t>3</w:t>
      </w:r>
      <w:r>
        <w:rPr>
          <w:rFonts w:hint="default" w:ascii="Palatino Linotype" w:hAnsi="Palatino Linotype" w:cs="Palatino Linotype"/>
          <w:b/>
          <w:bCs/>
          <w:i/>
          <w:iCs/>
          <w:sz w:val="20"/>
          <w:szCs w:val="20"/>
        </w:rPr>
        <w:t>.1 Needs Analysis</w:t>
      </w:r>
    </w:p>
    <w:p w14:paraId="53D21101">
      <w:pPr>
        <w:pStyle w:val="33"/>
        <w:rPr>
          <w:rFonts w:hint="default"/>
        </w:rPr>
      </w:pPr>
      <w:r>
        <w:rPr>
          <w:rFonts w:hint="default"/>
        </w:rPr>
        <w:t>Based on the results of observations and interviews with teachers and students in the fifth grade at Julang Public Elementary School, several main problems in numeracy learning were identified. These included students’ low understanding of abstract mathematical concepts such as fraction operations and data interpretation, which were caused by monotonous teaching methods and the use of conventional learning materials that were uninteresting and not contextualized to everyday life. The mathematics teacher stated that the curriculum used is the Merdeka Curriculum. However, the mathematics learning materials in this curriculum have not yet been integrated with green economy themes, so numeracy instruction does not yet support the cultivation of environmental sustainability awareness. Audience analysis revealed that the fifth grade consists of three parallel classes, with class 5A having 27 students (10 girls and 17 boys) with varying levels of mathematical understanding: 7 students were classified as very good, 8 as good, 11 as fair, and 1 student requiring special assistance. The majority of students have an audio-visual learning style, indicating the need for instructional media that presents material using images, videos, or animations. In addition, there is one student with special needs diagnosed with Attention Deficit Hyperactivity Disorder (ADHD), who requires interactive learning materials to help maintain focus during learning activities. Based on these findings, a clear and measurable learning objective was established: students are expected to solve fraction problems with a minimum accuracy rate of 80% after participating in learning activities using the developed Book Creator-based e-module.</w:t>
      </w:r>
    </w:p>
    <w:p w14:paraId="175D2682">
      <w:pPr>
        <w:pStyle w:val="35"/>
        <w:numPr>
          <w:ilvl w:val="0"/>
          <w:numId w:val="0"/>
        </w:numPr>
        <w:rPr>
          <w:rFonts w:hint="default"/>
          <w:lang w:val="en-US"/>
        </w:rPr>
      </w:pPr>
      <w:r>
        <w:rPr>
          <w:rFonts w:hint="default"/>
          <w:lang w:val="en-US"/>
        </w:rPr>
        <w:t>2</w:t>
      </w:r>
      <w:r>
        <w:rPr>
          <w:rFonts w:hint="default"/>
        </w:rPr>
        <w:t>.2 Product Design and Developme</w:t>
      </w:r>
      <w:r>
        <w:rPr>
          <w:rFonts w:hint="default"/>
          <w:lang w:val="en-US"/>
        </w:rPr>
        <w:t>nt</w:t>
      </w:r>
    </w:p>
    <w:p w14:paraId="1D163B6C">
      <w:pPr>
        <w:pStyle w:val="33"/>
        <w:rPr>
          <w:rFonts w:hint="default"/>
          <w:b w:val="0"/>
          <w:bCs/>
          <w:sz w:val="20"/>
          <w:szCs w:val="20"/>
          <w:lang w:val="en-US"/>
        </w:rPr>
      </w:pPr>
      <w:r>
        <w:rPr>
          <w:rFonts w:hint="default"/>
          <w:b w:val="0"/>
          <w:bCs/>
          <w:sz w:val="20"/>
          <w:szCs w:val="20"/>
          <w:lang w:val="en-US"/>
        </w:rPr>
        <w:t xml:space="preserve">The </w:t>
      </w:r>
      <w:r>
        <w:rPr>
          <w:rFonts w:hint="default"/>
          <w:sz w:val="20"/>
          <w:szCs w:val="20"/>
          <w:lang w:val="en-US"/>
        </w:rPr>
        <w:t xml:space="preserve">design </w:t>
      </w:r>
      <w:r>
        <w:rPr>
          <w:rFonts w:hint="default"/>
          <w:b w:val="0"/>
          <w:bCs/>
          <w:sz w:val="20"/>
          <w:szCs w:val="20"/>
          <w:lang w:val="en-US"/>
        </w:rPr>
        <w:t xml:space="preserve">of the interactive e-module based on Book Creator in this study was developed by referring to pedagogical principles aligned with the applicable curriculum and by utilizing digital technology innovations to support numeracy skills and instill green economy awareness among elementary school students. The e-module design considered the cognitive, emotional, and developmental characteristics of elementary school students, recognizing that they </w:t>
      </w:r>
      <w:r>
        <w:rPr>
          <w:rFonts w:hint="default"/>
          <w:sz w:val="20"/>
          <w:szCs w:val="20"/>
          <w:lang w:val="en-US"/>
        </w:rPr>
        <w:t xml:space="preserve">generally </w:t>
      </w:r>
      <w:r>
        <w:rPr>
          <w:rFonts w:hint="default"/>
          <w:b w:val="0"/>
          <w:bCs/>
          <w:sz w:val="20"/>
          <w:szCs w:val="20"/>
          <w:lang w:val="en-US"/>
        </w:rPr>
        <w:t>learn more effectively through concrete visual and auditory experiences. Therefore, the e-module was designed to provide a multisensory learning environment that combines text, images, videos, and interactive activities, encouraging active engagement and enhancing the understanding of numeracy concepts within the context of green economy practices. The development of content and the user interface was carried out collaboratively by a team consisting of elementary mathematics teachers, green economy subject matter experts, graphic designers, and digital media developers to ensure that the resulting e-module is educational, visually appealing, developmentally appropriate, and supports numeracy learning objectives integrated with sustainability values.</w:t>
      </w:r>
    </w:p>
    <w:p w14:paraId="66E7E654">
      <w:pPr>
        <w:pStyle w:val="33"/>
        <w:numPr>
          <w:ilvl w:val="0"/>
          <w:numId w:val="4"/>
        </w:numPr>
        <w:ind w:left="420" w:leftChars="0" w:hanging="420" w:firstLineChars="0"/>
        <w:rPr>
          <w:rFonts w:hint="default"/>
          <w:b w:val="0"/>
          <w:bCs/>
          <w:sz w:val="20"/>
          <w:szCs w:val="20"/>
          <w:lang w:val="en-US"/>
        </w:rPr>
      </w:pPr>
      <w:r>
        <w:rPr>
          <w:rFonts w:hint="default"/>
          <w:b w:val="0"/>
          <w:bCs/>
          <w:sz w:val="20"/>
          <w:szCs w:val="20"/>
          <w:lang w:val="en-US"/>
        </w:rPr>
        <w:t>The development process of the interactive e-module based on Book Creator in this study involved several key components:</w:t>
      </w:r>
    </w:p>
    <w:p w14:paraId="3B1DF2DA">
      <w:pPr>
        <w:pStyle w:val="33"/>
        <w:numPr>
          <w:ilvl w:val="0"/>
          <w:numId w:val="4"/>
        </w:numPr>
        <w:ind w:left="420" w:leftChars="0" w:hanging="420" w:firstLineChars="0"/>
        <w:rPr>
          <w:rFonts w:hint="default"/>
          <w:b w:val="0"/>
          <w:bCs/>
          <w:sz w:val="20"/>
          <w:szCs w:val="20"/>
          <w:lang w:val="en-US"/>
        </w:rPr>
      </w:pPr>
      <w:r>
        <w:rPr>
          <w:rFonts w:hint="default"/>
          <w:b w:val="0"/>
          <w:bCs/>
          <w:sz w:val="20"/>
          <w:szCs w:val="20"/>
          <w:lang w:val="en-US"/>
        </w:rPr>
        <w:t>Storyboard, which served as a blueprint to align numeracy learning objectives with the content flow and ensure the integration of the material with the green economy theme so that students can understand mathematical concepts through contexts relevant to sustainable practices. The storyboard included page-by-page layouts, the sequence of material delivery, and the placement of interactive elements to be used in the e-module.</w:t>
      </w:r>
    </w:p>
    <w:p w14:paraId="3AC5AF74">
      <w:pPr>
        <w:pStyle w:val="33"/>
        <w:numPr>
          <w:ilvl w:val="0"/>
          <w:numId w:val="4"/>
        </w:numPr>
        <w:ind w:left="420" w:leftChars="0" w:hanging="420" w:firstLineChars="0"/>
        <w:rPr>
          <w:rFonts w:hint="default"/>
          <w:b w:val="0"/>
          <w:bCs/>
          <w:sz w:val="20"/>
          <w:szCs w:val="20"/>
          <w:lang w:val="en-US"/>
        </w:rPr>
      </w:pPr>
      <w:r>
        <w:rPr>
          <w:rFonts w:hint="default"/>
          <w:b w:val="0"/>
          <w:bCs/>
          <w:sz w:val="20"/>
          <w:szCs w:val="20"/>
          <w:lang w:val="en-US"/>
        </w:rPr>
        <w:t>Visual and audio components, including colorful illustrations appropriate for elementary school age, short videos depicting examples of environmentally friendly activities, audio narration to aid understanding of the steps to solve problems, and simple sound effects to increase student engagement.</w:t>
      </w:r>
    </w:p>
    <w:p w14:paraId="529A7715">
      <w:pPr>
        <w:pStyle w:val="33"/>
        <w:numPr>
          <w:ilvl w:val="0"/>
          <w:numId w:val="4"/>
        </w:numPr>
        <w:ind w:left="420" w:leftChars="0" w:hanging="420" w:firstLineChars="0"/>
        <w:rPr>
          <w:rFonts w:hint="default"/>
          <w:b w:val="0"/>
          <w:bCs/>
          <w:sz w:val="20"/>
          <w:szCs w:val="20"/>
          <w:lang w:val="en-US"/>
        </w:rPr>
      </w:pPr>
      <w:r>
        <w:rPr>
          <w:rFonts w:hint="default"/>
          <w:b w:val="0"/>
          <w:bCs/>
          <w:sz w:val="20"/>
          <w:szCs w:val="20"/>
          <w:lang w:val="en-US"/>
        </w:rPr>
        <w:t>Practice questions, designed in the e-module to align with the types of questions used in PISA and Indonesia’s Minimum Competency Assessment (AKM) for numeracy, namely multiple-choice, complex multiple-choice, true-false, and limited-response questions, allowing students to practice with question formats similar to national standard assessments. Additionally, the e-module included reflective activities that encouraged students to connect numeracy material with environmentally friendly actions in their daily lives. All these elements were designed to reinforce concept understanding, promote active engagement, and develop students’ numeracy skills through enjoyable repetition.</w:t>
      </w:r>
    </w:p>
    <w:p w14:paraId="3BA4599B">
      <w:pPr>
        <w:pStyle w:val="33"/>
        <w:rPr>
          <w:rFonts w:hint="default"/>
          <w:b w:val="0"/>
          <w:bCs/>
          <w:sz w:val="20"/>
          <w:szCs w:val="20"/>
          <w:lang w:val="en-US"/>
        </w:rPr>
      </w:pPr>
      <w:r>
        <w:rPr>
          <w:rFonts w:hint="default"/>
          <w:b w:val="0"/>
          <w:bCs/>
          <w:sz w:val="20"/>
          <w:szCs w:val="20"/>
          <w:lang w:val="en-US"/>
        </w:rPr>
        <w:t>The digital development stage of the e-module was carried out using Canva for layout and design, due to its flexibility and ease of use, especially for creating child-friendly visual elements. The e-module design was made engaging with contextual illustrations linking numeracy material to environmentally friendly activities, thus supporting the cultivation of green economy awareness among elementary school students. Once all content was completed, the e-module was converted into an interactive format using the Book Creator platform, which allows intuitive navigation and the integration of interactive media such as videos, animations, and practice exercises. The final e-module product was designed in A4 format for easy access and print compatibility if needed. Bright color schemes were used to attract students’ attention, while the selection of dyslexia-friendly and easy-to-read fonts ensured readability for all students, including those with reading difficulties. Appealing illustrations relevant to environmental themes were intentionally added to increase learning engagement. Additionally, audio narration was included in key sections to support the understanding of students who are still at early reading stages, ensuring that all students, regardless of literacy level, can effectively access and comprehend the material. These thoughtful design choices aimed to create an enjoyable learning experience, support numeracy skills, and foster students’ awareness of the importance of green economy practices in everyday life.</w:t>
      </w:r>
    </w:p>
    <w:p w14:paraId="6B9B0EAF">
      <w:pPr>
        <w:pStyle w:val="54"/>
      </w:pPr>
      <w:r>
        <w:rPr>
          <w:rFonts w:hint="default"/>
          <w:lang w:val="en-US"/>
        </w:rPr>
        <w:t>2</w:t>
      </w:r>
      <w:r>
        <w:rPr>
          <w:rFonts w:hint="default"/>
        </w:rPr>
        <w:t>.3 Validation Process</w:t>
      </w:r>
      <w:r>
        <w:t xml:space="preserve"> </w:t>
      </w:r>
    </w:p>
    <w:p w14:paraId="30ADD962">
      <w:pPr>
        <w:pStyle w:val="33"/>
        <w:ind w:left="0" w:leftChars="0" w:firstLine="0" w:firstLineChars="0"/>
        <w:rPr>
          <w:rFonts w:hint="default"/>
          <w:b/>
          <w:bCs/>
          <w:i w:val="0"/>
          <w:iCs/>
          <w:lang w:val="en-US"/>
        </w:rPr>
      </w:pPr>
      <w:r>
        <w:rPr>
          <w:rFonts w:hint="default"/>
          <w:b/>
          <w:bCs/>
          <w:i w:val="0"/>
          <w:iCs/>
          <w:lang w:val="en-US"/>
        </w:rPr>
        <w:t xml:space="preserve">2.3.1 </w:t>
      </w:r>
      <w:r>
        <w:rPr>
          <w:rFonts w:hint="default"/>
          <w:b/>
          <w:bCs/>
          <w:i/>
          <w:iCs w:val="0"/>
          <w:lang w:val="en-US"/>
        </w:rPr>
        <w:t>Validasi e-modul</w:t>
      </w:r>
    </w:p>
    <w:p w14:paraId="08E67BBF">
      <w:pPr>
        <w:pStyle w:val="33"/>
        <w:rPr>
          <w:rFonts w:hint="default"/>
          <w:b w:val="0"/>
          <w:bCs w:val="0"/>
          <w:i w:val="0"/>
          <w:iCs/>
        </w:rPr>
      </w:pPr>
      <w:r>
        <w:rPr>
          <w:rFonts w:hint="default"/>
          <w:b w:val="0"/>
          <w:bCs w:val="0"/>
          <w:i w:val="0"/>
          <w:iCs/>
        </w:rPr>
        <w:t>The e-module validation process was carried out by involving three experts: a media expert, a content expert, and a language expert, to ensure the quality of the product from various aspects. The structured rubric applied in the e-module validation process included several important evaluation criteria covering the media, content, and language aspects.</w:t>
      </w:r>
    </w:p>
    <w:p w14:paraId="06E6617D">
      <w:pPr>
        <w:pStyle w:val="33"/>
        <w:numPr>
          <w:ilvl w:val="0"/>
          <w:numId w:val="4"/>
        </w:numPr>
        <w:ind w:left="420" w:leftChars="0" w:hanging="420" w:firstLineChars="0"/>
        <w:rPr>
          <w:rFonts w:hint="default"/>
          <w:b w:val="0"/>
          <w:bCs w:val="0"/>
          <w:i w:val="0"/>
          <w:iCs/>
        </w:rPr>
      </w:pPr>
      <w:r>
        <w:rPr>
          <w:rFonts w:hint="default"/>
          <w:b w:val="0"/>
          <w:bCs w:val="0"/>
          <w:i w:val="0"/>
          <w:iCs/>
        </w:rPr>
        <w:t>For the media aspect, the criteria assessed included usability, or the ease of use of the e-module by students; an intuitive navigation system; visual design, including the quality of illustrations, color schemes, and layout appropriate for elementary school students’ age; compatibility with various devices; accessibility for all students, including those with special needs; and the module’s capability to support self-instructional learning.</w:t>
      </w:r>
    </w:p>
    <w:p w14:paraId="7E0D05E8">
      <w:pPr>
        <w:pStyle w:val="33"/>
        <w:numPr>
          <w:ilvl w:val="0"/>
          <w:numId w:val="4"/>
        </w:numPr>
        <w:ind w:left="420" w:leftChars="0" w:hanging="420" w:firstLineChars="0"/>
        <w:rPr>
          <w:rFonts w:hint="default"/>
          <w:b w:val="0"/>
          <w:bCs w:val="0"/>
          <w:i w:val="0"/>
          <w:iCs/>
        </w:rPr>
      </w:pPr>
      <w:r>
        <w:rPr>
          <w:rFonts w:hint="default"/>
          <w:b w:val="0"/>
          <w:bCs w:val="0"/>
          <w:i w:val="0"/>
          <w:iCs/>
        </w:rPr>
        <w:t>For the content aspect, the rubric assessed the completeness and coherence of the material (self-contained), the ability of the e-module to function independently without relying on other sources (stand-alone), the adaptability of the material to accommodate differences in students’ abilities (adaptive), and ease of use (user-friendly).</w:t>
      </w:r>
    </w:p>
    <w:p w14:paraId="04934F10">
      <w:pPr>
        <w:pStyle w:val="33"/>
        <w:numPr>
          <w:ilvl w:val="0"/>
          <w:numId w:val="4"/>
        </w:numPr>
        <w:ind w:left="420" w:leftChars="0" w:hanging="420" w:firstLineChars="0"/>
        <w:rPr>
          <w:rFonts w:hint="default"/>
          <w:b w:val="0"/>
          <w:bCs w:val="0"/>
          <w:i w:val="0"/>
          <w:iCs/>
        </w:rPr>
      </w:pPr>
      <w:r>
        <w:rPr>
          <w:rFonts w:hint="default"/>
          <w:b w:val="0"/>
          <w:bCs w:val="0"/>
          <w:i w:val="0"/>
          <w:iCs/>
        </w:rPr>
        <w:t>For the language aspect, the criteria evaluated included clarity in delivering the material, the communicative level of the language so that it is easily understood by students, and compliance with proper Indonesian language conventions.</w:t>
      </w:r>
    </w:p>
    <w:p w14:paraId="09A0370A">
      <w:pPr>
        <w:pStyle w:val="33"/>
        <w:rPr>
          <w:rFonts w:hint="default"/>
          <w:b w:val="0"/>
          <w:bCs w:val="0"/>
          <w:i w:val="0"/>
          <w:iCs/>
        </w:rPr>
      </w:pPr>
      <w:r>
        <w:rPr>
          <w:rFonts w:hint="default"/>
          <w:b w:val="0"/>
          <w:bCs w:val="0"/>
          <w:i w:val="0"/>
          <w:iCs/>
        </w:rPr>
        <w:t>The assessment rubric used a 4-point Likert scale ranging from 1 (not appropriate) to 4 (highly appropriate), and included a comment section where experts could provide qualitative feedback as a basis for revising the product before conducting a limited field trial. Each criterion in the validation rubric was rated using the same 4-point Likert scale. The validation results showed that the experts gave an average score of 97.9%, classifying the e-module in the “Highly Feasible” category. The content expert evaluated that the e-module content was highly aligned with the objectives of numeracy learning and effectively linked fraction material with the green economy theme, thereby enhancing students’ understanding of mathematical concepts within a sustainability context. The media design expert highlighted the strengths of the e-module in its use of colors, illustrations, and attractive layouts, which were considered very effective in capturing and maintaining elementary students’ attention. However, the expert also suggested improvements to visual balance by refining the symmetry of layout components and adjusting the spacing between elements to optimize readability and learning comfort. Meanwhile, the language expert emphasized the need to simplify sentences that were still too long or complex, and to use more communicative and familiar vocabulary for elementary students, so that the instructions and explanations in the e-module could be understood independently with minimal guidance from teachers or adults.</w:t>
      </w:r>
    </w:p>
    <w:p w14:paraId="07B071D2">
      <w:pPr>
        <w:pStyle w:val="33"/>
        <w:ind w:left="0" w:leftChars="0" w:firstLine="0" w:firstLineChars="0"/>
        <w:rPr>
          <w:rStyle w:val="22"/>
          <w:rFonts w:hint="default" w:ascii="Palatino Linotype" w:hAnsi="Palatino Linotype" w:cs="Palatino Linotype"/>
          <w:i/>
          <w:iCs/>
          <w:sz w:val="20"/>
          <w:szCs w:val="20"/>
        </w:rPr>
      </w:pPr>
    </w:p>
    <w:p w14:paraId="6F0C4E8F">
      <w:pPr>
        <w:pStyle w:val="33"/>
        <w:ind w:left="0" w:leftChars="0" w:firstLine="0" w:firstLineChars="0"/>
        <w:rPr>
          <w:rFonts w:hint="default" w:ascii="Palatino Linotype" w:hAnsi="Palatino Linotype" w:cs="Palatino Linotype"/>
          <w:sz w:val="20"/>
          <w:szCs w:val="20"/>
        </w:rPr>
      </w:pPr>
      <w:r>
        <w:rPr>
          <w:rStyle w:val="22"/>
          <w:rFonts w:hint="default" w:ascii="Palatino Linotype" w:hAnsi="Palatino Linotype" w:cs="Palatino Linotype"/>
          <w:i/>
          <w:iCs/>
          <w:sz w:val="20"/>
          <w:szCs w:val="20"/>
        </w:rPr>
        <w:t>2.3.1 Test Validation</w:t>
      </w:r>
      <w:r>
        <w:rPr>
          <w:rFonts w:hint="default" w:ascii="Palatino Linotype" w:hAnsi="Palatino Linotype" w:cs="Palatino Linotype"/>
          <w:sz w:val="20"/>
          <w:szCs w:val="20"/>
        </w:rPr>
        <w:br w:type="textWrapping"/>
      </w:r>
    </w:p>
    <w:p w14:paraId="19966368">
      <w:pPr>
        <w:pStyle w:val="33"/>
        <w:rPr>
          <w:rFonts w:hint="default" w:ascii="Palatino Linotype" w:hAnsi="Palatino Linotype" w:cs="Palatino Linotype"/>
          <w:sz w:val="20"/>
          <w:szCs w:val="20"/>
        </w:rPr>
      </w:pPr>
      <w:r>
        <w:rPr>
          <w:rFonts w:hint="default" w:ascii="Palatino Linotype" w:hAnsi="Palatino Linotype" w:cs="Palatino Linotype"/>
          <w:sz w:val="20"/>
          <w:szCs w:val="20"/>
        </w:rPr>
        <w:t xml:space="preserve">The test </w:t>
      </w:r>
      <w:r>
        <w:rPr>
          <w:rFonts w:hint="default"/>
          <w:b w:val="0"/>
          <w:bCs w:val="0"/>
          <w:i w:val="0"/>
          <w:iCs/>
        </w:rPr>
        <w:t xml:space="preserve">instrument </w:t>
      </w:r>
      <w:r>
        <w:rPr>
          <w:rFonts w:hint="default" w:ascii="Palatino Linotype" w:hAnsi="Palatino Linotype" w:cs="Palatino Linotype"/>
          <w:sz w:val="20"/>
          <w:szCs w:val="20"/>
        </w:rPr>
        <w:t xml:space="preserve">used in this study consisted of mathematics questions designed according to the types of </w:t>
      </w:r>
      <w:r>
        <w:rPr>
          <w:rFonts w:hint="default"/>
          <w:b w:val="0"/>
          <w:bCs w:val="0"/>
          <w:i w:val="0"/>
          <w:iCs/>
        </w:rPr>
        <w:t>PISA questions</w:t>
      </w:r>
      <w:r>
        <w:rPr>
          <w:rFonts w:hint="default" w:ascii="Palatino Linotype" w:hAnsi="Palatino Linotype" w:cs="Palatino Linotype"/>
          <w:sz w:val="20"/>
          <w:szCs w:val="20"/>
        </w:rPr>
        <w:t>. In Indonesia, PISA-type questions have been adapted into questions for assessing national numeracy skills through the Minimum Competency Assessment (AKM). The mathematics questions developed focused on the topic of ordering fractions for fifth-grade students. The test consisted of 2 multiple-choice questions, 3 complex multiple-choice questions, 3 true-false questions, and 2 short-answer questions. The use of varied question types aimed to familiarize students with AKM numeracy questions and, globally, with the PISA question format. A characteristic feature of PISA or AKM numeracy questions is the use of contextual scenarios. Therefore, in constructing the test, the contexts used were related to the green economy, including topics such as waste recycling, electricity usage, energy conservation, paper consumption, renewable energy use, plastic bottle usage, and urban greening programs.</w:t>
      </w:r>
    </w:p>
    <w:p w14:paraId="068918AD">
      <w:pPr>
        <w:pStyle w:val="33"/>
        <w:rPr>
          <w:rFonts w:hint="default" w:ascii="Palatino Linotype" w:hAnsi="Palatino Linotype" w:cs="Palatino Linotype"/>
          <w:sz w:val="20"/>
          <w:szCs w:val="20"/>
        </w:rPr>
      </w:pPr>
      <w:r>
        <w:rPr>
          <w:rFonts w:hint="default" w:ascii="Palatino Linotype" w:hAnsi="Palatino Linotype" w:cs="Palatino Linotype"/>
          <w:sz w:val="20"/>
          <w:szCs w:val="20"/>
        </w:rPr>
        <w:t>The criteria used in the test validation included adherence to item-writing guidelines, alignment with the subject matter domain, and the presence of novelty in the questions. Validation was carried out by two experts: one evaluation expert and one elementary mathematics expert. The data from the validation process were tabulated and subsequently analyzed using Aiken’s V formula (Azwar, 2012; Retnawati, 2016). The calculated validity scores were then compared against the predetermined criteria, which classified items as highly valid, valid, less valid, or invalid. The validation results indicated that the numeracy test instrument contextualized with green economy themes fell into the “Valid” category, as presented in Table 2.</w:t>
      </w:r>
    </w:p>
    <w:p w14:paraId="34E27D41">
      <w:pPr>
        <w:pStyle w:val="33"/>
        <w:rPr>
          <w:rFonts w:hint="default"/>
          <w:b w:val="0"/>
          <w:bCs w:val="0"/>
          <w:i w:val="0"/>
          <w:iCs/>
          <w:lang w:val="en-US"/>
        </w:rPr>
      </w:pPr>
      <w:r>
        <w:rPr>
          <w:rFonts w:hint="default"/>
          <w:b w:val="0"/>
          <w:bCs w:val="0"/>
          <w:i w:val="0"/>
          <w:iCs/>
          <w:lang w:val="en-US"/>
        </w:rPr>
        <w:t>.</w:t>
      </w:r>
    </w:p>
    <w:p w14:paraId="2FFE91AA">
      <w:pPr>
        <w:pStyle w:val="33"/>
        <w:jc w:val="center"/>
        <w:rPr>
          <w:rFonts w:hint="default"/>
          <w:b w:val="0"/>
          <w:bCs w:val="0"/>
          <w:i w:val="0"/>
          <w:iCs/>
          <w:lang w:val="en-US"/>
        </w:rPr>
      </w:pPr>
      <w:r>
        <w:rPr>
          <w:rFonts w:hint="default"/>
          <w:b w:val="0"/>
          <w:bCs w:val="0"/>
          <w:i w:val="0"/>
          <w:iCs/>
          <w:lang w:val="en-US"/>
        </w:rPr>
        <w:t>Table 1. Tes Validation</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0"/>
        <w:gridCol w:w="1795"/>
        <w:gridCol w:w="1787"/>
        <w:gridCol w:w="1829"/>
      </w:tblGrid>
      <w:tr w14:paraId="53E0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0" w:type="dxa"/>
            <w:tcBorders>
              <w:left w:val="nil"/>
              <w:right w:val="nil"/>
            </w:tcBorders>
            <w:vAlign w:val="top"/>
          </w:tcPr>
          <w:p w14:paraId="460DD3C6">
            <w:pPr>
              <w:pStyle w:val="33"/>
              <w:ind w:left="0" w:leftChars="0" w:firstLine="0" w:firstLineChars="0"/>
              <w:jc w:val="center"/>
              <w:rPr>
                <w:rFonts w:hint="default"/>
                <w:b w:val="0"/>
                <w:bCs w:val="0"/>
                <w:i w:val="0"/>
                <w:iCs/>
                <w:vertAlign w:val="baseline"/>
                <w:lang w:val="en-US"/>
              </w:rPr>
            </w:pPr>
            <w:r>
              <w:rPr>
                <w:rFonts w:hint="default"/>
                <w:b w:val="0"/>
                <w:bCs w:val="0"/>
                <w:i w:val="0"/>
                <w:iCs/>
                <w:vertAlign w:val="baseline"/>
                <w:lang w:val="en-US"/>
              </w:rPr>
              <w:t>Question Type</w:t>
            </w:r>
          </w:p>
        </w:tc>
        <w:tc>
          <w:tcPr>
            <w:tcW w:w="1795" w:type="dxa"/>
            <w:tcBorders>
              <w:left w:val="nil"/>
              <w:right w:val="nil"/>
            </w:tcBorders>
            <w:vAlign w:val="top"/>
          </w:tcPr>
          <w:p w14:paraId="70265769">
            <w:pPr>
              <w:pStyle w:val="33"/>
              <w:ind w:left="0" w:leftChars="0" w:firstLine="0" w:firstLineChars="0"/>
              <w:jc w:val="center"/>
              <w:rPr>
                <w:rFonts w:hint="default"/>
                <w:b w:val="0"/>
                <w:bCs w:val="0"/>
                <w:i w:val="0"/>
                <w:iCs/>
                <w:vertAlign w:val="baseline"/>
                <w:lang w:val="en-US"/>
              </w:rPr>
            </w:pPr>
            <w:r>
              <w:rPr>
                <w:rFonts w:hint="default"/>
                <w:b w:val="0"/>
                <w:bCs w:val="0"/>
                <w:i w:val="0"/>
                <w:iCs/>
                <w:vertAlign w:val="baseline"/>
                <w:lang w:val="en-US"/>
              </w:rPr>
              <w:t>Number of Items</w:t>
            </w:r>
          </w:p>
        </w:tc>
        <w:tc>
          <w:tcPr>
            <w:tcW w:w="1787" w:type="dxa"/>
            <w:tcBorders>
              <w:left w:val="nil"/>
              <w:right w:val="nil"/>
            </w:tcBorders>
            <w:vAlign w:val="top"/>
          </w:tcPr>
          <w:p w14:paraId="7F69B6CA">
            <w:pPr>
              <w:pStyle w:val="33"/>
              <w:ind w:left="0" w:leftChars="0" w:firstLine="0" w:firstLineChars="0"/>
              <w:jc w:val="center"/>
              <w:rPr>
                <w:rFonts w:hint="default"/>
                <w:b w:val="0"/>
                <w:bCs w:val="0"/>
                <w:i w:val="0"/>
                <w:iCs/>
                <w:vertAlign w:val="baseline"/>
                <w:lang w:val="en-US"/>
              </w:rPr>
            </w:pPr>
            <w:r>
              <w:rPr>
                <w:rFonts w:hint="default"/>
                <w:b w:val="0"/>
                <w:bCs w:val="0"/>
                <w:i w:val="0"/>
                <w:iCs/>
                <w:vertAlign w:val="baseline"/>
                <w:lang w:val="en-US"/>
              </w:rPr>
              <w:t>Aiken’s V Value</w:t>
            </w:r>
          </w:p>
        </w:tc>
        <w:tc>
          <w:tcPr>
            <w:tcW w:w="1829" w:type="dxa"/>
            <w:tcBorders>
              <w:left w:val="nil"/>
              <w:right w:val="nil"/>
            </w:tcBorders>
            <w:vAlign w:val="top"/>
          </w:tcPr>
          <w:p w14:paraId="4C4FA637">
            <w:pPr>
              <w:pStyle w:val="33"/>
              <w:ind w:left="0" w:leftChars="0" w:firstLine="0" w:firstLineChars="0"/>
              <w:jc w:val="center"/>
              <w:rPr>
                <w:rFonts w:hint="default"/>
                <w:b w:val="0"/>
                <w:bCs w:val="0"/>
                <w:i w:val="0"/>
                <w:iCs/>
                <w:vertAlign w:val="baseline"/>
                <w:lang w:val="en-US"/>
              </w:rPr>
            </w:pPr>
            <w:r>
              <w:rPr>
                <w:rFonts w:hint="default"/>
                <w:b w:val="0"/>
                <w:bCs w:val="0"/>
                <w:i w:val="0"/>
                <w:iCs/>
                <w:vertAlign w:val="baseline"/>
                <w:lang w:val="en-US"/>
              </w:rPr>
              <w:t>Description</w:t>
            </w:r>
          </w:p>
        </w:tc>
      </w:tr>
      <w:tr w14:paraId="63CE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0" w:type="dxa"/>
            <w:tcBorders>
              <w:left w:val="nil"/>
              <w:right w:val="nil"/>
            </w:tcBorders>
            <w:vAlign w:val="top"/>
          </w:tcPr>
          <w:p w14:paraId="07067890">
            <w:pPr>
              <w:pStyle w:val="33"/>
              <w:ind w:left="0" w:leftChars="0" w:firstLine="0" w:firstLineChars="0"/>
              <w:rPr>
                <w:rFonts w:hint="default"/>
                <w:b w:val="0"/>
                <w:bCs w:val="0"/>
                <w:i w:val="0"/>
                <w:iCs/>
                <w:vertAlign w:val="baseline"/>
                <w:lang w:val="en-US"/>
              </w:rPr>
            </w:pPr>
            <w:r>
              <w:rPr>
                <w:rFonts w:hint="default"/>
                <w:b w:val="0"/>
                <w:bCs w:val="0"/>
                <w:i w:val="0"/>
                <w:iCs/>
                <w:vertAlign w:val="baseline"/>
                <w:lang w:val="en-US"/>
              </w:rPr>
              <w:t>Multiple Choice</w:t>
            </w:r>
          </w:p>
        </w:tc>
        <w:tc>
          <w:tcPr>
            <w:tcW w:w="1795" w:type="dxa"/>
            <w:tcBorders>
              <w:left w:val="nil"/>
              <w:right w:val="nil"/>
            </w:tcBorders>
            <w:vAlign w:val="top"/>
          </w:tcPr>
          <w:p w14:paraId="5FB08B1D">
            <w:pPr>
              <w:pStyle w:val="33"/>
              <w:rPr>
                <w:rFonts w:hint="default"/>
                <w:b w:val="0"/>
                <w:bCs w:val="0"/>
                <w:i w:val="0"/>
                <w:iCs/>
                <w:vertAlign w:val="baseline"/>
                <w:lang w:val="en-US"/>
              </w:rPr>
            </w:pPr>
            <w:r>
              <w:rPr>
                <w:rFonts w:hint="default"/>
                <w:b w:val="0"/>
                <w:bCs w:val="0"/>
                <w:i w:val="0"/>
                <w:iCs/>
                <w:vertAlign w:val="baseline"/>
                <w:lang w:val="en-US"/>
              </w:rPr>
              <w:t>3</w:t>
            </w:r>
          </w:p>
        </w:tc>
        <w:tc>
          <w:tcPr>
            <w:tcW w:w="1787" w:type="dxa"/>
            <w:tcBorders>
              <w:left w:val="nil"/>
              <w:right w:val="nil"/>
            </w:tcBorders>
            <w:vAlign w:val="top"/>
          </w:tcPr>
          <w:p w14:paraId="00C378FB">
            <w:pPr>
              <w:pStyle w:val="33"/>
              <w:rPr>
                <w:rFonts w:hint="default"/>
                <w:b w:val="0"/>
                <w:bCs w:val="0"/>
                <w:i w:val="0"/>
                <w:iCs/>
                <w:vertAlign w:val="baseline"/>
                <w:lang w:val="en-US"/>
              </w:rPr>
            </w:pPr>
            <w:r>
              <w:rPr>
                <w:rFonts w:hint="default"/>
                <w:b w:val="0"/>
                <w:bCs w:val="0"/>
                <w:i w:val="0"/>
                <w:iCs/>
                <w:vertAlign w:val="baseline"/>
                <w:lang w:val="en-US"/>
              </w:rPr>
              <w:t>0,83</w:t>
            </w:r>
          </w:p>
        </w:tc>
        <w:tc>
          <w:tcPr>
            <w:tcW w:w="1829" w:type="dxa"/>
            <w:tcBorders>
              <w:left w:val="nil"/>
              <w:right w:val="nil"/>
            </w:tcBorders>
            <w:vAlign w:val="top"/>
          </w:tcPr>
          <w:p w14:paraId="53FC81FF">
            <w:pPr>
              <w:pStyle w:val="33"/>
              <w:ind w:left="0" w:leftChars="0" w:firstLine="0" w:firstLineChars="0"/>
              <w:rPr>
                <w:rFonts w:hint="default"/>
                <w:b w:val="0"/>
                <w:bCs w:val="0"/>
                <w:i w:val="0"/>
                <w:iCs/>
                <w:vertAlign w:val="baseline"/>
                <w:lang w:val="en-US"/>
              </w:rPr>
            </w:pPr>
            <w:r>
              <w:rPr>
                <w:rFonts w:hint="default"/>
                <w:b w:val="0"/>
                <w:bCs w:val="0"/>
                <w:i w:val="0"/>
                <w:iCs/>
                <w:vertAlign w:val="baseline"/>
                <w:lang w:val="en-US"/>
              </w:rPr>
              <w:t>Highly Valid</w:t>
            </w:r>
          </w:p>
        </w:tc>
      </w:tr>
      <w:tr w14:paraId="26F3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0" w:type="dxa"/>
            <w:tcBorders>
              <w:left w:val="nil"/>
              <w:right w:val="nil"/>
            </w:tcBorders>
            <w:vAlign w:val="top"/>
          </w:tcPr>
          <w:p w14:paraId="642945E3">
            <w:pPr>
              <w:pStyle w:val="33"/>
              <w:ind w:left="0" w:leftChars="0" w:firstLine="0" w:firstLineChars="0"/>
              <w:rPr>
                <w:rFonts w:hint="default"/>
                <w:b w:val="0"/>
                <w:bCs w:val="0"/>
                <w:i w:val="0"/>
                <w:iCs/>
                <w:vertAlign w:val="baseline"/>
                <w:lang w:val="en-US"/>
              </w:rPr>
            </w:pPr>
            <w:r>
              <w:rPr>
                <w:rFonts w:hint="default"/>
                <w:b w:val="0"/>
                <w:bCs w:val="0"/>
                <w:i w:val="0"/>
                <w:iCs/>
                <w:vertAlign w:val="baseline"/>
                <w:lang w:val="en-US"/>
              </w:rPr>
              <w:t>Complex Multiple Choice</w:t>
            </w:r>
          </w:p>
        </w:tc>
        <w:tc>
          <w:tcPr>
            <w:tcW w:w="1795" w:type="dxa"/>
            <w:tcBorders>
              <w:left w:val="nil"/>
              <w:right w:val="nil"/>
            </w:tcBorders>
            <w:vAlign w:val="top"/>
          </w:tcPr>
          <w:p w14:paraId="7E9E5407">
            <w:pPr>
              <w:pStyle w:val="33"/>
              <w:rPr>
                <w:rFonts w:hint="default"/>
                <w:b w:val="0"/>
                <w:bCs w:val="0"/>
                <w:i w:val="0"/>
                <w:iCs/>
                <w:vertAlign w:val="baseline"/>
                <w:lang w:val="en-US"/>
              </w:rPr>
            </w:pPr>
            <w:r>
              <w:rPr>
                <w:rFonts w:hint="default"/>
                <w:b w:val="0"/>
                <w:bCs w:val="0"/>
                <w:i w:val="0"/>
                <w:iCs/>
                <w:vertAlign w:val="baseline"/>
                <w:lang w:val="en-US"/>
              </w:rPr>
              <w:t>2</w:t>
            </w:r>
          </w:p>
        </w:tc>
        <w:tc>
          <w:tcPr>
            <w:tcW w:w="1787" w:type="dxa"/>
            <w:tcBorders>
              <w:left w:val="nil"/>
              <w:right w:val="nil"/>
            </w:tcBorders>
            <w:vAlign w:val="top"/>
          </w:tcPr>
          <w:p w14:paraId="12630A98">
            <w:pPr>
              <w:pStyle w:val="33"/>
              <w:rPr>
                <w:rFonts w:hint="default"/>
                <w:b w:val="0"/>
                <w:bCs w:val="0"/>
                <w:i w:val="0"/>
                <w:iCs/>
                <w:vertAlign w:val="baseline"/>
                <w:lang w:val="en-US"/>
              </w:rPr>
            </w:pPr>
            <w:r>
              <w:rPr>
                <w:rFonts w:hint="default"/>
                <w:b w:val="0"/>
                <w:bCs w:val="0"/>
                <w:i w:val="0"/>
                <w:iCs/>
                <w:vertAlign w:val="baseline"/>
                <w:lang w:val="en-US"/>
              </w:rPr>
              <w:t>0,67</w:t>
            </w:r>
          </w:p>
        </w:tc>
        <w:tc>
          <w:tcPr>
            <w:tcW w:w="1829" w:type="dxa"/>
            <w:tcBorders>
              <w:left w:val="nil"/>
              <w:right w:val="nil"/>
            </w:tcBorders>
            <w:vAlign w:val="top"/>
          </w:tcPr>
          <w:p w14:paraId="7BD4AFA3">
            <w:pPr>
              <w:pStyle w:val="33"/>
              <w:ind w:left="0" w:leftChars="0" w:firstLine="0" w:firstLineChars="0"/>
              <w:rPr>
                <w:rFonts w:hint="default"/>
                <w:b w:val="0"/>
                <w:bCs w:val="0"/>
                <w:i w:val="0"/>
                <w:iCs/>
                <w:vertAlign w:val="baseline"/>
                <w:lang w:val="en-US"/>
              </w:rPr>
            </w:pPr>
            <w:r>
              <w:rPr>
                <w:rFonts w:hint="default"/>
                <w:b w:val="0"/>
                <w:bCs w:val="0"/>
                <w:i w:val="0"/>
                <w:iCs/>
                <w:vertAlign w:val="baseline"/>
                <w:lang w:val="en-US"/>
              </w:rPr>
              <w:t>Valid</w:t>
            </w:r>
          </w:p>
        </w:tc>
      </w:tr>
      <w:tr w14:paraId="1DB8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0" w:type="dxa"/>
            <w:tcBorders>
              <w:left w:val="nil"/>
              <w:right w:val="nil"/>
            </w:tcBorders>
            <w:vAlign w:val="top"/>
          </w:tcPr>
          <w:p w14:paraId="1A1B0264">
            <w:pPr>
              <w:pStyle w:val="33"/>
              <w:ind w:left="0" w:leftChars="0" w:firstLine="0" w:firstLineChars="0"/>
              <w:rPr>
                <w:rFonts w:hint="default"/>
                <w:b w:val="0"/>
                <w:bCs w:val="0"/>
                <w:i w:val="0"/>
                <w:iCs/>
                <w:vertAlign w:val="baseline"/>
                <w:lang w:val="en-US"/>
              </w:rPr>
            </w:pPr>
            <w:r>
              <w:rPr>
                <w:rFonts w:hint="default"/>
                <w:b w:val="0"/>
                <w:bCs w:val="0"/>
                <w:i w:val="0"/>
                <w:iCs/>
                <w:vertAlign w:val="baseline"/>
                <w:lang w:val="en-US"/>
              </w:rPr>
              <w:t>True-False</w:t>
            </w:r>
          </w:p>
        </w:tc>
        <w:tc>
          <w:tcPr>
            <w:tcW w:w="1795" w:type="dxa"/>
            <w:tcBorders>
              <w:left w:val="nil"/>
              <w:right w:val="nil"/>
            </w:tcBorders>
            <w:vAlign w:val="top"/>
          </w:tcPr>
          <w:p w14:paraId="45378939">
            <w:pPr>
              <w:pStyle w:val="33"/>
              <w:rPr>
                <w:rFonts w:hint="default"/>
                <w:b w:val="0"/>
                <w:bCs w:val="0"/>
                <w:i w:val="0"/>
                <w:iCs/>
                <w:vertAlign w:val="baseline"/>
                <w:lang w:val="en-US"/>
              </w:rPr>
            </w:pPr>
            <w:r>
              <w:rPr>
                <w:rFonts w:hint="default"/>
                <w:b w:val="0"/>
                <w:bCs w:val="0"/>
                <w:i w:val="0"/>
                <w:iCs/>
                <w:vertAlign w:val="baseline"/>
                <w:lang w:val="en-US"/>
              </w:rPr>
              <w:t>3</w:t>
            </w:r>
          </w:p>
        </w:tc>
        <w:tc>
          <w:tcPr>
            <w:tcW w:w="1787" w:type="dxa"/>
            <w:tcBorders>
              <w:left w:val="nil"/>
              <w:right w:val="nil"/>
            </w:tcBorders>
            <w:vAlign w:val="top"/>
          </w:tcPr>
          <w:p w14:paraId="73B0B2C8">
            <w:pPr>
              <w:pStyle w:val="33"/>
              <w:rPr>
                <w:rFonts w:hint="default"/>
                <w:b w:val="0"/>
                <w:bCs w:val="0"/>
                <w:i w:val="0"/>
                <w:iCs/>
                <w:vertAlign w:val="baseline"/>
                <w:lang w:val="en-US"/>
              </w:rPr>
            </w:pPr>
            <w:r>
              <w:rPr>
                <w:rFonts w:hint="default"/>
                <w:b w:val="0"/>
                <w:bCs w:val="0"/>
                <w:i w:val="0"/>
                <w:iCs/>
                <w:vertAlign w:val="baseline"/>
                <w:lang w:val="en-US"/>
              </w:rPr>
              <w:t>0,83</w:t>
            </w:r>
          </w:p>
        </w:tc>
        <w:tc>
          <w:tcPr>
            <w:tcW w:w="1829" w:type="dxa"/>
            <w:tcBorders>
              <w:left w:val="nil"/>
              <w:right w:val="nil"/>
            </w:tcBorders>
            <w:vAlign w:val="top"/>
          </w:tcPr>
          <w:p w14:paraId="4EEF93BC">
            <w:pPr>
              <w:pStyle w:val="33"/>
              <w:ind w:left="0" w:leftChars="0" w:firstLine="0" w:firstLineChars="0"/>
              <w:rPr>
                <w:rFonts w:hint="default"/>
                <w:b w:val="0"/>
                <w:bCs w:val="0"/>
                <w:i w:val="0"/>
                <w:iCs/>
                <w:vertAlign w:val="baseline"/>
                <w:lang w:val="en-US"/>
              </w:rPr>
            </w:pPr>
            <w:r>
              <w:rPr>
                <w:rFonts w:hint="default"/>
                <w:b w:val="0"/>
                <w:bCs w:val="0"/>
                <w:i w:val="0"/>
                <w:iCs/>
                <w:vertAlign w:val="baseline"/>
                <w:lang w:val="en-US"/>
              </w:rPr>
              <w:t>Highly Valid</w:t>
            </w:r>
          </w:p>
        </w:tc>
      </w:tr>
      <w:tr w14:paraId="1162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0" w:type="dxa"/>
            <w:tcBorders>
              <w:left w:val="nil"/>
              <w:right w:val="nil"/>
            </w:tcBorders>
            <w:vAlign w:val="top"/>
          </w:tcPr>
          <w:p w14:paraId="68EF7002">
            <w:pPr>
              <w:pStyle w:val="33"/>
              <w:ind w:left="0" w:leftChars="0" w:firstLine="0" w:firstLineChars="0"/>
              <w:rPr>
                <w:rFonts w:hint="default"/>
                <w:b w:val="0"/>
                <w:bCs w:val="0"/>
                <w:i w:val="0"/>
                <w:iCs/>
                <w:vertAlign w:val="baseline"/>
                <w:lang w:val="en-US"/>
              </w:rPr>
            </w:pPr>
            <w:r>
              <w:rPr>
                <w:rFonts w:hint="default"/>
                <w:b w:val="0"/>
                <w:bCs w:val="0"/>
                <w:i w:val="0"/>
                <w:iCs/>
                <w:vertAlign w:val="baseline"/>
                <w:lang w:val="en-US"/>
              </w:rPr>
              <w:t>Limited Essay</w:t>
            </w:r>
          </w:p>
        </w:tc>
        <w:tc>
          <w:tcPr>
            <w:tcW w:w="1795" w:type="dxa"/>
            <w:tcBorders>
              <w:left w:val="nil"/>
              <w:right w:val="nil"/>
            </w:tcBorders>
            <w:vAlign w:val="top"/>
          </w:tcPr>
          <w:p w14:paraId="5FEEFC9F">
            <w:pPr>
              <w:pStyle w:val="33"/>
              <w:rPr>
                <w:rFonts w:hint="default"/>
                <w:b w:val="0"/>
                <w:bCs w:val="0"/>
                <w:i w:val="0"/>
                <w:iCs/>
                <w:vertAlign w:val="baseline"/>
                <w:lang w:val="en-US"/>
              </w:rPr>
            </w:pPr>
            <w:r>
              <w:rPr>
                <w:rFonts w:hint="default"/>
                <w:b w:val="0"/>
                <w:bCs w:val="0"/>
                <w:i w:val="0"/>
                <w:iCs/>
                <w:vertAlign w:val="baseline"/>
                <w:lang w:val="en-US"/>
              </w:rPr>
              <w:t>2</w:t>
            </w:r>
          </w:p>
        </w:tc>
        <w:tc>
          <w:tcPr>
            <w:tcW w:w="1787" w:type="dxa"/>
            <w:tcBorders>
              <w:left w:val="nil"/>
              <w:right w:val="nil"/>
            </w:tcBorders>
            <w:vAlign w:val="top"/>
          </w:tcPr>
          <w:p w14:paraId="796BE0A8">
            <w:pPr>
              <w:pStyle w:val="33"/>
              <w:rPr>
                <w:rFonts w:hint="default"/>
                <w:b w:val="0"/>
                <w:bCs w:val="0"/>
                <w:i w:val="0"/>
                <w:iCs/>
                <w:vertAlign w:val="baseline"/>
                <w:lang w:val="en-US"/>
              </w:rPr>
            </w:pPr>
            <w:r>
              <w:rPr>
                <w:rFonts w:hint="default"/>
                <w:b w:val="0"/>
                <w:bCs w:val="0"/>
                <w:i w:val="0"/>
                <w:iCs/>
                <w:vertAlign w:val="baseline"/>
                <w:lang w:val="en-US"/>
              </w:rPr>
              <w:t>0,67</w:t>
            </w:r>
          </w:p>
        </w:tc>
        <w:tc>
          <w:tcPr>
            <w:tcW w:w="1829" w:type="dxa"/>
            <w:tcBorders>
              <w:left w:val="nil"/>
              <w:right w:val="nil"/>
            </w:tcBorders>
            <w:vAlign w:val="top"/>
          </w:tcPr>
          <w:p w14:paraId="0B704931">
            <w:pPr>
              <w:pStyle w:val="33"/>
              <w:ind w:left="0" w:leftChars="0" w:firstLine="0" w:firstLineChars="0"/>
              <w:rPr>
                <w:rFonts w:hint="default"/>
                <w:b w:val="0"/>
                <w:bCs w:val="0"/>
                <w:i w:val="0"/>
                <w:iCs/>
                <w:vertAlign w:val="baseline"/>
                <w:lang w:val="en-US"/>
              </w:rPr>
            </w:pPr>
            <w:r>
              <w:rPr>
                <w:rFonts w:hint="default"/>
                <w:b w:val="0"/>
                <w:bCs w:val="0"/>
                <w:i w:val="0"/>
                <w:iCs/>
                <w:vertAlign w:val="baseline"/>
                <w:lang w:val="en-US"/>
              </w:rPr>
              <w:t>Valid</w:t>
            </w:r>
          </w:p>
        </w:tc>
      </w:tr>
      <w:tr w14:paraId="3A93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0" w:type="dxa"/>
            <w:tcBorders>
              <w:left w:val="nil"/>
              <w:bottom w:val="nil"/>
              <w:right w:val="nil"/>
            </w:tcBorders>
            <w:vAlign w:val="top"/>
          </w:tcPr>
          <w:p w14:paraId="4D7CE402">
            <w:pPr>
              <w:pStyle w:val="33"/>
              <w:ind w:left="0" w:leftChars="0" w:firstLine="0" w:firstLineChars="0"/>
              <w:rPr>
                <w:rFonts w:hint="default"/>
                <w:b w:val="0"/>
                <w:bCs w:val="0"/>
                <w:i w:val="0"/>
                <w:iCs/>
                <w:vertAlign w:val="baseline"/>
                <w:lang w:val="en-US"/>
              </w:rPr>
            </w:pPr>
            <w:r>
              <w:rPr>
                <w:rFonts w:hint="default"/>
                <w:b w:val="0"/>
                <w:bCs w:val="0"/>
                <w:i w:val="0"/>
                <w:iCs/>
                <w:vertAlign w:val="baseline"/>
                <w:lang w:val="en-US"/>
              </w:rPr>
              <w:t>Total/ Average Overall</w:t>
            </w:r>
          </w:p>
        </w:tc>
        <w:tc>
          <w:tcPr>
            <w:tcW w:w="1795" w:type="dxa"/>
            <w:tcBorders>
              <w:left w:val="nil"/>
              <w:bottom w:val="nil"/>
              <w:right w:val="nil"/>
            </w:tcBorders>
            <w:vAlign w:val="top"/>
          </w:tcPr>
          <w:p w14:paraId="3309060C">
            <w:pPr>
              <w:pStyle w:val="33"/>
              <w:rPr>
                <w:rFonts w:hint="default"/>
                <w:b w:val="0"/>
                <w:bCs w:val="0"/>
                <w:i w:val="0"/>
                <w:iCs/>
                <w:vertAlign w:val="baseline"/>
                <w:lang w:val="en-US"/>
              </w:rPr>
            </w:pPr>
            <w:r>
              <w:rPr>
                <w:rFonts w:hint="default"/>
                <w:b w:val="0"/>
                <w:bCs w:val="0"/>
                <w:i w:val="0"/>
                <w:iCs/>
                <w:vertAlign w:val="baseline"/>
                <w:lang w:val="en-US"/>
              </w:rPr>
              <w:t>10</w:t>
            </w:r>
          </w:p>
        </w:tc>
        <w:tc>
          <w:tcPr>
            <w:tcW w:w="1787" w:type="dxa"/>
            <w:tcBorders>
              <w:left w:val="nil"/>
              <w:bottom w:val="nil"/>
              <w:right w:val="nil"/>
            </w:tcBorders>
            <w:vAlign w:val="top"/>
          </w:tcPr>
          <w:p w14:paraId="677CAE82">
            <w:pPr>
              <w:pStyle w:val="33"/>
              <w:rPr>
                <w:rFonts w:hint="default"/>
                <w:b w:val="0"/>
                <w:bCs w:val="0"/>
                <w:i w:val="0"/>
                <w:iCs/>
                <w:vertAlign w:val="baseline"/>
                <w:lang w:val="en-US"/>
              </w:rPr>
            </w:pPr>
            <w:r>
              <w:rPr>
                <w:rFonts w:hint="default"/>
                <w:b w:val="0"/>
                <w:bCs w:val="0"/>
                <w:i w:val="0"/>
                <w:iCs/>
                <w:vertAlign w:val="baseline"/>
                <w:lang w:val="en-US"/>
              </w:rPr>
              <w:t>0,75</w:t>
            </w:r>
          </w:p>
        </w:tc>
        <w:tc>
          <w:tcPr>
            <w:tcW w:w="1829" w:type="dxa"/>
            <w:tcBorders>
              <w:left w:val="nil"/>
              <w:bottom w:val="nil"/>
              <w:right w:val="nil"/>
            </w:tcBorders>
            <w:vAlign w:val="top"/>
          </w:tcPr>
          <w:p w14:paraId="0327613D">
            <w:pPr>
              <w:pStyle w:val="33"/>
              <w:ind w:left="0" w:leftChars="0" w:firstLine="0" w:firstLineChars="0"/>
              <w:rPr>
                <w:rFonts w:hint="default"/>
                <w:b w:val="0"/>
                <w:bCs w:val="0"/>
                <w:i w:val="0"/>
                <w:iCs/>
                <w:vertAlign w:val="baseline"/>
                <w:lang w:val="en-US"/>
              </w:rPr>
            </w:pPr>
            <w:r>
              <w:rPr>
                <w:rFonts w:hint="default"/>
                <w:b w:val="0"/>
                <w:bCs w:val="0"/>
                <w:i w:val="0"/>
                <w:iCs/>
                <w:vertAlign w:val="baseline"/>
                <w:lang w:val="en-US"/>
              </w:rPr>
              <w:t>Valid</w:t>
            </w:r>
          </w:p>
        </w:tc>
      </w:tr>
    </w:tbl>
    <w:p w14:paraId="0DD8D901">
      <w:pPr>
        <w:pStyle w:val="33"/>
        <w:ind w:left="0" w:leftChars="0" w:firstLine="0" w:firstLineChars="0"/>
        <w:rPr>
          <w:rFonts w:hint="default"/>
          <w:b w:val="0"/>
          <w:bCs w:val="0"/>
          <w:i w:val="0"/>
          <w:iCs/>
          <w:lang w:val="en-US"/>
        </w:rPr>
      </w:pPr>
    </w:p>
    <w:p w14:paraId="368F3806">
      <w:pPr>
        <w:pStyle w:val="53"/>
        <w:rPr>
          <w:rFonts w:hint="default"/>
          <w:b/>
          <w:bCs/>
          <w:i/>
          <w:iCs/>
          <w:lang w:val="en-US"/>
        </w:rPr>
      </w:pPr>
      <w:r>
        <w:rPr>
          <w:rFonts w:hint="default"/>
          <w:b/>
          <w:bCs/>
          <w:i/>
          <w:iCs/>
        </w:rPr>
        <w:t xml:space="preserve">3.4 </w:t>
      </w:r>
      <w:r>
        <w:rPr>
          <w:rFonts w:hint="default"/>
          <w:b/>
          <w:bCs/>
          <w:i/>
          <w:iCs/>
          <w:lang w:val="en-US"/>
        </w:rPr>
        <w:t>Implementation</w:t>
      </w:r>
    </w:p>
    <w:p w14:paraId="7370C0FA">
      <w:pPr>
        <w:pStyle w:val="33"/>
        <w:rPr>
          <w:rFonts w:hint="default"/>
          <w:lang w:val="en-US"/>
        </w:rPr>
      </w:pPr>
      <w:r>
        <w:rPr>
          <w:rFonts w:hint="default"/>
        </w:rPr>
        <w:t>At the implementation stage, the researcher conducted a direct classroom trial of the Book Creator-based e-module to evaluate its practicality and students’ engagement in numeracy learning with a green economy theme. The implementation was carried out in three classes, namely fifth-grade classes at SDN Julang. The mathematics teacher led the lesson using the selected topic, ordering fractions, which is a relevant numeracy topic that often poses difficulties for students. The implementation was conducted in April 2025.</w:t>
      </w:r>
      <w:r>
        <w:rPr>
          <w:rFonts w:hint="default"/>
          <w:lang w:val="en-US"/>
        </w:rPr>
        <w:t xml:space="preserve"> </w:t>
      </w:r>
    </w:p>
    <w:p w14:paraId="28BB5463">
      <w:pPr>
        <w:pStyle w:val="53"/>
        <w:rPr>
          <w:rFonts w:hint="default"/>
          <w:b/>
          <w:bCs/>
          <w:i/>
          <w:iCs/>
          <w:lang w:val="en-US"/>
        </w:rPr>
      </w:pPr>
      <w:r>
        <w:rPr>
          <w:rFonts w:hint="default"/>
          <w:b/>
          <w:bCs/>
          <w:i/>
          <w:iCs/>
        </w:rPr>
        <w:t>3.</w:t>
      </w:r>
      <w:r>
        <w:rPr>
          <w:rFonts w:hint="default"/>
          <w:b/>
          <w:bCs/>
          <w:i/>
          <w:iCs/>
          <w:lang w:val="en-US"/>
        </w:rPr>
        <w:t>5</w:t>
      </w:r>
      <w:r>
        <w:rPr>
          <w:rFonts w:hint="default"/>
          <w:b/>
          <w:bCs/>
          <w:i/>
          <w:iCs/>
        </w:rPr>
        <w:t xml:space="preserve"> </w:t>
      </w:r>
      <w:r>
        <w:rPr>
          <w:rFonts w:hint="default"/>
          <w:b/>
          <w:bCs/>
          <w:i/>
          <w:iCs/>
          <w:lang w:val="en-US"/>
        </w:rPr>
        <w:t>Evaluation</w:t>
      </w:r>
    </w:p>
    <w:p w14:paraId="5148FBD2">
      <w:pPr>
        <w:pStyle w:val="33"/>
        <w:rPr>
          <w:rFonts w:hint="default"/>
          <w:lang w:val="en-US"/>
        </w:rPr>
      </w:pPr>
      <w:r>
        <w:rPr>
          <w:rFonts w:hint="default"/>
        </w:rPr>
        <w:t>Before using the e-module, students took a pretest consisting of 10 questions designed to measure their basic understanding of numeracy material on the topic of ordering fractions and its relation to green economy concepts, such as scenarios involving energy conservation or waste management linked to numerical problems. After the e-module was used in classroom learning, they were given an evaluation tool in the form of AKM-type questions. These questions served as the test instrument to determine the effectiveness of the e-module’s use. The calculation results of the N-gain from the pretest and posttest for each class showed that class 5A achieved an N-gain of 0.56, class 5B achieved an N-gain of 0.61, and class 5C achieved an N-gain of 0.62. The detailed results can be seen in the following table</w:t>
      </w:r>
      <w:r>
        <w:rPr>
          <w:rFonts w:hint="default"/>
          <w:lang w:val="en-US"/>
        </w:rPr>
        <w:t xml:space="preserve"> 2.</w:t>
      </w:r>
    </w:p>
    <w:p w14:paraId="01704B01">
      <w:pPr>
        <w:pStyle w:val="33"/>
        <w:ind w:left="0" w:leftChars="0" w:firstLine="0" w:firstLineChars="0"/>
        <w:rPr>
          <w:rFonts w:hint="default"/>
          <w:lang w:val="en-US"/>
        </w:rPr>
      </w:pPr>
    </w:p>
    <w:p w14:paraId="1CD7FEC9">
      <w:pPr>
        <w:pStyle w:val="33"/>
        <w:ind w:left="0" w:leftChars="0" w:firstLine="0" w:firstLineChars="0"/>
        <w:rPr>
          <w:rFonts w:hint="default"/>
          <w:lang w:val="en-US"/>
        </w:rPr>
      </w:pPr>
    </w:p>
    <w:p w14:paraId="682B1D86">
      <w:pPr>
        <w:pStyle w:val="33"/>
        <w:ind w:left="0" w:leftChars="0" w:firstLine="0" w:firstLineChars="0"/>
        <w:rPr>
          <w:rFonts w:hint="default"/>
          <w:lang w:val="en-US"/>
        </w:rPr>
      </w:pPr>
    </w:p>
    <w:p w14:paraId="292B7C12">
      <w:pPr>
        <w:pStyle w:val="8"/>
        <w:spacing w:before="144" w:line="357" w:lineRule="auto"/>
        <w:ind w:left="116" w:firstLine="428"/>
        <w:jc w:val="center"/>
        <w:rPr>
          <w:rFonts w:hint="default" w:ascii="Palatino Linotype" w:hAnsi="Palatino Linotype" w:cs="Palatino Linotype"/>
          <w:sz w:val="20"/>
          <w:szCs w:val="20"/>
          <w:lang w:val="en-US"/>
        </w:rPr>
      </w:pPr>
      <w:r>
        <w:rPr>
          <w:rFonts w:hint="default" w:ascii="Palatino Linotype" w:hAnsi="Palatino Linotype"/>
          <w:sz w:val="20"/>
          <w:szCs w:val="20"/>
          <w:lang w:val="en-US"/>
        </w:rPr>
        <w:t>Table 2. N-gain Data for e-Module Implementation</w:t>
      </w:r>
    </w:p>
    <w:tbl>
      <w:tblPr>
        <w:tblStyle w:val="23"/>
        <w:tblpPr w:leftFromText="180" w:rightFromText="180" w:vertAnchor="text" w:horzAnchor="page"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1992"/>
        <w:gridCol w:w="1992"/>
        <w:gridCol w:w="1888"/>
      </w:tblGrid>
      <w:tr w14:paraId="2F92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left w:val="nil"/>
              <w:right w:val="nil"/>
            </w:tcBorders>
            <w:vAlign w:val="top"/>
          </w:tcPr>
          <w:p w14:paraId="0A48C3F7">
            <w:pPr>
              <w:pStyle w:val="8"/>
              <w:spacing w:before="144" w:line="240" w:lineRule="auto"/>
              <w:rPr>
                <w:rFonts w:hint="default" w:ascii="Palatino Linotype" w:hAnsi="Palatino Linotype" w:cs="Palatino Linotype"/>
                <w:b/>
                <w:bCs/>
                <w:sz w:val="20"/>
                <w:szCs w:val="20"/>
                <w:vertAlign w:val="baseline"/>
                <w:lang w:val="en-US"/>
              </w:rPr>
            </w:pPr>
            <w:r>
              <w:rPr>
                <w:rFonts w:hint="default" w:ascii="Palatino Linotype" w:hAnsi="Palatino Linotype" w:cs="Palatino Linotype"/>
                <w:b/>
                <w:bCs/>
                <w:sz w:val="20"/>
                <w:szCs w:val="20"/>
                <w:vertAlign w:val="baseline"/>
                <w:lang w:val="en-US"/>
              </w:rPr>
              <w:t>No.</w:t>
            </w:r>
          </w:p>
        </w:tc>
        <w:tc>
          <w:tcPr>
            <w:tcW w:w="1992" w:type="dxa"/>
            <w:tcBorders>
              <w:left w:val="nil"/>
              <w:right w:val="nil"/>
            </w:tcBorders>
            <w:vAlign w:val="top"/>
          </w:tcPr>
          <w:p w14:paraId="4ECF57FF">
            <w:pPr>
              <w:pStyle w:val="8"/>
              <w:spacing w:before="60" w:line="240" w:lineRule="auto"/>
              <w:jc w:val="both"/>
              <w:rPr>
                <w:rFonts w:hint="default" w:ascii="Palatino Linotype" w:hAnsi="Palatino Linotype" w:cs="Palatino Linotype"/>
                <w:b/>
                <w:bCs/>
                <w:sz w:val="20"/>
                <w:szCs w:val="20"/>
                <w:vertAlign w:val="baseline"/>
                <w:lang w:val="en-US"/>
              </w:rPr>
            </w:pPr>
            <w:r>
              <w:rPr>
                <w:rFonts w:hint="default" w:ascii="Palatino Linotype" w:hAnsi="Palatino Linotype" w:cs="Palatino Linotype"/>
                <w:b/>
                <w:bCs/>
                <w:sz w:val="20"/>
                <w:szCs w:val="20"/>
                <w:vertAlign w:val="baseline"/>
                <w:lang w:val="en-US"/>
              </w:rPr>
              <w:t>Class</w:t>
            </w:r>
          </w:p>
        </w:tc>
        <w:tc>
          <w:tcPr>
            <w:tcW w:w="1992" w:type="dxa"/>
            <w:tcBorders>
              <w:left w:val="nil"/>
              <w:right w:val="nil"/>
            </w:tcBorders>
            <w:vAlign w:val="top"/>
          </w:tcPr>
          <w:p w14:paraId="4F995B67">
            <w:pPr>
              <w:pStyle w:val="8"/>
              <w:spacing w:before="144" w:line="240" w:lineRule="auto"/>
              <w:rPr>
                <w:rFonts w:hint="default" w:ascii="Palatino Linotype" w:hAnsi="Palatino Linotype" w:cs="Palatino Linotype"/>
                <w:b/>
                <w:bCs/>
                <w:sz w:val="20"/>
                <w:szCs w:val="20"/>
                <w:vertAlign w:val="baseline"/>
                <w:lang w:val="en-US"/>
              </w:rPr>
            </w:pPr>
            <w:r>
              <w:rPr>
                <w:rFonts w:hint="default" w:ascii="Palatino Linotype" w:hAnsi="Palatino Linotype" w:cs="Palatino Linotype"/>
                <w:b/>
                <w:bCs/>
                <w:sz w:val="20"/>
                <w:szCs w:val="20"/>
                <w:vertAlign w:val="baseline"/>
                <w:lang w:val="en-US"/>
              </w:rPr>
              <w:t>N-gain</w:t>
            </w:r>
          </w:p>
        </w:tc>
        <w:tc>
          <w:tcPr>
            <w:tcW w:w="1888" w:type="dxa"/>
            <w:tcBorders>
              <w:left w:val="nil"/>
              <w:right w:val="nil"/>
            </w:tcBorders>
            <w:vAlign w:val="top"/>
          </w:tcPr>
          <w:p w14:paraId="0900C86A">
            <w:pPr>
              <w:pStyle w:val="8"/>
              <w:spacing w:before="144" w:line="240" w:lineRule="auto"/>
              <w:rPr>
                <w:rFonts w:hint="default" w:ascii="Palatino Linotype" w:hAnsi="Palatino Linotype" w:cs="Palatino Linotype"/>
                <w:b/>
                <w:bCs/>
                <w:sz w:val="20"/>
                <w:szCs w:val="20"/>
                <w:vertAlign w:val="baseline"/>
                <w:lang w:val="en-US"/>
              </w:rPr>
            </w:pPr>
            <w:r>
              <w:rPr>
                <w:rFonts w:hint="default" w:ascii="Palatino Linotype" w:hAnsi="Palatino Linotype"/>
                <w:b/>
                <w:bCs/>
                <w:sz w:val="20"/>
                <w:szCs w:val="20"/>
                <w:vertAlign w:val="baseline"/>
                <w:lang w:val="en-US"/>
              </w:rPr>
              <w:t>Category</w:t>
            </w:r>
          </w:p>
        </w:tc>
      </w:tr>
      <w:tr w14:paraId="7E42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left w:val="nil"/>
              <w:right w:val="nil"/>
            </w:tcBorders>
            <w:vAlign w:val="top"/>
          </w:tcPr>
          <w:p w14:paraId="272426CA">
            <w:pPr>
              <w:pStyle w:val="8"/>
              <w:spacing w:before="144" w:line="240" w:lineRule="auto"/>
              <w:rPr>
                <w:rFonts w:hint="default" w:ascii="Palatino Linotype" w:hAnsi="Palatino Linotype" w:cs="Palatino Linotype"/>
                <w:sz w:val="20"/>
                <w:szCs w:val="20"/>
                <w:vertAlign w:val="baseline"/>
                <w:lang w:val="en-US"/>
              </w:rPr>
            </w:pPr>
            <w:r>
              <w:rPr>
                <w:rFonts w:hint="default" w:ascii="Palatino Linotype" w:hAnsi="Palatino Linotype" w:cs="Palatino Linotype"/>
                <w:sz w:val="20"/>
                <w:szCs w:val="20"/>
                <w:vertAlign w:val="baseline"/>
                <w:lang w:val="en-US"/>
              </w:rPr>
              <w:t>1.</w:t>
            </w:r>
          </w:p>
        </w:tc>
        <w:tc>
          <w:tcPr>
            <w:tcW w:w="1992" w:type="dxa"/>
            <w:tcBorders>
              <w:left w:val="nil"/>
              <w:right w:val="nil"/>
            </w:tcBorders>
            <w:vAlign w:val="top"/>
          </w:tcPr>
          <w:p w14:paraId="3D68BC70">
            <w:pPr>
              <w:pStyle w:val="8"/>
              <w:spacing w:before="144" w:line="240" w:lineRule="auto"/>
              <w:rPr>
                <w:rFonts w:hint="default" w:ascii="Palatino Linotype" w:hAnsi="Palatino Linotype" w:cs="Palatino Linotype"/>
                <w:sz w:val="20"/>
                <w:szCs w:val="20"/>
                <w:vertAlign w:val="baseline"/>
                <w:lang w:val="en-US"/>
              </w:rPr>
            </w:pPr>
            <w:r>
              <w:rPr>
                <w:rFonts w:hint="default" w:ascii="Palatino Linotype" w:hAnsi="Palatino Linotype" w:cs="Palatino Linotype"/>
                <w:sz w:val="20"/>
                <w:szCs w:val="20"/>
                <w:vertAlign w:val="baseline"/>
                <w:lang w:val="en-US"/>
              </w:rPr>
              <w:t>5A</w:t>
            </w:r>
          </w:p>
        </w:tc>
        <w:tc>
          <w:tcPr>
            <w:tcW w:w="1992" w:type="dxa"/>
            <w:tcBorders>
              <w:left w:val="nil"/>
              <w:right w:val="nil"/>
            </w:tcBorders>
            <w:vAlign w:val="top"/>
          </w:tcPr>
          <w:p w14:paraId="53413F8E">
            <w:pPr>
              <w:pStyle w:val="8"/>
              <w:spacing w:before="144" w:line="240" w:lineRule="auto"/>
              <w:rPr>
                <w:rFonts w:hint="default" w:ascii="Palatino Linotype" w:hAnsi="Palatino Linotype" w:cs="Palatino Linotype"/>
                <w:sz w:val="20"/>
                <w:szCs w:val="20"/>
                <w:vertAlign w:val="baseline"/>
                <w:lang w:val="en-US"/>
              </w:rPr>
            </w:pPr>
            <w:r>
              <w:rPr>
                <w:rFonts w:hint="default" w:ascii="Palatino Linotype" w:hAnsi="Palatino Linotype" w:cs="Palatino Linotype"/>
                <w:sz w:val="20"/>
                <w:szCs w:val="20"/>
                <w:vertAlign w:val="baseline"/>
                <w:lang w:val="en-US"/>
              </w:rPr>
              <w:t>0,56</w:t>
            </w:r>
          </w:p>
        </w:tc>
        <w:tc>
          <w:tcPr>
            <w:tcW w:w="1888" w:type="dxa"/>
            <w:tcBorders>
              <w:left w:val="nil"/>
              <w:right w:val="nil"/>
            </w:tcBorders>
            <w:vAlign w:val="top"/>
          </w:tcPr>
          <w:p w14:paraId="0D966F2B">
            <w:pPr>
              <w:pStyle w:val="8"/>
              <w:spacing w:before="144" w:line="240" w:lineRule="auto"/>
              <w:rPr>
                <w:rFonts w:hint="default" w:ascii="Palatino Linotype" w:hAnsi="Palatino Linotype" w:cs="Palatino Linotype"/>
                <w:sz w:val="20"/>
                <w:szCs w:val="20"/>
                <w:vertAlign w:val="baseline"/>
                <w:lang w:val="en-US"/>
              </w:rPr>
            </w:pPr>
            <w:r>
              <w:rPr>
                <w:rFonts w:hint="default" w:ascii="Palatino Linotype" w:hAnsi="Palatino Linotype" w:cs="Palatino Linotype"/>
                <w:sz w:val="20"/>
                <w:szCs w:val="20"/>
                <w:vertAlign w:val="baseline"/>
                <w:lang w:val="en-US"/>
              </w:rPr>
              <w:t>Medium</w:t>
            </w:r>
          </w:p>
        </w:tc>
      </w:tr>
      <w:tr w14:paraId="2DEE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left w:val="nil"/>
              <w:right w:val="nil"/>
            </w:tcBorders>
            <w:vAlign w:val="top"/>
          </w:tcPr>
          <w:p w14:paraId="3F087276">
            <w:pPr>
              <w:pStyle w:val="8"/>
              <w:spacing w:before="144" w:line="240" w:lineRule="auto"/>
              <w:rPr>
                <w:rFonts w:hint="default" w:ascii="Palatino Linotype" w:hAnsi="Palatino Linotype" w:cs="Palatino Linotype"/>
                <w:sz w:val="20"/>
                <w:szCs w:val="20"/>
                <w:vertAlign w:val="baseline"/>
                <w:lang w:val="en-US"/>
              </w:rPr>
            </w:pPr>
            <w:r>
              <w:rPr>
                <w:rFonts w:hint="default" w:ascii="Palatino Linotype" w:hAnsi="Palatino Linotype" w:cs="Palatino Linotype"/>
                <w:sz w:val="20"/>
                <w:szCs w:val="20"/>
                <w:vertAlign w:val="baseline"/>
                <w:lang w:val="en-US"/>
              </w:rPr>
              <w:t>2.</w:t>
            </w:r>
          </w:p>
        </w:tc>
        <w:tc>
          <w:tcPr>
            <w:tcW w:w="1992" w:type="dxa"/>
            <w:tcBorders>
              <w:left w:val="nil"/>
              <w:right w:val="nil"/>
            </w:tcBorders>
            <w:vAlign w:val="top"/>
          </w:tcPr>
          <w:p w14:paraId="3F88286D">
            <w:pPr>
              <w:pStyle w:val="8"/>
              <w:spacing w:before="144" w:line="240" w:lineRule="auto"/>
              <w:rPr>
                <w:rFonts w:hint="default" w:ascii="Palatino Linotype" w:hAnsi="Palatino Linotype" w:cs="Palatino Linotype"/>
                <w:sz w:val="20"/>
                <w:szCs w:val="20"/>
                <w:vertAlign w:val="baseline"/>
                <w:lang w:val="en-US"/>
              </w:rPr>
            </w:pPr>
            <w:r>
              <w:rPr>
                <w:rFonts w:hint="default" w:ascii="Palatino Linotype" w:hAnsi="Palatino Linotype" w:cs="Palatino Linotype"/>
                <w:sz w:val="20"/>
                <w:szCs w:val="20"/>
                <w:vertAlign w:val="baseline"/>
                <w:lang w:val="en-US"/>
              </w:rPr>
              <w:t>5B</w:t>
            </w:r>
          </w:p>
        </w:tc>
        <w:tc>
          <w:tcPr>
            <w:tcW w:w="1992" w:type="dxa"/>
            <w:tcBorders>
              <w:left w:val="nil"/>
              <w:right w:val="nil"/>
            </w:tcBorders>
            <w:vAlign w:val="top"/>
          </w:tcPr>
          <w:p w14:paraId="2936CDA2">
            <w:pPr>
              <w:pStyle w:val="8"/>
              <w:spacing w:before="144" w:line="240" w:lineRule="auto"/>
              <w:rPr>
                <w:rFonts w:hint="default" w:ascii="Palatino Linotype" w:hAnsi="Palatino Linotype" w:cs="Palatino Linotype"/>
                <w:sz w:val="20"/>
                <w:szCs w:val="20"/>
                <w:vertAlign w:val="baseline"/>
                <w:lang w:val="en-US"/>
              </w:rPr>
            </w:pPr>
            <w:r>
              <w:rPr>
                <w:rFonts w:hint="default" w:ascii="Palatino Linotype" w:hAnsi="Palatino Linotype" w:cs="Palatino Linotype"/>
                <w:sz w:val="20"/>
                <w:szCs w:val="20"/>
                <w:vertAlign w:val="baseline"/>
                <w:lang w:val="en-US"/>
              </w:rPr>
              <w:t>0,61</w:t>
            </w:r>
          </w:p>
        </w:tc>
        <w:tc>
          <w:tcPr>
            <w:tcW w:w="1888" w:type="dxa"/>
            <w:tcBorders>
              <w:left w:val="nil"/>
              <w:right w:val="nil"/>
            </w:tcBorders>
            <w:vAlign w:val="top"/>
          </w:tcPr>
          <w:p w14:paraId="28ABB9DA">
            <w:pPr>
              <w:pStyle w:val="8"/>
              <w:spacing w:before="144" w:line="240" w:lineRule="auto"/>
              <w:rPr>
                <w:rFonts w:hint="default" w:ascii="Palatino Linotype" w:hAnsi="Palatino Linotype" w:cs="Palatino Linotype"/>
                <w:sz w:val="20"/>
                <w:szCs w:val="20"/>
                <w:vertAlign w:val="baseline"/>
                <w:lang w:val="en-US"/>
              </w:rPr>
            </w:pPr>
            <w:r>
              <w:rPr>
                <w:rFonts w:hint="default" w:ascii="Palatino Linotype" w:hAnsi="Palatino Linotype" w:cs="Palatino Linotype"/>
                <w:sz w:val="20"/>
                <w:szCs w:val="20"/>
                <w:vertAlign w:val="baseline"/>
                <w:lang w:val="en-US"/>
              </w:rPr>
              <w:t>Medium</w:t>
            </w:r>
          </w:p>
        </w:tc>
      </w:tr>
      <w:tr w14:paraId="730A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left w:val="nil"/>
              <w:right w:val="nil"/>
            </w:tcBorders>
            <w:vAlign w:val="top"/>
          </w:tcPr>
          <w:p w14:paraId="1E80393E">
            <w:pPr>
              <w:pStyle w:val="8"/>
              <w:spacing w:before="144" w:line="240" w:lineRule="auto"/>
              <w:rPr>
                <w:rFonts w:hint="default" w:ascii="Palatino Linotype" w:hAnsi="Palatino Linotype" w:cs="Palatino Linotype"/>
                <w:sz w:val="20"/>
                <w:szCs w:val="20"/>
                <w:vertAlign w:val="baseline"/>
                <w:lang w:val="en-US"/>
              </w:rPr>
            </w:pPr>
            <w:r>
              <w:rPr>
                <w:rFonts w:hint="default" w:ascii="Palatino Linotype" w:hAnsi="Palatino Linotype" w:cs="Palatino Linotype"/>
                <w:sz w:val="20"/>
                <w:szCs w:val="20"/>
                <w:vertAlign w:val="baseline"/>
                <w:lang w:val="en-US"/>
              </w:rPr>
              <w:t>3.</w:t>
            </w:r>
          </w:p>
        </w:tc>
        <w:tc>
          <w:tcPr>
            <w:tcW w:w="1992" w:type="dxa"/>
            <w:tcBorders>
              <w:left w:val="nil"/>
              <w:right w:val="nil"/>
            </w:tcBorders>
            <w:vAlign w:val="top"/>
          </w:tcPr>
          <w:p w14:paraId="27C9CBD8">
            <w:pPr>
              <w:pStyle w:val="8"/>
              <w:spacing w:before="144" w:line="240" w:lineRule="auto"/>
              <w:rPr>
                <w:rFonts w:hint="default" w:ascii="Palatino Linotype" w:hAnsi="Palatino Linotype" w:cs="Palatino Linotype"/>
                <w:sz w:val="20"/>
                <w:szCs w:val="20"/>
                <w:vertAlign w:val="baseline"/>
                <w:lang w:val="en-US"/>
              </w:rPr>
            </w:pPr>
            <w:r>
              <w:rPr>
                <w:rFonts w:hint="default" w:ascii="Palatino Linotype" w:hAnsi="Palatino Linotype" w:cs="Palatino Linotype"/>
                <w:sz w:val="20"/>
                <w:szCs w:val="20"/>
                <w:vertAlign w:val="baseline"/>
                <w:lang w:val="en-US"/>
              </w:rPr>
              <w:t>5C</w:t>
            </w:r>
          </w:p>
        </w:tc>
        <w:tc>
          <w:tcPr>
            <w:tcW w:w="1992" w:type="dxa"/>
            <w:tcBorders>
              <w:left w:val="nil"/>
              <w:right w:val="nil"/>
            </w:tcBorders>
            <w:vAlign w:val="top"/>
          </w:tcPr>
          <w:p w14:paraId="0B045431">
            <w:pPr>
              <w:pStyle w:val="8"/>
              <w:spacing w:before="144" w:line="240" w:lineRule="auto"/>
              <w:rPr>
                <w:rFonts w:hint="default" w:ascii="Palatino Linotype" w:hAnsi="Palatino Linotype" w:cs="Palatino Linotype"/>
                <w:sz w:val="20"/>
                <w:szCs w:val="20"/>
                <w:vertAlign w:val="baseline"/>
                <w:lang w:val="en-US"/>
              </w:rPr>
            </w:pPr>
            <w:r>
              <w:rPr>
                <w:rFonts w:hint="default" w:ascii="Palatino Linotype" w:hAnsi="Palatino Linotype" w:cs="Palatino Linotype"/>
                <w:sz w:val="20"/>
                <w:szCs w:val="20"/>
                <w:vertAlign w:val="baseline"/>
                <w:lang w:val="en-US"/>
              </w:rPr>
              <w:t>0,62</w:t>
            </w:r>
          </w:p>
        </w:tc>
        <w:tc>
          <w:tcPr>
            <w:tcW w:w="1888" w:type="dxa"/>
            <w:tcBorders>
              <w:left w:val="nil"/>
              <w:right w:val="nil"/>
            </w:tcBorders>
            <w:vAlign w:val="top"/>
          </w:tcPr>
          <w:p w14:paraId="496800BD">
            <w:pPr>
              <w:pStyle w:val="8"/>
              <w:spacing w:before="144" w:line="240" w:lineRule="auto"/>
              <w:rPr>
                <w:rFonts w:hint="default" w:ascii="Palatino Linotype" w:hAnsi="Palatino Linotype" w:cs="Palatino Linotype"/>
                <w:sz w:val="20"/>
                <w:szCs w:val="20"/>
                <w:vertAlign w:val="baseline"/>
                <w:lang w:val="en-US"/>
              </w:rPr>
            </w:pPr>
            <w:r>
              <w:rPr>
                <w:rFonts w:hint="default" w:ascii="Palatino Linotype" w:hAnsi="Palatino Linotype" w:cs="Palatino Linotype"/>
                <w:sz w:val="20"/>
                <w:szCs w:val="20"/>
                <w:vertAlign w:val="baseline"/>
                <w:lang w:val="en-US"/>
              </w:rPr>
              <w:t>Medium</w:t>
            </w:r>
          </w:p>
        </w:tc>
      </w:tr>
      <w:tr w14:paraId="7B99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gridSpan w:val="2"/>
            <w:tcBorders>
              <w:left w:val="nil"/>
              <w:bottom w:val="nil"/>
              <w:right w:val="nil"/>
            </w:tcBorders>
            <w:vAlign w:val="top"/>
          </w:tcPr>
          <w:p w14:paraId="0208A44E">
            <w:pPr>
              <w:pStyle w:val="8"/>
              <w:spacing w:before="144" w:line="240" w:lineRule="auto"/>
              <w:rPr>
                <w:rFonts w:hint="default" w:ascii="Palatino Linotype" w:hAnsi="Palatino Linotype" w:cs="Palatino Linotype"/>
                <w:sz w:val="20"/>
                <w:szCs w:val="20"/>
                <w:vertAlign w:val="baseline"/>
                <w:lang w:val="en-US"/>
              </w:rPr>
            </w:pPr>
            <w:r>
              <w:rPr>
                <w:rFonts w:hint="default" w:ascii="Palatino Linotype" w:hAnsi="Palatino Linotype" w:cs="Palatino Linotype"/>
                <w:sz w:val="20"/>
                <w:szCs w:val="20"/>
                <w:vertAlign w:val="baseline"/>
                <w:lang w:val="en-US"/>
              </w:rPr>
              <w:t>Average</w:t>
            </w:r>
          </w:p>
        </w:tc>
        <w:tc>
          <w:tcPr>
            <w:tcW w:w="1992" w:type="dxa"/>
            <w:tcBorders>
              <w:left w:val="nil"/>
              <w:bottom w:val="nil"/>
              <w:right w:val="nil"/>
            </w:tcBorders>
            <w:vAlign w:val="top"/>
          </w:tcPr>
          <w:p w14:paraId="2D120756">
            <w:pPr>
              <w:pStyle w:val="8"/>
              <w:spacing w:before="144" w:line="240" w:lineRule="auto"/>
              <w:rPr>
                <w:rFonts w:hint="default" w:ascii="Palatino Linotype" w:hAnsi="Palatino Linotype" w:cs="Palatino Linotype"/>
                <w:sz w:val="20"/>
                <w:szCs w:val="20"/>
                <w:vertAlign w:val="baseline"/>
                <w:lang w:val="en-US"/>
              </w:rPr>
            </w:pPr>
            <w:r>
              <w:rPr>
                <w:rFonts w:hint="default" w:ascii="Palatino Linotype" w:hAnsi="Palatino Linotype" w:cs="Palatino Linotype"/>
                <w:sz w:val="20"/>
                <w:szCs w:val="20"/>
                <w:vertAlign w:val="baseline"/>
                <w:lang w:val="en-US"/>
              </w:rPr>
              <w:t>0,597</w:t>
            </w:r>
          </w:p>
        </w:tc>
        <w:tc>
          <w:tcPr>
            <w:tcW w:w="1888" w:type="dxa"/>
            <w:tcBorders>
              <w:left w:val="nil"/>
              <w:bottom w:val="nil"/>
              <w:right w:val="nil"/>
            </w:tcBorders>
            <w:vAlign w:val="top"/>
          </w:tcPr>
          <w:p w14:paraId="651977FD">
            <w:pPr>
              <w:pStyle w:val="8"/>
              <w:spacing w:before="144" w:line="240" w:lineRule="auto"/>
              <w:rPr>
                <w:rFonts w:hint="default" w:ascii="Palatino Linotype" w:hAnsi="Palatino Linotype" w:cs="Palatino Linotype"/>
                <w:sz w:val="20"/>
                <w:szCs w:val="20"/>
                <w:vertAlign w:val="baseline"/>
                <w:lang w:val="en-US"/>
              </w:rPr>
            </w:pPr>
            <w:r>
              <w:rPr>
                <w:rFonts w:hint="default" w:ascii="Palatino Linotype" w:hAnsi="Palatino Linotype" w:cs="Palatino Linotype"/>
                <w:sz w:val="20"/>
                <w:szCs w:val="20"/>
                <w:vertAlign w:val="baseline"/>
                <w:lang w:val="en-US"/>
              </w:rPr>
              <w:t>Medium</w:t>
            </w:r>
          </w:p>
        </w:tc>
      </w:tr>
    </w:tbl>
    <w:p w14:paraId="61E2C608">
      <w:pPr>
        <w:pStyle w:val="8"/>
        <w:spacing w:before="60" w:line="240" w:lineRule="auto"/>
        <w:ind w:left="116" w:firstLine="428"/>
        <w:rPr>
          <w:rFonts w:hint="default" w:ascii="Palatino Linotype" w:hAnsi="Palatino Linotype" w:cs="Palatino Linotype"/>
          <w:lang w:val="en-US"/>
        </w:rPr>
      </w:pPr>
    </w:p>
    <w:p w14:paraId="4DB6E56F">
      <w:pPr>
        <w:pStyle w:val="8"/>
        <w:spacing w:before="60" w:line="240" w:lineRule="auto"/>
        <w:ind w:left="116" w:firstLine="428"/>
        <w:rPr>
          <w:rFonts w:hint="default" w:ascii="Palatino Linotype" w:hAnsi="Palatino Linotype" w:cs="Palatino Linotype"/>
          <w:lang w:val="en-US"/>
        </w:rPr>
      </w:pPr>
    </w:p>
    <w:p w14:paraId="272BA160">
      <w:pPr>
        <w:pStyle w:val="8"/>
        <w:spacing w:before="60" w:line="240" w:lineRule="auto"/>
        <w:ind w:left="116" w:firstLine="428"/>
        <w:rPr>
          <w:rFonts w:hint="default" w:ascii="Palatino Linotype" w:hAnsi="Palatino Linotype" w:cs="Palatino Linotype"/>
        </w:rPr>
      </w:pPr>
    </w:p>
    <w:p w14:paraId="178F3315">
      <w:pPr>
        <w:pStyle w:val="8"/>
        <w:spacing w:before="192" w:line="240" w:lineRule="auto"/>
        <w:rPr>
          <w:rFonts w:hint="default" w:ascii="Palatino Linotype" w:hAnsi="Palatino Linotype" w:cs="Palatino Linotype"/>
          <w:sz w:val="22"/>
        </w:rPr>
      </w:pPr>
    </w:p>
    <w:p w14:paraId="005563B1">
      <w:pPr>
        <w:pStyle w:val="8"/>
        <w:spacing w:before="60" w:line="240" w:lineRule="auto"/>
        <w:jc w:val="both"/>
        <w:rPr>
          <w:rFonts w:hint="default" w:ascii="Palatino Linotype" w:hAnsi="Palatino Linotype" w:cs="Palatino Linotype"/>
          <w:lang w:val="en-US"/>
        </w:rPr>
      </w:pPr>
    </w:p>
    <w:p w14:paraId="0B0A3BD6">
      <w:pPr>
        <w:pStyle w:val="33"/>
        <w:rPr>
          <w:rFonts w:hint="default"/>
          <w:lang w:val="en-US"/>
        </w:rPr>
      </w:pPr>
    </w:p>
    <w:p w14:paraId="6B66E4D2">
      <w:pPr>
        <w:pStyle w:val="33"/>
        <w:rPr>
          <w:rFonts w:hint="default"/>
          <w:lang w:val="en-US"/>
        </w:rPr>
      </w:pPr>
      <w:r>
        <w:rPr>
          <w:rFonts w:hint="default"/>
          <w:lang w:val="en-US"/>
        </w:rPr>
        <w:t xml:space="preserve">After the evaluation was completed, students were given a response questionnaire. The students filled out the response instrument provided. Based on the calculations, which were then converted using the conversion table, the student response questionnaire results showed scores of 89% for class 5A, 90% for class 5B, and 87% for class 5C. These results indicate that, according to the students, the e-module is highly feasible.. </w:t>
      </w:r>
    </w:p>
    <w:p w14:paraId="21000773">
      <w:pPr>
        <w:pStyle w:val="8"/>
        <w:spacing w:before="144" w:line="357" w:lineRule="auto"/>
        <w:ind w:left="116" w:firstLine="428"/>
        <w:jc w:val="center"/>
        <w:rPr>
          <w:rFonts w:hint="default"/>
          <w:sz w:val="20"/>
          <w:szCs w:val="20"/>
          <w:lang w:val="en-US"/>
        </w:rPr>
      </w:pPr>
      <w:r>
        <w:rPr>
          <w:rFonts w:hint="default" w:ascii="Palatino Linotype" w:hAnsi="Palatino Linotype"/>
          <w:sz w:val="20"/>
          <w:szCs w:val="20"/>
          <w:lang w:val="en-US"/>
        </w:rPr>
        <w:t xml:space="preserve">Table </w:t>
      </w:r>
      <w:r>
        <w:rPr>
          <w:rFonts w:hint="default"/>
          <w:sz w:val="20"/>
          <w:szCs w:val="20"/>
          <w:lang w:val="en-US"/>
        </w:rPr>
        <w:t>3. Data on Student Response Questionnaire Results</w:t>
      </w:r>
    </w:p>
    <w:tbl>
      <w:tblPr>
        <w:tblStyle w:val="23"/>
        <w:tblpPr w:leftFromText="180" w:rightFromText="180" w:vertAnchor="text" w:horzAnchor="page"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1992"/>
        <w:gridCol w:w="2677"/>
        <w:gridCol w:w="2409"/>
      </w:tblGrid>
      <w:tr w14:paraId="658E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left w:val="nil"/>
              <w:right w:val="nil"/>
            </w:tcBorders>
            <w:vAlign w:val="top"/>
          </w:tcPr>
          <w:p w14:paraId="3292E920">
            <w:pPr>
              <w:pStyle w:val="8"/>
              <w:spacing w:before="144" w:line="240" w:lineRule="auto"/>
              <w:rPr>
                <w:rFonts w:hint="default" w:ascii="Palatino Linotype" w:hAnsi="Palatino Linotype" w:cs="Palatino Linotype"/>
                <w:b/>
                <w:bCs/>
                <w:sz w:val="20"/>
                <w:szCs w:val="20"/>
                <w:vertAlign w:val="baseline"/>
                <w:lang w:val="en-US"/>
              </w:rPr>
            </w:pPr>
            <w:r>
              <w:rPr>
                <w:rFonts w:hint="default" w:ascii="Palatino Linotype" w:hAnsi="Palatino Linotype" w:cs="Palatino Linotype"/>
                <w:b/>
                <w:bCs/>
                <w:sz w:val="20"/>
                <w:szCs w:val="20"/>
                <w:vertAlign w:val="baseline"/>
                <w:lang w:val="en-US"/>
              </w:rPr>
              <w:t>No.</w:t>
            </w:r>
          </w:p>
        </w:tc>
        <w:tc>
          <w:tcPr>
            <w:tcW w:w="1992" w:type="dxa"/>
            <w:tcBorders>
              <w:left w:val="nil"/>
              <w:right w:val="nil"/>
            </w:tcBorders>
            <w:vAlign w:val="top"/>
          </w:tcPr>
          <w:p w14:paraId="08B88056">
            <w:pPr>
              <w:pStyle w:val="8"/>
              <w:spacing w:before="144" w:line="240" w:lineRule="auto"/>
              <w:rPr>
                <w:rFonts w:hint="default" w:ascii="Palatino Linotype" w:hAnsi="Palatino Linotype" w:cs="Palatino Linotype"/>
                <w:b/>
                <w:bCs/>
                <w:sz w:val="20"/>
                <w:szCs w:val="20"/>
                <w:vertAlign w:val="baseline"/>
                <w:lang w:val="en-US"/>
              </w:rPr>
            </w:pPr>
            <w:r>
              <w:rPr>
                <w:rFonts w:hint="default" w:ascii="Palatino Linotype" w:hAnsi="Palatino Linotype" w:cs="Palatino Linotype"/>
                <w:b/>
                <w:bCs/>
                <w:sz w:val="20"/>
                <w:szCs w:val="20"/>
                <w:vertAlign w:val="baseline"/>
                <w:lang w:val="en-US"/>
              </w:rPr>
              <w:t>Class</w:t>
            </w:r>
          </w:p>
        </w:tc>
        <w:tc>
          <w:tcPr>
            <w:tcW w:w="2677" w:type="dxa"/>
            <w:tcBorders>
              <w:left w:val="nil"/>
              <w:right w:val="nil"/>
            </w:tcBorders>
            <w:vAlign w:val="top"/>
          </w:tcPr>
          <w:p w14:paraId="59631755">
            <w:pPr>
              <w:pStyle w:val="8"/>
              <w:spacing w:before="144" w:line="240" w:lineRule="auto"/>
              <w:rPr>
                <w:rFonts w:hint="default" w:ascii="Palatino Linotype" w:hAnsi="Palatino Linotype" w:cs="Palatino Linotype"/>
                <w:b/>
                <w:bCs/>
                <w:sz w:val="20"/>
                <w:szCs w:val="20"/>
                <w:vertAlign w:val="baseline"/>
                <w:lang w:val="en-US"/>
              </w:rPr>
            </w:pPr>
            <w:r>
              <w:rPr>
                <w:rFonts w:hint="default" w:ascii="Palatino Linotype" w:hAnsi="Palatino Linotype"/>
                <w:b/>
                <w:bCs/>
                <w:sz w:val="20"/>
                <w:szCs w:val="20"/>
                <w:vertAlign w:val="baseline"/>
                <w:lang w:val="en-US"/>
              </w:rPr>
              <w:t>Response Questionnaire</w:t>
            </w:r>
          </w:p>
        </w:tc>
        <w:tc>
          <w:tcPr>
            <w:tcW w:w="2409" w:type="dxa"/>
            <w:tcBorders>
              <w:left w:val="nil"/>
              <w:right w:val="nil"/>
            </w:tcBorders>
            <w:vAlign w:val="top"/>
          </w:tcPr>
          <w:p w14:paraId="4A3F5421">
            <w:pPr>
              <w:pStyle w:val="8"/>
              <w:spacing w:before="144" w:line="240" w:lineRule="auto"/>
              <w:rPr>
                <w:rFonts w:hint="default" w:ascii="Palatino Linotype" w:hAnsi="Palatino Linotype" w:cs="Palatino Linotype"/>
                <w:b/>
                <w:bCs/>
                <w:sz w:val="20"/>
                <w:szCs w:val="20"/>
                <w:vertAlign w:val="baseline"/>
                <w:lang w:val="en-US"/>
              </w:rPr>
            </w:pPr>
            <w:r>
              <w:rPr>
                <w:rFonts w:hint="default" w:ascii="Palatino Linotype" w:hAnsi="Palatino Linotype" w:cs="Palatino Linotype"/>
                <w:b/>
                <w:bCs/>
                <w:sz w:val="20"/>
                <w:szCs w:val="20"/>
                <w:vertAlign w:val="baseline"/>
                <w:lang w:val="en-US"/>
              </w:rPr>
              <w:t>Kategori</w:t>
            </w:r>
          </w:p>
        </w:tc>
      </w:tr>
      <w:tr w14:paraId="6A20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left w:val="nil"/>
              <w:right w:val="nil"/>
            </w:tcBorders>
            <w:vAlign w:val="top"/>
          </w:tcPr>
          <w:p w14:paraId="4392AD98">
            <w:pPr>
              <w:pStyle w:val="8"/>
              <w:spacing w:before="144" w:line="240" w:lineRule="auto"/>
              <w:rPr>
                <w:rFonts w:hint="default" w:ascii="Palatino Linotype" w:hAnsi="Palatino Linotype" w:cs="Palatino Linotype"/>
                <w:sz w:val="20"/>
                <w:szCs w:val="20"/>
                <w:vertAlign w:val="baseline"/>
                <w:lang w:val="en-US"/>
              </w:rPr>
            </w:pPr>
            <w:r>
              <w:rPr>
                <w:rFonts w:hint="default" w:ascii="Palatino Linotype" w:hAnsi="Palatino Linotype" w:cs="Palatino Linotype"/>
                <w:sz w:val="20"/>
                <w:szCs w:val="20"/>
                <w:vertAlign w:val="baseline"/>
                <w:lang w:val="en-US"/>
              </w:rPr>
              <w:t>1.</w:t>
            </w:r>
          </w:p>
        </w:tc>
        <w:tc>
          <w:tcPr>
            <w:tcW w:w="1992" w:type="dxa"/>
            <w:tcBorders>
              <w:left w:val="nil"/>
              <w:right w:val="nil"/>
            </w:tcBorders>
            <w:vAlign w:val="top"/>
          </w:tcPr>
          <w:p w14:paraId="3865AC47">
            <w:pPr>
              <w:pStyle w:val="8"/>
              <w:spacing w:before="144" w:line="240" w:lineRule="auto"/>
              <w:rPr>
                <w:rFonts w:hint="default" w:ascii="Palatino Linotype" w:hAnsi="Palatino Linotype" w:cs="Palatino Linotype"/>
                <w:sz w:val="20"/>
                <w:szCs w:val="20"/>
                <w:vertAlign w:val="baseline"/>
                <w:lang w:val="en-US"/>
              </w:rPr>
            </w:pPr>
            <w:r>
              <w:rPr>
                <w:rFonts w:hint="default" w:ascii="Palatino Linotype" w:hAnsi="Palatino Linotype" w:cs="Palatino Linotype"/>
                <w:sz w:val="20"/>
                <w:szCs w:val="20"/>
                <w:vertAlign w:val="baseline"/>
                <w:lang w:val="en-US"/>
              </w:rPr>
              <w:t>5A</w:t>
            </w:r>
          </w:p>
        </w:tc>
        <w:tc>
          <w:tcPr>
            <w:tcW w:w="2677" w:type="dxa"/>
            <w:tcBorders>
              <w:left w:val="nil"/>
              <w:right w:val="nil"/>
            </w:tcBorders>
            <w:vAlign w:val="top"/>
          </w:tcPr>
          <w:p w14:paraId="5C300EEF">
            <w:pPr>
              <w:pStyle w:val="8"/>
              <w:spacing w:before="144" w:line="240" w:lineRule="auto"/>
              <w:rPr>
                <w:rFonts w:hint="default" w:ascii="Palatino Linotype" w:hAnsi="Palatino Linotype" w:cs="Palatino Linotype"/>
                <w:sz w:val="20"/>
                <w:szCs w:val="20"/>
                <w:vertAlign w:val="baseline"/>
                <w:lang w:val="en-US"/>
              </w:rPr>
            </w:pPr>
            <w:r>
              <w:rPr>
                <w:rFonts w:hint="default" w:ascii="Palatino Linotype" w:hAnsi="Palatino Linotype" w:cs="Palatino Linotype"/>
                <w:sz w:val="20"/>
                <w:szCs w:val="20"/>
                <w:vertAlign w:val="baseline"/>
                <w:lang w:val="en-US"/>
              </w:rPr>
              <w:t>89%</w:t>
            </w:r>
          </w:p>
        </w:tc>
        <w:tc>
          <w:tcPr>
            <w:tcW w:w="2409" w:type="dxa"/>
            <w:tcBorders>
              <w:left w:val="nil"/>
              <w:right w:val="nil"/>
            </w:tcBorders>
            <w:vAlign w:val="top"/>
          </w:tcPr>
          <w:p w14:paraId="677609AB">
            <w:pPr>
              <w:pStyle w:val="8"/>
              <w:spacing w:before="144" w:line="240" w:lineRule="auto"/>
              <w:rPr>
                <w:rFonts w:hint="default" w:ascii="Palatino Linotype" w:hAnsi="Palatino Linotype" w:cs="Palatino Linotype"/>
                <w:sz w:val="20"/>
                <w:szCs w:val="20"/>
                <w:vertAlign w:val="baseline"/>
                <w:lang w:val="en-US"/>
              </w:rPr>
            </w:pPr>
            <w:r>
              <w:rPr>
                <w:rFonts w:hint="default" w:ascii="Palatino Linotype" w:hAnsi="Palatino Linotype"/>
                <w:sz w:val="20"/>
                <w:szCs w:val="20"/>
                <w:vertAlign w:val="baseline"/>
                <w:lang w:val="en-US"/>
              </w:rPr>
              <w:t>Highly Feasible</w:t>
            </w:r>
          </w:p>
        </w:tc>
      </w:tr>
      <w:tr w14:paraId="00E7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left w:val="nil"/>
              <w:right w:val="nil"/>
            </w:tcBorders>
            <w:vAlign w:val="top"/>
          </w:tcPr>
          <w:p w14:paraId="2AA32962">
            <w:pPr>
              <w:pStyle w:val="8"/>
              <w:spacing w:before="144" w:line="240" w:lineRule="auto"/>
              <w:rPr>
                <w:rFonts w:hint="default" w:ascii="Palatino Linotype" w:hAnsi="Palatino Linotype" w:cs="Palatino Linotype"/>
                <w:sz w:val="20"/>
                <w:szCs w:val="20"/>
                <w:vertAlign w:val="baseline"/>
                <w:lang w:val="en-US"/>
              </w:rPr>
            </w:pPr>
            <w:r>
              <w:rPr>
                <w:rFonts w:hint="default" w:ascii="Palatino Linotype" w:hAnsi="Palatino Linotype" w:cs="Palatino Linotype"/>
                <w:sz w:val="20"/>
                <w:szCs w:val="20"/>
                <w:vertAlign w:val="baseline"/>
                <w:lang w:val="en-US"/>
              </w:rPr>
              <w:t>2.</w:t>
            </w:r>
          </w:p>
        </w:tc>
        <w:tc>
          <w:tcPr>
            <w:tcW w:w="1992" w:type="dxa"/>
            <w:tcBorders>
              <w:left w:val="nil"/>
              <w:right w:val="nil"/>
            </w:tcBorders>
            <w:vAlign w:val="top"/>
          </w:tcPr>
          <w:p w14:paraId="78E416B1">
            <w:pPr>
              <w:pStyle w:val="8"/>
              <w:spacing w:before="144" w:line="240" w:lineRule="auto"/>
              <w:rPr>
                <w:rFonts w:hint="default" w:ascii="Palatino Linotype" w:hAnsi="Palatino Linotype" w:cs="Palatino Linotype"/>
                <w:sz w:val="20"/>
                <w:szCs w:val="20"/>
                <w:vertAlign w:val="baseline"/>
                <w:lang w:val="en-US"/>
              </w:rPr>
            </w:pPr>
            <w:r>
              <w:rPr>
                <w:rFonts w:hint="default" w:ascii="Palatino Linotype" w:hAnsi="Palatino Linotype" w:cs="Palatino Linotype"/>
                <w:sz w:val="20"/>
                <w:szCs w:val="20"/>
                <w:vertAlign w:val="baseline"/>
                <w:lang w:val="en-US"/>
              </w:rPr>
              <w:t>5B</w:t>
            </w:r>
          </w:p>
        </w:tc>
        <w:tc>
          <w:tcPr>
            <w:tcW w:w="2677" w:type="dxa"/>
            <w:tcBorders>
              <w:left w:val="nil"/>
              <w:right w:val="nil"/>
            </w:tcBorders>
            <w:vAlign w:val="top"/>
          </w:tcPr>
          <w:p w14:paraId="11E472AE">
            <w:pPr>
              <w:pStyle w:val="8"/>
              <w:spacing w:before="144" w:line="240" w:lineRule="auto"/>
              <w:rPr>
                <w:rFonts w:hint="default" w:ascii="Palatino Linotype" w:hAnsi="Palatino Linotype" w:cs="Palatino Linotype"/>
                <w:sz w:val="20"/>
                <w:szCs w:val="20"/>
                <w:vertAlign w:val="baseline"/>
                <w:lang w:val="en-US"/>
              </w:rPr>
            </w:pPr>
            <w:r>
              <w:rPr>
                <w:rFonts w:hint="default" w:ascii="Palatino Linotype" w:hAnsi="Palatino Linotype" w:cs="Palatino Linotype"/>
                <w:sz w:val="20"/>
                <w:szCs w:val="20"/>
                <w:vertAlign w:val="baseline"/>
                <w:lang w:val="en-US"/>
              </w:rPr>
              <w:t>90%</w:t>
            </w:r>
          </w:p>
        </w:tc>
        <w:tc>
          <w:tcPr>
            <w:tcW w:w="2409" w:type="dxa"/>
            <w:tcBorders>
              <w:left w:val="nil"/>
              <w:right w:val="nil"/>
            </w:tcBorders>
            <w:vAlign w:val="top"/>
          </w:tcPr>
          <w:p w14:paraId="7FE7F8FF">
            <w:pPr>
              <w:pStyle w:val="8"/>
              <w:spacing w:before="144" w:line="240" w:lineRule="auto"/>
              <w:rPr>
                <w:rFonts w:hint="default" w:ascii="Palatino Linotype" w:hAnsi="Palatino Linotype" w:cs="Palatino Linotype"/>
                <w:sz w:val="20"/>
                <w:szCs w:val="20"/>
                <w:vertAlign w:val="baseline"/>
                <w:lang w:val="en-US"/>
              </w:rPr>
            </w:pPr>
            <w:r>
              <w:rPr>
                <w:rFonts w:hint="default" w:ascii="Palatino Linotype" w:hAnsi="Palatino Linotype"/>
                <w:sz w:val="20"/>
                <w:szCs w:val="20"/>
                <w:vertAlign w:val="baseline"/>
                <w:lang w:val="en-US"/>
              </w:rPr>
              <w:t>Highly Feasible</w:t>
            </w:r>
          </w:p>
        </w:tc>
      </w:tr>
      <w:tr w14:paraId="065D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left w:val="nil"/>
              <w:right w:val="nil"/>
            </w:tcBorders>
            <w:vAlign w:val="top"/>
          </w:tcPr>
          <w:p w14:paraId="0DBB80B4">
            <w:pPr>
              <w:pStyle w:val="8"/>
              <w:spacing w:before="144" w:line="240" w:lineRule="auto"/>
              <w:rPr>
                <w:rFonts w:hint="default" w:ascii="Palatino Linotype" w:hAnsi="Palatino Linotype" w:cs="Palatino Linotype"/>
                <w:sz w:val="20"/>
                <w:szCs w:val="20"/>
                <w:vertAlign w:val="baseline"/>
                <w:lang w:val="en-US"/>
              </w:rPr>
            </w:pPr>
            <w:r>
              <w:rPr>
                <w:rFonts w:hint="default" w:ascii="Palatino Linotype" w:hAnsi="Palatino Linotype" w:cs="Palatino Linotype"/>
                <w:sz w:val="20"/>
                <w:szCs w:val="20"/>
                <w:vertAlign w:val="baseline"/>
                <w:lang w:val="en-US"/>
              </w:rPr>
              <w:t>3.</w:t>
            </w:r>
          </w:p>
        </w:tc>
        <w:tc>
          <w:tcPr>
            <w:tcW w:w="1992" w:type="dxa"/>
            <w:tcBorders>
              <w:left w:val="nil"/>
              <w:right w:val="nil"/>
            </w:tcBorders>
            <w:vAlign w:val="top"/>
          </w:tcPr>
          <w:p w14:paraId="4ECA686E">
            <w:pPr>
              <w:pStyle w:val="8"/>
              <w:spacing w:before="144" w:line="240" w:lineRule="auto"/>
              <w:rPr>
                <w:rFonts w:hint="default" w:ascii="Palatino Linotype" w:hAnsi="Palatino Linotype" w:cs="Palatino Linotype"/>
                <w:sz w:val="20"/>
                <w:szCs w:val="20"/>
                <w:vertAlign w:val="baseline"/>
                <w:lang w:val="en-US"/>
              </w:rPr>
            </w:pPr>
            <w:r>
              <w:rPr>
                <w:rFonts w:hint="default" w:ascii="Palatino Linotype" w:hAnsi="Palatino Linotype" w:cs="Palatino Linotype"/>
                <w:sz w:val="20"/>
                <w:szCs w:val="20"/>
                <w:vertAlign w:val="baseline"/>
                <w:lang w:val="en-US"/>
              </w:rPr>
              <w:t>5C</w:t>
            </w:r>
          </w:p>
        </w:tc>
        <w:tc>
          <w:tcPr>
            <w:tcW w:w="2677" w:type="dxa"/>
            <w:tcBorders>
              <w:left w:val="nil"/>
              <w:right w:val="nil"/>
            </w:tcBorders>
            <w:vAlign w:val="top"/>
          </w:tcPr>
          <w:p w14:paraId="0D209862">
            <w:pPr>
              <w:pStyle w:val="8"/>
              <w:spacing w:before="144" w:line="240" w:lineRule="auto"/>
              <w:rPr>
                <w:rFonts w:hint="default" w:ascii="Palatino Linotype" w:hAnsi="Palatino Linotype" w:cs="Palatino Linotype"/>
                <w:sz w:val="20"/>
                <w:szCs w:val="20"/>
                <w:vertAlign w:val="baseline"/>
                <w:lang w:val="en-US"/>
              </w:rPr>
            </w:pPr>
            <w:r>
              <w:rPr>
                <w:rFonts w:hint="default" w:ascii="Palatino Linotype" w:hAnsi="Palatino Linotype" w:cs="Palatino Linotype"/>
                <w:sz w:val="20"/>
                <w:szCs w:val="20"/>
                <w:vertAlign w:val="baseline"/>
                <w:lang w:val="en-US"/>
              </w:rPr>
              <w:t>87%</w:t>
            </w:r>
          </w:p>
        </w:tc>
        <w:tc>
          <w:tcPr>
            <w:tcW w:w="2409" w:type="dxa"/>
            <w:tcBorders>
              <w:left w:val="nil"/>
              <w:right w:val="nil"/>
            </w:tcBorders>
            <w:vAlign w:val="top"/>
          </w:tcPr>
          <w:p w14:paraId="49BA7545">
            <w:pPr>
              <w:pStyle w:val="8"/>
              <w:spacing w:before="144" w:line="240" w:lineRule="auto"/>
              <w:rPr>
                <w:rFonts w:hint="default" w:ascii="Palatino Linotype" w:hAnsi="Palatino Linotype" w:cs="Palatino Linotype"/>
                <w:sz w:val="20"/>
                <w:szCs w:val="20"/>
                <w:vertAlign w:val="baseline"/>
                <w:lang w:val="en-US"/>
              </w:rPr>
            </w:pPr>
            <w:r>
              <w:rPr>
                <w:rFonts w:hint="default" w:ascii="Palatino Linotype" w:hAnsi="Palatino Linotype"/>
                <w:sz w:val="20"/>
                <w:szCs w:val="20"/>
                <w:vertAlign w:val="baseline"/>
                <w:lang w:val="en-US"/>
              </w:rPr>
              <w:t>Highly Feasible</w:t>
            </w:r>
          </w:p>
        </w:tc>
      </w:tr>
      <w:tr w14:paraId="19FCE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gridSpan w:val="2"/>
            <w:tcBorders>
              <w:left w:val="nil"/>
              <w:bottom w:val="nil"/>
              <w:right w:val="nil"/>
            </w:tcBorders>
            <w:vAlign w:val="top"/>
          </w:tcPr>
          <w:p w14:paraId="37B22F9D">
            <w:pPr>
              <w:pStyle w:val="8"/>
              <w:spacing w:before="144" w:line="240" w:lineRule="auto"/>
              <w:rPr>
                <w:rFonts w:hint="default" w:ascii="Palatino Linotype" w:hAnsi="Palatino Linotype" w:cs="Palatino Linotype"/>
                <w:sz w:val="20"/>
                <w:szCs w:val="20"/>
                <w:vertAlign w:val="baseline"/>
                <w:lang w:val="en-US"/>
              </w:rPr>
            </w:pPr>
            <w:r>
              <w:rPr>
                <w:rFonts w:hint="default" w:ascii="Palatino Linotype" w:hAnsi="Palatino Linotype" w:cs="Palatino Linotype"/>
                <w:sz w:val="20"/>
                <w:szCs w:val="20"/>
                <w:vertAlign w:val="baseline"/>
                <w:lang w:val="en-US"/>
              </w:rPr>
              <w:t>Average</w:t>
            </w:r>
          </w:p>
        </w:tc>
        <w:tc>
          <w:tcPr>
            <w:tcW w:w="2677" w:type="dxa"/>
            <w:tcBorders>
              <w:left w:val="nil"/>
              <w:bottom w:val="nil"/>
              <w:right w:val="nil"/>
            </w:tcBorders>
            <w:vAlign w:val="top"/>
          </w:tcPr>
          <w:p w14:paraId="3A6FD7ED">
            <w:pPr>
              <w:pStyle w:val="8"/>
              <w:spacing w:before="144" w:line="240" w:lineRule="auto"/>
              <w:rPr>
                <w:rFonts w:hint="default" w:ascii="Palatino Linotype" w:hAnsi="Palatino Linotype" w:cs="Palatino Linotype"/>
                <w:sz w:val="20"/>
                <w:szCs w:val="20"/>
                <w:vertAlign w:val="baseline"/>
                <w:lang w:val="en-US"/>
              </w:rPr>
            </w:pPr>
            <w:r>
              <w:rPr>
                <w:rFonts w:hint="default" w:ascii="Palatino Linotype" w:hAnsi="Palatino Linotype" w:cs="Palatino Linotype"/>
                <w:sz w:val="20"/>
                <w:szCs w:val="20"/>
                <w:vertAlign w:val="baseline"/>
                <w:lang w:val="en-US"/>
              </w:rPr>
              <w:t>88,6%</w:t>
            </w:r>
          </w:p>
        </w:tc>
        <w:tc>
          <w:tcPr>
            <w:tcW w:w="2409" w:type="dxa"/>
            <w:tcBorders>
              <w:left w:val="nil"/>
              <w:bottom w:val="nil"/>
              <w:right w:val="nil"/>
            </w:tcBorders>
            <w:vAlign w:val="top"/>
          </w:tcPr>
          <w:p w14:paraId="6814BED9">
            <w:pPr>
              <w:pStyle w:val="8"/>
              <w:spacing w:before="144" w:line="240" w:lineRule="auto"/>
              <w:rPr>
                <w:rFonts w:hint="default" w:ascii="Palatino Linotype" w:hAnsi="Palatino Linotype" w:cs="Palatino Linotype"/>
                <w:sz w:val="20"/>
                <w:szCs w:val="20"/>
                <w:vertAlign w:val="baseline"/>
                <w:lang w:val="en-US"/>
              </w:rPr>
            </w:pPr>
            <w:r>
              <w:rPr>
                <w:rFonts w:hint="default" w:ascii="Palatino Linotype" w:hAnsi="Palatino Linotype"/>
                <w:sz w:val="20"/>
                <w:szCs w:val="20"/>
                <w:vertAlign w:val="baseline"/>
                <w:lang w:val="en-US"/>
              </w:rPr>
              <w:t>Highly Feasible</w:t>
            </w:r>
          </w:p>
        </w:tc>
      </w:tr>
    </w:tbl>
    <w:p w14:paraId="351038AA">
      <w:pPr>
        <w:pStyle w:val="33"/>
        <w:rPr>
          <w:rFonts w:hint="default"/>
        </w:rPr>
      </w:pPr>
    </w:p>
    <w:p w14:paraId="47E903E8">
      <w:pPr>
        <w:pStyle w:val="33"/>
        <w:rPr>
          <w:rFonts w:hint="default"/>
        </w:rPr>
      </w:pPr>
    </w:p>
    <w:p w14:paraId="2F857BF8">
      <w:pPr>
        <w:pStyle w:val="33"/>
        <w:rPr>
          <w:rFonts w:hint="default"/>
        </w:rPr>
      </w:pPr>
    </w:p>
    <w:p w14:paraId="6C558D6C">
      <w:pPr>
        <w:pStyle w:val="33"/>
        <w:rPr>
          <w:rFonts w:hint="default"/>
        </w:rPr>
      </w:pPr>
    </w:p>
    <w:p w14:paraId="3439D4C3">
      <w:pPr>
        <w:pStyle w:val="33"/>
        <w:rPr>
          <w:rFonts w:hint="default"/>
        </w:rPr>
      </w:pPr>
    </w:p>
    <w:p w14:paraId="2E109FDA">
      <w:pPr>
        <w:pStyle w:val="33"/>
        <w:rPr>
          <w:rFonts w:hint="default"/>
        </w:rPr>
      </w:pPr>
    </w:p>
    <w:p w14:paraId="3663E298">
      <w:pPr>
        <w:pStyle w:val="33"/>
        <w:rPr>
          <w:rFonts w:hint="default"/>
        </w:rPr>
      </w:pPr>
    </w:p>
    <w:p w14:paraId="1E4D87B4">
      <w:pPr>
        <w:pStyle w:val="33"/>
        <w:rPr>
          <w:rFonts w:hint="default"/>
        </w:rPr>
      </w:pPr>
    </w:p>
    <w:p w14:paraId="23E6198E">
      <w:pPr>
        <w:pStyle w:val="33"/>
        <w:rPr>
          <w:rFonts w:hint="default"/>
        </w:rPr>
      </w:pPr>
    </w:p>
    <w:p w14:paraId="3917218F">
      <w:pPr>
        <w:pStyle w:val="33"/>
        <w:rPr>
          <w:rFonts w:hint="default"/>
        </w:rPr>
      </w:pPr>
      <w:r>
        <w:rPr>
          <w:rFonts w:hint="default"/>
        </w:rPr>
        <w:t>In addition to the quantitative improvement, qualitative observations during the trial revealed a high level of student engagement. Students appeared enthusiastic and curious while exploring the features of the e-module, such as illustrative videos, interactive animations, and engaging practice exercises. Some students initially required guidance in using the digital devices, especially those who were not yet familiar with operating computers, but after brief instructions, they quickly adapted. By the second activity, most students were able to operate the e-module independently, navigate between pages, listen to explanatory narration, and confidently answer practice questions.</w:t>
      </w:r>
    </w:p>
    <w:p w14:paraId="27DCD1EF">
      <w:pPr>
        <w:pStyle w:val="33"/>
        <w:rPr>
          <w:rFonts w:hint="default"/>
        </w:rPr>
      </w:pPr>
      <w:r>
        <w:rPr>
          <w:rFonts w:hint="default"/>
        </w:rPr>
        <w:t>Students responded positively, particularly to the videos and contextual animations depicting environmentally friendly activities, such as sorting waste, conserving water, and avoiding electricity waste. For example, in one interactive activity, students were asked to select the correct answer in a story problem about energy conservation, and the majority successfully chose the right response after watching the video and listening to the audio explanation. Teachers also noted an improvement in students’ ability to recall the steps for solving fraction problems contextualized with daily activities, as observed during class discussions following the trial.</w:t>
      </w:r>
    </w:p>
    <w:p w14:paraId="36A30FDE">
      <w:pPr>
        <w:pStyle w:val="33"/>
        <w:rPr>
          <w:rFonts w:hint="default"/>
        </w:rPr>
      </w:pPr>
      <w:r>
        <w:rPr>
          <w:rFonts w:hint="default"/>
        </w:rPr>
        <w:t>These results indicate that the e-module not only facilitated students’ understanding of numeracy material but also encouraged active participation, which is a critical factor in elementary education. The integration of visual, auditory, and kinesthetic learning modes in the e-module helped bridge the gap between abstract mathematical concepts and concrete experiences, enabling students to grasp the material more deeply. These findings confirm the potential of the interactive Book Creator-based e-module as an effective learning medium to enhance students’ numeracy skills while simultaneously instilling awareness of green economy practices from an early age.</w:t>
      </w:r>
    </w:p>
    <w:p w14:paraId="19C74742">
      <w:pPr>
        <w:pStyle w:val="33"/>
        <w:ind w:left="0" w:leftChars="0" w:firstLine="0" w:firstLineChars="0"/>
        <w:rPr>
          <w:b/>
          <w:bCs/>
          <w:i/>
          <w:iCs/>
        </w:rPr>
      </w:pPr>
    </w:p>
    <w:p w14:paraId="7151EB50">
      <w:pPr>
        <w:pStyle w:val="33"/>
        <w:ind w:left="0" w:leftChars="0" w:firstLine="0" w:firstLineChars="0"/>
        <w:rPr>
          <w:b/>
          <w:bCs/>
          <w:i/>
          <w:iCs/>
        </w:rPr>
      </w:pPr>
      <w:r>
        <w:rPr>
          <w:b/>
          <w:bCs/>
          <w:i/>
          <w:iCs/>
        </w:rPr>
        <w:t>Discussion</w:t>
      </w:r>
    </w:p>
    <w:p w14:paraId="3F4D9BFC">
      <w:pPr>
        <w:pStyle w:val="33"/>
        <w:rPr>
          <w:rFonts w:hint="default"/>
        </w:rPr>
      </w:pPr>
    </w:p>
    <w:p w14:paraId="61833D94">
      <w:pPr>
        <w:pStyle w:val="33"/>
        <w:rPr>
          <w:rFonts w:hint="default"/>
        </w:rPr>
      </w:pPr>
      <w:r>
        <w:rPr>
          <w:rFonts w:hint="default"/>
        </w:rPr>
        <w:t>The findings of this study indicate that the interactive e-module based on Book Creator significantly improved students’ understanding of numeracy material, particularly on the topic of ordering fractions contextualized with green economy practices. This was evidenced by the observed effect of the e-module’s use, with an N-gain score of 0.597, which falls into the medium category. These results are consistent with the study by Mamolo (2022), which showed that mobile-based interactive digital media significantly enhances students’ engagement and understanding in mathematics learning. Other studies have also supported that learning designs integrating numeracy with sustainability education, such as those by Rico et al. (2021) and Caridade (2024), are effective in fostering early awareness of environmental issues through contextual learning activities. Moreover, innovatively designed digital media have been proven to support the achievement of 21st-century competencies by connecting numeracy literacy and sustainability awareness within a unified learning experience (Türkeli &amp; Schophuizen, 2019; Demidov et al., 2020). The combination of text, images, videos, and interactive elements in the e-module developed in this study provided an immersive and enjoyable learning experience, helping students connect fraction concepts to real-life practices such as energy conservation and waste management, while fostering early awareness of the importance of green economy practices.</w:t>
      </w:r>
    </w:p>
    <w:p w14:paraId="40C56425">
      <w:pPr>
        <w:pStyle w:val="33"/>
        <w:rPr>
          <w:rFonts w:hint="default"/>
        </w:rPr>
      </w:pPr>
      <w:r>
        <w:rPr>
          <w:rFonts w:hint="default"/>
        </w:rPr>
        <w:t>The findings of this study are also theoretically grounded in developmental psychology. The learning design was based on Piaget’s theory of cognitive development, particularly the characteristics of the preoperational stage (ages 2–7), where children learn most effectively through symbolic play, visual aids, and concrete examples (Piaget, 2018). By integrating visual illustrations, animations, and audio narration, the developed interactive e-module successfully translated abstract numeracy concepts related to green economy practices into concrete learning experiences appropriate to the students’ cognitive development stage, as supported by previous studies (Mamolo, 2022; Rico et al., 2021).</w:t>
      </w:r>
    </w:p>
    <w:p w14:paraId="186F388A">
      <w:pPr>
        <w:pStyle w:val="33"/>
        <w:rPr>
          <w:rFonts w:hint="default"/>
        </w:rPr>
      </w:pPr>
      <w:r>
        <w:rPr>
          <w:rFonts w:hint="default"/>
        </w:rPr>
        <w:t>Additionally, Vygotsky’s sociocultural theory emphasizes the importance of scaffolded learning and social interaction in knowledge construction (Vygotsky, 2019). This was reflected in the collaborative learning environment created during the e-module sessions, where teachers provided guidance and students engaged in discussions and joint problem-solving, reinforcing the social dimension of learning (Caridade, 2024; Demidov et al., 2020). Although parental involvement was still limited in this trial, the design of the interactive e-module has great potential for home-based learning, enabling parents to take a more active role in supporting the development of numeracy and awareness of sustainable practices.</w:t>
      </w:r>
    </w:p>
    <w:p w14:paraId="3892B0BF">
      <w:pPr>
        <w:pStyle w:val="33"/>
        <w:rPr>
          <w:rFonts w:hint="default"/>
        </w:rPr>
      </w:pPr>
      <w:r>
        <w:rPr>
          <w:rFonts w:hint="default"/>
        </w:rPr>
        <w:t>Despite the promising findings, this study has several limitations. The small sample size and implementation at only one elementary school limit the generalizability of the results. Future research should involve larger samples and more diverse schools to validate the broader applicability of the e-module (Sari et al., 2024). Additionally, the short intervention duration restricts conclusions about long-term retention of numeracy knowledge and awareness of green economy practices. Longitudinal studies are needed to ensure that these initial learning gains can be sustained over time.</w:t>
      </w:r>
    </w:p>
    <w:p w14:paraId="4847FC01">
      <w:pPr>
        <w:pStyle w:val="33"/>
        <w:rPr>
          <w:rFonts w:hint="default"/>
        </w:rPr>
      </w:pPr>
      <w:r>
        <w:rPr>
          <w:rFonts w:hint="default"/>
        </w:rPr>
        <w:t>Another limitation is that some students were unfamiliar with using digital media. Several participants required additional assistance to navigate the e-module interface, indicating the need for more intuitive design features or introductory tutorials for first-time users, as suggested in digital media research in elementary education (Febrianto et al., 2023). Future versions of the e-module should include simple initial guides or interactive audio tutorials to facilitate independent use, especially in schools with low technology integration.</w:t>
      </w:r>
    </w:p>
    <w:p w14:paraId="1A94C84E">
      <w:pPr>
        <w:pStyle w:val="33"/>
        <w:rPr>
          <w:rFonts w:hint="default"/>
        </w:rPr>
      </w:pPr>
      <w:r>
        <w:rPr>
          <w:rFonts w:hint="default"/>
        </w:rPr>
        <w:t>Despite these limitations, the positive learning outcomes and high student engagement observed during the trial indicate that this interactive e-module is a promising learning tool that can be widely implemented for environmentally conscious numeracy education in elementary schools. Its digital format allows for easy distribution, efficient content updates, and broader access, making it suitable for use both in the classroom and for reinforcement at home. The potential for involving parents also enhances the impact of this e-module, encouraging shared responsibility in nurturing sustainability awareness and numeracy skills from an early age.</w:t>
      </w:r>
    </w:p>
    <w:p w14:paraId="4446A708">
      <w:pPr>
        <w:pStyle w:val="33"/>
        <w:rPr>
          <w:rFonts w:hint="default"/>
          <w:lang w:val="en-US"/>
        </w:rPr>
      </w:pPr>
      <w:r>
        <w:rPr>
          <w:rFonts w:hint="default"/>
        </w:rPr>
        <w:t>In conclusion, this study makes an important contribution to developing empirical evidence supporting the integration of technology in elementary education, particularly in the context of education for sustainable development. The interactive e-module developed in this study not only improved numeracy understanding but also supported the development of essential skills and student confidence in facing environmental challenges. With further refinement and wider implementation, this tool has great potential to help shape a generation that is more environmentally aware and numerate from an early age.</w:t>
      </w:r>
    </w:p>
    <w:p w14:paraId="54E89FFB">
      <w:pPr>
        <w:pStyle w:val="35"/>
        <w:ind w:left="226" w:leftChars="0" w:hanging="226" w:firstLineChars="0"/>
        <w:rPr>
          <w:b/>
          <w:bCs w:val="0"/>
          <w:i/>
          <w:iCs/>
        </w:rPr>
      </w:pPr>
      <w:r>
        <w:rPr>
          <w:rFonts w:eastAsia="Arial"/>
          <w:b/>
          <w:bCs w:val="0"/>
          <w:i w:val="0"/>
          <w:iCs w:val="0"/>
        </w:rPr>
        <w:t>CONCLUSION</w:t>
      </w:r>
      <w:r>
        <w:rPr>
          <w:rFonts w:eastAsia="Arial"/>
          <w:b/>
          <w:bCs w:val="0"/>
          <w:i/>
          <w:iCs/>
        </w:rPr>
        <w:t xml:space="preserve"> </w:t>
      </w:r>
    </w:p>
    <w:p w14:paraId="0C6C4859">
      <w:pPr>
        <w:pStyle w:val="33"/>
        <w:rPr>
          <w:rFonts w:hint="default"/>
        </w:rPr>
      </w:pPr>
      <w:r>
        <w:rPr>
          <w:rFonts w:hint="default"/>
          <w:lang w:val="en-US"/>
        </w:rPr>
        <w:t>T</w:t>
      </w:r>
      <w:r>
        <w:rPr>
          <w:rFonts w:hint="default"/>
        </w:rPr>
        <w:t>his study demonstrated that the interactive e-module based on Book Creator significantly improved students’ numeracy understanding on the topic of ordering fractions integrated with green economy practices. This was evidenced by the observed effect of the e-module’s use, with an N-gain score of 0.597, which falls into the medium category. These findings are consistent with previous research supporting the effectiveness of interactive digital media in enhancing student engagement, motivation, and understanding in numeracy learning and sustainability education (Mamolo, 2022; Rico et al., 2021; Caridade, 2024; Colibaba &amp; Gheorghiu, 2025; Rogget et al., 2024). The e-module design, which combined text, images, videos, and interactive elements, effectively translated abstract numeracy concepts into concrete learning experiences appropriate for students’ cognitive development stages. This supports Piaget’s (2018) theory on the importance of concrete learning for elementary-aged children, as well as Vygotsky’s (2019) sociocultural theory emphasizing the role of teacher guidance and social interaction in building understanding (Linberg et al., 2025; Besser et al., 2024). Expert validation results showed the e-module achieved a feasibility score of 97.9%, categorized as “Highly Feasible” in terms of content, media, and language aspects. Observations also revealed high student engagement, with students becoming increasingly enthusiastic about learning through the interactive e-module. This was reinforced by student response questionnaire results, which averaged 88.6%, also categorized as “Highly Feasible.”</w:t>
      </w:r>
    </w:p>
    <w:p w14:paraId="476EE8B2">
      <w:pPr>
        <w:pStyle w:val="33"/>
        <w:rPr>
          <w:rFonts w:hint="default"/>
        </w:rPr>
      </w:pPr>
      <w:r>
        <w:rPr>
          <w:rFonts w:hint="default"/>
        </w:rPr>
        <w:t>Despite these positive outcomes, this study has several limitations, including the small sample size, short intervention duration, and limited initial student skills in using technology, as also reported in similar studies highlighting the need for improved interface design to make digital learning tools more intuitive for children (Besser et al., 2024; Linberg et al., 2025). Future research should involve larger samples, longer intervention periods, and the development of onboarding features that facilitate easier navigation for students to further enhance the effectiveness of this e-module. Overall, this interactive e-module shows strong potential as an effective learning medium to improve numeracy skills while fostering early awareness of green economy practices, supporting the achievement of education for sustainable development goals in elementary schools.</w:t>
      </w:r>
    </w:p>
    <w:p w14:paraId="22C3BA3F">
      <w:pPr>
        <w:pStyle w:val="33"/>
        <w:ind w:left="0" w:leftChars="0" w:firstLine="0" w:firstLineChars="0"/>
        <w:rPr>
          <w:rFonts w:hint="default"/>
        </w:rPr>
      </w:pPr>
    </w:p>
    <w:p w14:paraId="19A8989F">
      <w:pPr>
        <w:pStyle w:val="33"/>
        <w:ind w:left="0" w:leftChars="0" w:firstLine="0" w:firstLineChars="0"/>
        <w:rPr>
          <w:rFonts w:hint="default"/>
        </w:rPr>
      </w:pPr>
      <w:r>
        <w:rPr>
          <w:rFonts w:hint="default"/>
          <w:b/>
          <w:bCs/>
        </w:rPr>
        <w:t>Acknowledgments:</w:t>
      </w:r>
      <w:r>
        <w:rPr>
          <w:rFonts w:hint="default"/>
        </w:rPr>
        <w:t xml:space="preserve"> The authors express their deepest gratitude to Yayasan Pakuan Siliwangi and Universitas Pakuan for the financial support provided, which enabled the successful completion of this research. The authors also extend their appreciation to the administrative and technical staff at Universitas Pakuan for their assistance during the preparation and implementation of this study.</w:t>
      </w:r>
    </w:p>
    <w:p w14:paraId="43BCD8EE">
      <w:pPr>
        <w:pStyle w:val="33"/>
        <w:ind w:left="0" w:leftChars="0" w:firstLine="0" w:firstLineChars="0"/>
        <w:rPr>
          <w:rFonts w:hint="default"/>
        </w:rPr>
      </w:pPr>
    </w:p>
    <w:p w14:paraId="30EE5D01">
      <w:pPr>
        <w:pStyle w:val="33"/>
        <w:ind w:left="0" w:leftChars="0" w:firstLine="0" w:firstLineChars="0"/>
        <w:rPr>
          <w:rFonts w:hint="default"/>
        </w:rPr>
      </w:pPr>
      <w:r>
        <w:rPr>
          <w:rFonts w:hint="default"/>
          <w:b/>
          <w:bCs/>
        </w:rPr>
        <w:t>Conflicts of Interest:</w:t>
      </w:r>
      <w:r>
        <w:rPr>
          <w:rFonts w:hint="default"/>
        </w:rPr>
        <w:t xml:space="preserve"> The authors declare no conflicts of interest regarding this research. There are no personal circumstances or interests that could be perceived as unduly influencing the presentation or interpretation of the research results reported.</w:t>
      </w:r>
    </w:p>
    <w:p w14:paraId="4D916011">
      <w:pPr>
        <w:pStyle w:val="33"/>
        <w:ind w:left="0" w:leftChars="0" w:firstLine="0" w:firstLineChars="0"/>
        <w:rPr>
          <w:rFonts w:hint="default"/>
        </w:rPr>
      </w:pPr>
    </w:p>
    <w:p w14:paraId="2C7B18CB">
      <w:pPr>
        <w:pStyle w:val="33"/>
        <w:ind w:left="0" w:leftChars="0" w:firstLine="0" w:firstLineChars="0"/>
        <w:rPr>
          <w:rFonts w:eastAsia="Arial"/>
        </w:rPr>
      </w:pPr>
    </w:p>
    <w:p w14:paraId="16D64797">
      <w:pPr>
        <w:pStyle w:val="35"/>
        <w:numPr>
          <w:ilvl w:val="0"/>
          <w:numId w:val="0"/>
        </w:numPr>
        <w:rPr>
          <w:b w:val="0"/>
          <w:bCs w:val="0"/>
        </w:rPr>
      </w:pPr>
      <w:r>
        <w:rPr>
          <w:rFonts w:eastAsia="Arial"/>
        </w:rPr>
        <w:t>REFERENCES</w:t>
      </w:r>
      <w:r>
        <w:rPr>
          <w:rFonts w:asciiTheme="minorHAnsi" w:hAnsiTheme="minorHAnsi" w:cstheme="minorBidi"/>
          <w:b w:val="0"/>
          <w:bCs w:val="0"/>
          <w:sz w:val="22"/>
          <w:szCs w:val="22"/>
        </w:rPr>
        <w:fldChar w:fldCharType="begin" w:fldLock="1"/>
      </w:r>
      <w:r>
        <w:rPr>
          <w:b w:val="0"/>
          <w:bCs w:val="0"/>
        </w:rPr>
        <w:instrText xml:space="preserve">ADDIN Mendeley Bibliography CSL_BIBLIOGRAPHY </w:instrText>
      </w:r>
      <w:r>
        <w:rPr>
          <w:rFonts w:asciiTheme="minorHAnsi" w:hAnsiTheme="minorHAnsi" w:cstheme="minorBidi"/>
          <w:b w:val="0"/>
          <w:bCs w:val="0"/>
          <w:sz w:val="22"/>
          <w:szCs w:val="22"/>
        </w:rPr>
        <w:fldChar w:fldCharType="separate"/>
      </w:r>
    </w:p>
    <w:p w14:paraId="6774394D">
      <w:pPr>
        <w:pStyle w:val="55"/>
      </w:pPr>
      <w:r>
        <w:t xml:space="preserve">Da Matta, A. A., Vancea, M., &amp; Valek, L. (2025). From theory to practice: Developing green skills through social economy and higher education. In </w:t>
      </w:r>
      <w:r>
        <w:rPr>
          <w:rStyle w:val="14"/>
        </w:rPr>
        <w:t xml:space="preserve">Building a green future: Strategies for social </w:t>
      </w:r>
      <w:r>
        <w:t>transformation. IGI Global. https://doi.org/10.4018/978-1-6684-8244-7.ch013</w:t>
      </w:r>
    </w:p>
    <w:p w14:paraId="0486F94F">
      <w:pPr>
        <w:pStyle w:val="55"/>
      </w:pPr>
    </w:p>
    <w:p w14:paraId="6E8E7F51">
      <w:pPr>
        <w:pStyle w:val="55"/>
      </w:pPr>
      <w:r>
        <w:t xml:space="preserve">Kopnina, H. (2020). Education for the future? Critical evaluation of education for sustainable development goals. </w:t>
      </w:r>
      <w:r>
        <w:rPr>
          <w:rStyle w:val="14"/>
        </w:rPr>
        <w:t>The Journal of Environmental Education, 51</w:t>
      </w:r>
      <w:r>
        <w:t>(6), 398–408. https://doi.org/10.1080/00958964.2019.1710444</w:t>
      </w:r>
    </w:p>
    <w:p w14:paraId="012025C2">
      <w:pPr>
        <w:pStyle w:val="55"/>
      </w:pPr>
    </w:p>
    <w:p w14:paraId="0FA60A22">
      <w:pPr>
        <w:pStyle w:val="55"/>
      </w:pPr>
      <w:r>
        <w:t xml:space="preserve">Murga-Menoyo, M. Á. (2014). Learning for a sustainable economy: Teaching of green competencies in the university. </w:t>
      </w:r>
      <w:r>
        <w:rPr>
          <w:rStyle w:val="14"/>
        </w:rPr>
        <w:t>Sustainability, 6</w:t>
      </w:r>
      <w:r>
        <w:t>(5), 2974–2992. https://doi.org/10.3390/su6052974</w:t>
      </w:r>
    </w:p>
    <w:p w14:paraId="45BC1847">
      <w:pPr>
        <w:pStyle w:val="55"/>
      </w:pPr>
    </w:p>
    <w:p w14:paraId="055F24B8">
      <w:pPr>
        <w:pStyle w:val="55"/>
      </w:pPr>
      <w:r>
        <w:t xml:space="preserve">O’Flaherty, J., &amp; Liddy, M. (2018). The impact of development education and education for </w:t>
      </w:r>
      <w:r>
        <w:rPr>
          <w:rFonts w:hint="default"/>
          <w:b w:val="0"/>
          <w:bCs w:val="0"/>
        </w:rPr>
        <w:t xml:space="preserve">sustainable </w:t>
      </w:r>
      <w:r>
        <w:t xml:space="preserve">development interventions: A synthesis of the research. </w:t>
      </w:r>
      <w:r>
        <w:rPr>
          <w:rStyle w:val="14"/>
        </w:rPr>
        <w:t>Environmental Education Research, 24</w:t>
      </w:r>
      <w:r>
        <w:t>(7), 1031–1049. https://doi.org/10.1080/13504622.2017.1392484</w:t>
      </w:r>
    </w:p>
    <w:p w14:paraId="4CE11422">
      <w:pPr>
        <w:pStyle w:val="55"/>
      </w:pPr>
    </w:p>
    <w:p w14:paraId="0AB0253C">
      <w:pPr>
        <w:pStyle w:val="55"/>
      </w:pPr>
      <w:r>
        <w:t>Pavlova, M. (2019)</w:t>
      </w:r>
      <w:r>
        <w:rPr>
          <w:rFonts w:hint="default"/>
          <w:b w:val="0"/>
          <w:bCs w:val="0"/>
        </w:rPr>
        <w:t xml:space="preserve">. </w:t>
      </w:r>
      <w:r>
        <w:t xml:space="preserve">Green skills as the agenda for education in the 21st century: Key issues and challenges. </w:t>
      </w:r>
      <w:r>
        <w:rPr>
          <w:rStyle w:val="14"/>
        </w:rPr>
        <w:t>International Journal of Training Research, 17</w:t>
      </w:r>
      <w:r>
        <w:t>(sup1), 1–10. https://doi.org/10.1080/14480220.2019.1629727</w:t>
      </w:r>
    </w:p>
    <w:p w14:paraId="50465116">
      <w:pPr>
        <w:pStyle w:val="55"/>
      </w:pPr>
    </w:p>
    <w:p w14:paraId="6912E7A9">
      <w:pPr>
        <w:pStyle w:val="55"/>
        <w:rPr>
          <w:rFonts w:hint="default"/>
          <w:b w:val="0"/>
          <w:bCs w:val="0"/>
        </w:rPr>
      </w:pPr>
      <w:r>
        <w:rPr>
          <w:rFonts w:hint="default"/>
          <w:b w:val="0"/>
          <w:bCs w:val="0"/>
        </w:rPr>
        <w:t>Farida, F., Alamsyah, Y. A., &amp; Suherman, S. (2023). Assessment in educational context: The case of environmental literacy, digital literacy, and its relation to mathematical thinking skill. Revista de Educación a Distancia, 23(75). https://doi.org/10.6018/red.552231</w:t>
      </w:r>
    </w:p>
    <w:p w14:paraId="5026C46A">
      <w:pPr>
        <w:pStyle w:val="55"/>
        <w:rPr>
          <w:rFonts w:hint="default"/>
          <w:b w:val="0"/>
          <w:bCs w:val="0"/>
        </w:rPr>
      </w:pPr>
    </w:p>
    <w:p w14:paraId="17D554E6">
      <w:pPr>
        <w:pStyle w:val="55"/>
        <w:rPr>
          <w:rFonts w:hint="default"/>
          <w:b w:val="0"/>
          <w:bCs w:val="0"/>
        </w:rPr>
      </w:pPr>
      <w:r>
        <w:rPr>
          <w:rFonts w:hint="default"/>
          <w:b w:val="0"/>
          <w:bCs w:val="0"/>
        </w:rPr>
        <w:t>Pratiwi, H., Ismail, M., Yarliani, I., &amp; Riwanda, A. (2025). Integrating education for sustainable development (ESD) into the Kurikulum Merdeka: Pedagogical practices in early childhood education centers in Indonesia. Environmental Education Research. https://doi.org/10.1080/13504622.2025.2462254</w:t>
      </w:r>
    </w:p>
    <w:p w14:paraId="1F339C85">
      <w:pPr>
        <w:pStyle w:val="55"/>
        <w:rPr>
          <w:rFonts w:hint="default"/>
          <w:b w:val="0"/>
          <w:bCs w:val="0"/>
        </w:rPr>
      </w:pPr>
    </w:p>
    <w:p w14:paraId="13DCD63E">
      <w:pPr>
        <w:pStyle w:val="55"/>
        <w:rPr>
          <w:rFonts w:hint="default"/>
          <w:b w:val="0"/>
          <w:bCs w:val="0"/>
        </w:rPr>
      </w:pPr>
      <w:r>
        <w:rPr>
          <w:rFonts w:hint="default"/>
          <w:b w:val="0"/>
          <w:bCs w:val="0"/>
        </w:rPr>
        <w:t>Sari, G. I., Winasis, S., Pratiwi, I., &amp; Nuryanto, U. W. (2024). Strengthening digital literacy in Indonesia: Collaboration, innovation, and sustainability education. Social Sciences &amp; Humanities Open, 10, 100292. https://doi.org/10.1016/j.ssaho.2024.100292</w:t>
      </w:r>
    </w:p>
    <w:p w14:paraId="759ABF56">
      <w:pPr>
        <w:pStyle w:val="55"/>
        <w:rPr>
          <w:rFonts w:hint="default"/>
          <w:b w:val="0"/>
          <w:bCs w:val="0"/>
        </w:rPr>
      </w:pPr>
    </w:p>
    <w:p w14:paraId="693BAD04">
      <w:pPr>
        <w:pStyle w:val="55"/>
        <w:rPr>
          <w:rFonts w:hint="default"/>
          <w:b w:val="0"/>
          <w:bCs w:val="0"/>
        </w:rPr>
      </w:pPr>
      <w:r>
        <w:rPr>
          <w:rFonts w:hint="default"/>
          <w:b w:val="0"/>
          <w:bCs w:val="0"/>
        </w:rPr>
        <w:t>Satriawan, M., Fanny, A., Satianingsih, R., &amp; Utari, S. (2025). Design of reflective-sustainable development education oriented project-based learning platform for elementary school students in Indonesia. Multidisciplinary Science Journal, 8(2), 50–61. https://doi.org/10.5678/msj.v8i2.7063</w:t>
      </w:r>
    </w:p>
    <w:p w14:paraId="11F479FC">
      <w:pPr>
        <w:pStyle w:val="55"/>
        <w:rPr>
          <w:rFonts w:hint="default"/>
          <w:b w:val="0"/>
          <w:bCs w:val="0"/>
        </w:rPr>
      </w:pPr>
    </w:p>
    <w:p w14:paraId="3538B2A0">
      <w:pPr>
        <w:pStyle w:val="55"/>
        <w:rPr>
          <w:rFonts w:hint="default"/>
          <w:b w:val="0"/>
          <w:bCs w:val="0"/>
        </w:rPr>
      </w:pPr>
      <w:r>
        <w:rPr>
          <w:rFonts w:hint="default"/>
          <w:b w:val="0"/>
          <w:bCs w:val="0"/>
        </w:rPr>
        <w:t>Yetti, E. (2024). Pedagogical innovation and curricular adaptation in enhancing digital literacy: A local wisdom approach for sustainable development in Indonesia context. Journal of Open Innovation: Technology, Market, and Complexity, 10(1), 27. https://doi.org/10.3390/joitmc10010027</w:t>
      </w:r>
    </w:p>
    <w:p w14:paraId="3B97EB11">
      <w:pPr>
        <w:pStyle w:val="55"/>
        <w:rPr>
          <w:rFonts w:hint="default"/>
          <w:b w:val="0"/>
          <w:bCs w:val="0"/>
        </w:rPr>
      </w:pPr>
    </w:p>
    <w:p w14:paraId="34A739A3">
      <w:pPr>
        <w:pStyle w:val="55"/>
        <w:rPr>
          <w:rFonts w:hint="default"/>
          <w:b w:val="0"/>
          <w:bCs w:val="0"/>
        </w:rPr>
      </w:pPr>
      <w:r>
        <w:rPr>
          <w:b w:val="0"/>
          <w:bCs w:val="0"/>
        </w:rPr>
        <w:fldChar w:fldCharType="end"/>
      </w:r>
      <w:r>
        <w:rPr>
          <w:rFonts w:hint="default"/>
          <w:b w:val="0"/>
          <w:bCs w:val="0"/>
        </w:rPr>
        <w:t>Daskolia, M., Kynigos, C., &amp; Kolovou, A. (2018). Addressing creativity in the collaborative design of digital books for environmental and math education. In Research on E-learning and ICT in Education (pp. 49–60). Springer. https://doi.org/10.1007/978-3-319-95059-4_4</w:t>
      </w:r>
    </w:p>
    <w:p w14:paraId="49B51AED">
      <w:pPr>
        <w:pStyle w:val="55"/>
        <w:rPr>
          <w:rFonts w:hint="default"/>
          <w:b w:val="0"/>
          <w:bCs w:val="0"/>
        </w:rPr>
      </w:pPr>
    </w:p>
    <w:p w14:paraId="68237C78">
      <w:pPr>
        <w:pStyle w:val="55"/>
        <w:rPr>
          <w:rFonts w:hint="default"/>
          <w:b w:val="0"/>
          <w:bCs w:val="0"/>
        </w:rPr>
      </w:pPr>
      <w:r>
        <w:rPr>
          <w:rFonts w:hint="default"/>
          <w:b w:val="0"/>
          <w:bCs w:val="0"/>
        </w:rPr>
        <w:t>Engelbrecht, J., Llinares, S., &amp; Borba, M. C. (2020). Transformation of the mathematics classroom with the internet. ZDM Mathematics Education, 52(5), 825–841. https://doi.org/10.1007/s11858-020-01176-4</w:t>
      </w:r>
    </w:p>
    <w:p w14:paraId="4EA1C18F">
      <w:pPr>
        <w:pStyle w:val="55"/>
        <w:rPr>
          <w:rFonts w:hint="default"/>
          <w:b w:val="0"/>
          <w:bCs w:val="0"/>
        </w:rPr>
      </w:pPr>
    </w:p>
    <w:p w14:paraId="6924633A">
      <w:pPr>
        <w:pStyle w:val="55"/>
        <w:rPr>
          <w:rFonts w:hint="default"/>
          <w:b w:val="0"/>
          <w:bCs w:val="0"/>
        </w:rPr>
      </w:pPr>
      <w:r>
        <w:rPr>
          <w:rFonts w:hint="default"/>
          <w:b w:val="0"/>
          <w:bCs w:val="0"/>
        </w:rPr>
        <w:t>Hwa, S. P. (2018). Pedagogical change in mathematics learning: Harnessing the power of digital game-based learning. Educational Technology &amp; Society, 21(4), 259–276. https://doi.org/10.2307/26511553</w:t>
      </w:r>
    </w:p>
    <w:p w14:paraId="108BE773">
      <w:pPr>
        <w:pStyle w:val="55"/>
        <w:rPr>
          <w:rFonts w:hint="default"/>
          <w:b w:val="0"/>
          <w:bCs w:val="0"/>
        </w:rPr>
      </w:pPr>
    </w:p>
    <w:p w14:paraId="78A6D9B1">
      <w:pPr>
        <w:pStyle w:val="55"/>
        <w:rPr>
          <w:rFonts w:hint="default"/>
          <w:b w:val="0"/>
          <w:bCs w:val="0"/>
        </w:rPr>
      </w:pPr>
      <w:r>
        <w:rPr>
          <w:rFonts w:hint="default"/>
          <w:b w:val="0"/>
          <w:bCs w:val="0"/>
        </w:rPr>
        <w:t>Milman, N. B., &amp; Carlson-Bancroft, A. (2014). Examining differentiation and utilization of iPads across content areas in an elementary school. Computers in the Schools, 31(3), 119–136. https://doi.org/10.1080/07380569.2014.931776</w:t>
      </w:r>
    </w:p>
    <w:p w14:paraId="7CDBE299">
      <w:pPr>
        <w:pStyle w:val="55"/>
        <w:rPr>
          <w:rFonts w:hint="default"/>
          <w:b w:val="0"/>
          <w:bCs w:val="0"/>
        </w:rPr>
      </w:pPr>
    </w:p>
    <w:p w14:paraId="6337063C">
      <w:pPr>
        <w:pStyle w:val="55"/>
        <w:rPr>
          <w:rFonts w:hint="default"/>
          <w:b w:val="0"/>
          <w:bCs w:val="0"/>
        </w:rPr>
      </w:pPr>
      <w:r>
        <w:rPr>
          <w:rFonts w:hint="default"/>
          <w:b w:val="0"/>
          <w:bCs w:val="0"/>
        </w:rPr>
        <w:t xml:space="preserve">Ricoy, M. C., &amp; Sánchez-Martínez, C. (2022). Raising ecological awareness and digital literacy in primary school children through gamification. International Journal of Environmental Research and Public Health, 19(3), 1149. </w:t>
      </w:r>
      <w:r>
        <w:rPr>
          <w:rFonts w:hint="default"/>
          <w:b w:val="0"/>
          <w:bCs w:val="0"/>
        </w:rPr>
        <w:fldChar w:fldCharType="begin"/>
      </w:r>
      <w:r>
        <w:rPr>
          <w:rFonts w:hint="default"/>
          <w:b w:val="0"/>
          <w:bCs w:val="0"/>
        </w:rPr>
        <w:instrText xml:space="preserve"> HYPERLINK "https://doi.org/10.3390/ijerph19031149" </w:instrText>
      </w:r>
      <w:r>
        <w:rPr>
          <w:rFonts w:hint="default"/>
          <w:b w:val="0"/>
          <w:bCs w:val="0"/>
        </w:rPr>
        <w:fldChar w:fldCharType="separate"/>
      </w:r>
      <w:r>
        <w:rPr>
          <w:rStyle w:val="20"/>
          <w:rFonts w:hint="default"/>
          <w:b w:val="0"/>
          <w:bCs w:val="0"/>
        </w:rPr>
        <w:t>https://doi.org/10.3390/ijerph19031149</w:t>
      </w:r>
      <w:r>
        <w:rPr>
          <w:rFonts w:hint="default"/>
          <w:b w:val="0"/>
          <w:bCs w:val="0"/>
        </w:rPr>
        <w:fldChar w:fldCharType="end"/>
      </w:r>
    </w:p>
    <w:p w14:paraId="03AD8648">
      <w:pPr>
        <w:pStyle w:val="55"/>
        <w:rPr>
          <w:rFonts w:hint="default"/>
          <w:b w:val="0"/>
          <w:bCs w:val="0"/>
        </w:rPr>
      </w:pPr>
    </w:p>
    <w:p w14:paraId="5932C723">
      <w:pPr>
        <w:pStyle w:val="55"/>
        <w:rPr>
          <w:rFonts w:hint="default"/>
          <w:b w:val="0"/>
          <w:bCs w:val="0"/>
        </w:rPr>
      </w:pPr>
      <w:r>
        <w:rPr>
          <w:rFonts w:hint="default"/>
          <w:b w:val="0"/>
          <w:bCs w:val="0"/>
        </w:rPr>
        <w:t>Azwar, S. (2012). Reliabilitas dan Validitas. Yogyakarta: Pustaka Pelajar.</w:t>
      </w:r>
    </w:p>
    <w:p w14:paraId="2E31E1BE">
      <w:pPr>
        <w:pStyle w:val="55"/>
        <w:rPr>
          <w:rFonts w:hint="default"/>
          <w:b w:val="0"/>
          <w:bCs w:val="0"/>
        </w:rPr>
      </w:pPr>
    </w:p>
    <w:p w14:paraId="49428430">
      <w:pPr>
        <w:pStyle w:val="55"/>
        <w:rPr>
          <w:rFonts w:hint="default"/>
          <w:b w:val="0"/>
          <w:bCs w:val="0"/>
        </w:rPr>
      </w:pPr>
      <w:r>
        <w:rPr>
          <w:rFonts w:hint="default"/>
          <w:b w:val="0"/>
          <w:bCs w:val="0"/>
        </w:rPr>
        <w:t>Retnawati, H. (2016). Validitas dan reliabilitas instrumen penelitian. Jurnal Akuntabilitas Manajemen Pendidikan, 4(1), 17–27.</w:t>
      </w:r>
    </w:p>
    <w:p w14:paraId="642B066F">
      <w:pPr>
        <w:pStyle w:val="55"/>
        <w:rPr>
          <w:rFonts w:hint="default"/>
          <w:b w:val="0"/>
          <w:bCs w:val="0"/>
        </w:rPr>
      </w:pPr>
    </w:p>
    <w:p w14:paraId="35FA809A">
      <w:pPr>
        <w:pStyle w:val="55"/>
        <w:rPr>
          <w:rFonts w:hint="default"/>
          <w:b w:val="0"/>
          <w:bCs w:val="0"/>
          <w:lang w:val="en-US"/>
        </w:rPr>
      </w:pPr>
      <w:r>
        <w:rPr>
          <w:rFonts w:hint="default"/>
          <w:b w:val="0"/>
          <w:bCs w:val="0"/>
        </w:rPr>
        <w:t>Aiken, L. R. (1980). Content validity and reliability of single items or questionnaires. Educational and Psychological Measurement, 40(4), 955–959.</w:t>
      </w:r>
      <w:r>
        <w:rPr>
          <w:rFonts w:hint="default"/>
          <w:b w:val="0"/>
          <w:bCs w:val="0"/>
          <w:lang w:val="en-US"/>
        </w:rPr>
        <w:t xml:space="preserve"> </w:t>
      </w:r>
      <w:r>
        <w:rPr>
          <w:rFonts w:hint="default"/>
          <w:b w:val="0"/>
          <w:bCs w:val="0"/>
        </w:rPr>
        <w:t>DOI: 10.1177/001316448004000419</w:t>
      </w:r>
      <w:r>
        <w:rPr>
          <w:rFonts w:hint="default"/>
          <w:b w:val="0"/>
          <w:bCs w:val="0"/>
          <w:lang w:val="en-US"/>
        </w:rPr>
        <w:t xml:space="preserve"> </w:t>
      </w:r>
    </w:p>
    <w:p w14:paraId="033C2D61">
      <w:pPr>
        <w:pStyle w:val="55"/>
        <w:rPr>
          <w:rFonts w:hint="default"/>
          <w:b w:val="0"/>
          <w:bCs w:val="0"/>
          <w:lang w:val="en-US"/>
        </w:rPr>
      </w:pPr>
    </w:p>
    <w:p w14:paraId="00EF87AE">
      <w:pPr>
        <w:pStyle w:val="55"/>
        <w:rPr>
          <w:rFonts w:hint="default"/>
          <w:b w:val="0"/>
          <w:bCs w:val="0"/>
        </w:rPr>
      </w:pPr>
      <w:r>
        <w:rPr>
          <w:rFonts w:hint="default"/>
          <w:b w:val="0"/>
          <w:bCs w:val="0"/>
        </w:rPr>
        <w:t>Azwar, S. (2012). Reliabilitas dan Validitas. Yogyakarta: Pustaka Pelajar.</w:t>
      </w:r>
    </w:p>
    <w:p w14:paraId="50D61A19">
      <w:pPr>
        <w:pStyle w:val="55"/>
        <w:rPr>
          <w:rFonts w:hint="default"/>
          <w:b w:val="0"/>
          <w:bCs w:val="0"/>
        </w:rPr>
      </w:pPr>
    </w:p>
    <w:p w14:paraId="5F3A0513">
      <w:pPr>
        <w:pStyle w:val="55"/>
        <w:rPr>
          <w:rFonts w:hint="default"/>
          <w:b w:val="0"/>
          <w:bCs w:val="0"/>
        </w:rPr>
      </w:pPr>
      <w:r>
        <w:rPr>
          <w:rFonts w:hint="default"/>
          <w:b w:val="0"/>
          <w:bCs w:val="0"/>
        </w:rPr>
        <w:t>Retnawati, H. (2016). Validitas dan reliabilitas instrumen penelitian. Jurnal Akuntabilitas Manajemen Pendidikan, 4(1), 17–27.</w:t>
      </w:r>
    </w:p>
    <w:p w14:paraId="7EDDB772">
      <w:pPr>
        <w:pStyle w:val="55"/>
        <w:ind w:left="0" w:leftChars="0" w:firstLine="0" w:firstLineChars="0"/>
        <w:rPr>
          <w:rFonts w:hint="default"/>
          <w:b w:val="0"/>
          <w:bCs w:val="0"/>
        </w:rPr>
      </w:pPr>
    </w:p>
    <w:p w14:paraId="281C216F">
      <w:pPr>
        <w:pStyle w:val="55"/>
        <w:rPr>
          <w:rFonts w:hint="default"/>
        </w:rPr>
      </w:pPr>
      <w:r>
        <w:rPr>
          <w:rFonts w:hint="default"/>
        </w:rPr>
        <w:t xml:space="preserve">Febrianto, W. S., Wulandari, N. F., &amp; Afriani, F. (2023). Design and development of web-based interactive learning media using ADDIE model. Education and Information Technologies, 28, 5439–5461. </w:t>
      </w:r>
      <w:r>
        <w:rPr>
          <w:rFonts w:hint="default"/>
        </w:rPr>
        <w:fldChar w:fldCharType="begin"/>
      </w:r>
      <w:r>
        <w:rPr>
          <w:rFonts w:hint="default"/>
        </w:rPr>
        <w:instrText xml:space="preserve"> HYPERLINK "https://doi.org/10.1007/s10639-022-11288-2" </w:instrText>
      </w:r>
      <w:r>
        <w:rPr>
          <w:rFonts w:hint="default"/>
        </w:rPr>
        <w:fldChar w:fldCharType="separate"/>
      </w:r>
      <w:r>
        <w:rPr>
          <w:rStyle w:val="20"/>
          <w:rFonts w:hint="default"/>
        </w:rPr>
        <w:t>https://doi.org/10.1007/s10639-022-11288-2</w:t>
      </w:r>
      <w:r>
        <w:rPr>
          <w:rFonts w:hint="default"/>
        </w:rPr>
        <w:fldChar w:fldCharType="end"/>
      </w:r>
    </w:p>
    <w:p w14:paraId="4AA8884D">
      <w:pPr>
        <w:pStyle w:val="55"/>
        <w:rPr>
          <w:rFonts w:hint="default"/>
        </w:rPr>
      </w:pPr>
    </w:p>
    <w:p w14:paraId="533F9D97">
      <w:pPr>
        <w:pStyle w:val="55"/>
        <w:rPr>
          <w:rFonts w:hint="default"/>
        </w:rPr>
      </w:pPr>
      <w:r>
        <w:rPr>
          <w:rFonts w:hint="default"/>
        </w:rPr>
        <w:t xml:space="preserve">Hidayat, D. R., &amp; Putra, A. (2022). The development of project-based e-modules using ADDIE model for teaching physics. International Journal of Instruction, 15(3), 1095–1110. </w:t>
      </w:r>
      <w:r>
        <w:rPr>
          <w:rFonts w:hint="default"/>
        </w:rPr>
        <w:fldChar w:fldCharType="begin"/>
      </w:r>
      <w:r>
        <w:rPr>
          <w:rFonts w:hint="default"/>
        </w:rPr>
        <w:instrText xml:space="preserve"> HYPERLINK "https://doi.org/10.29333/iji.2022.15358a" </w:instrText>
      </w:r>
      <w:r>
        <w:rPr>
          <w:rFonts w:hint="default"/>
        </w:rPr>
        <w:fldChar w:fldCharType="separate"/>
      </w:r>
      <w:r>
        <w:rPr>
          <w:rStyle w:val="20"/>
          <w:rFonts w:hint="default"/>
        </w:rPr>
        <w:t>https://doi.org/10.29333/iji.2022.15358a</w:t>
      </w:r>
      <w:r>
        <w:rPr>
          <w:rFonts w:hint="default"/>
        </w:rPr>
        <w:fldChar w:fldCharType="end"/>
      </w:r>
    </w:p>
    <w:p w14:paraId="531A8D57">
      <w:pPr>
        <w:pStyle w:val="55"/>
        <w:rPr>
          <w:rFonts w:hint="default"/>
        </w:rPr>
      </w:pPr>
    </w:p>
    <w:p w14:paraId="7C902D1E">
      <w:pPr>
        <w:pStyle w:val="55"/>
        <w:rPr>
          <w:rFonts w:hint="default"/>
        </w:rPr>
      </w:pPr>
      <w:r>
        <w:rPr>
          <w:rFonts w:hint="default"/>
        </w:rPr>
        <w:t xml:space="preserve">Pramono, R., &amp; Lestari, D. (2021). Developing e-module based on ADDIE model: The effect on students’ mathematical problem-solving ability. European Journal of Educational Research, 10(2), 951–961. </w:t>
      </w:r>
      <w:r>
        <w:rPr>
          <w:rFonts w:hint="default"/>
        </w:rPr>
        <w:fldChar w:fldCharType="begin"/>
      </w:r>
      <w:r>
        <w:rPr>
          <w:rFonts w:hint="default"/>
        </w:rPr>
        <w:instrText xml:space="preserve"> HYPERLINK "https://doi.org/10.12973/eu-jer.10.2.951" </w:instrText>
      </w:r>
      <w:r>
        <w:rPr>
          <w:rFonts w:hint="default"/>
        </w:rPr>
        <w:fldChar w:fldCharType="separate"/>
      </w:r>
      <w:r>
        <w:rPr>
          <w:rStyle w:val="20"/>
          <w:rFonts w:hint="default"/>
        </w:rPr>
        <w:t>https://doi.org/10.12973/eu-jer.10.2.951</w:t>
      </w:r>
      <w:r>
        <w:rPr>
          <w:rFonts w:hint="default"/>
        </w:rPr>
        <w:fldChar w:fldCharType="end"/>
      </w:r>
    </w:p>
    <w:p w14:paraId="45FC8282">
      <w:pPr>
        <w:pStyle w:val="55"/>
        <w:rPr>
          <w:rFonts w:hint="default"/>
        </w:rPr>
      </w:pPr>
    </w:p>
    <w:p w14:paraId="21465A32">
      <w:pPr>
        <w:pStyle w:val="55"/>
        <w:rPr>
          <w:rFonts w:hint="default"/>
        </w:rPr>
      </w:pPr>
      <w:r>
        <w:rPr>
          <w:rFonts w:hint="default"/>
        </w:rPr>
        <w:t xml:space="preserve">Rahayu, S., Dantes, N., &amp; Candiasa, I. M. (2020). The development of guided discovery learning model with ADDIE model in improving students’ mathematical creative thinking ability. International Journal of Instruction, 13(4), 911–924. </w:t>
      </w:r>
      <w:r>
        <w:rPr>
          <w:rFonts w:hint="default"/>
        </w:rPr>
        <w:fldChar w:fldCharType="begin"/>
      </w:r>
      <w:r>
        <w:rPr>
          <w:rFonts w:hint="default"/>
        </w:rPr>
        <w:instrText xml:space="preserve"> HYPERLINK "https://doi.org/10.29333/iji.2020.13456a" </w:instrText>
      </w:r>
      <w:r>
        <w:rPr>
          <w:rFonts w:hint="default"/>
        </w:rPr>
        <w:fldChar w:fldCharType="separate"/>
      </w:r>
      <w:r>
        <w:rPr>
          <w:rStyle w:val="20"/>
          <w:rFonts w:hint="default"/>
        </w:rPr>
        <w:t>https://doi.org/10.29333/iji.2020.13456a</w:t>
      </w:r>
      <w:r>
        <w:rPr>
          <w:rFonts w:hint="default"/>
        </w:rPr>
        <w:fldChar w:fldCharType="end"/>
      </w:r>
    </w:p>
    <w:p w14:paraId="11E732D8">
      <w:pPr>
        <w:pStyle w:val="55"/>
        <w:rPr>
          <w:rFonts w:hint="default"/>
        </w:rPr>
      </w:pPr>
    </w:p>
    <w:p w14:paraId="442EFB80">
      <w:pPr>
        <w:pStyle w:val="55"/>
      </w:pPr>
      <w:r>
        <w:rPr>
          <w:rFonts w:hint="default"/>
        </w:rPr>
        <w:t>Setiawan, B., &amp; Mustaji, M. (2020). Development of e-learning media based on ADDIE model: Improving students’ creativity in mathematics. Journal of Physics: Conference Series, 1567(4), 042072. https://doi.org/10.1088/1742-6596/1567/4/042072</w:t>
      </w:r>
    </w:p>
    <w:p w14:paraId="050EB9FA">
      <w:pPr>
        <w:pStyle w:val="55"/>
        <w:rPr>
          <w:rFonts w:hint="default"/>
          <w:b w:val="0"/>
          <w:bCs w:val="0"/>
          <w:lang w:val="en-US"/>
        </w:rPr>
      </w:pPr>
    </w:p>
    <w:p w14:paraId="5D3E2E52">
      <w:pPr>
        <w:pStyle w:val="55"/>
        <w:rPr>
          <w:rFonts w:hint="default"/>
          <w:b w:val="0"/>
          <w:bCs w:val="0"/>
        </w:rPr>
      </w:pPr>
      <w:r>
        <w:rPr>
          <w:rFonts w:hint="default"/>
          <w:b w:val="0"/>
          <w:bCs w:val="0"/>
        </w:rPr>
        <w:t>Besser, N., Linberg, A., Dornheim, D., &amp; Weinert, S. (2024). Teachers’ math-related talk and children’s numeracy skills: Evidence from a professional development intervention. Contemporary Educational Psychology, 69, 102168. https://doi.org/10.1016/j.cedpsych.2022.102168</w:t>
      </w:r>
    </w:p>
    <w:p w14:paraId="761155D4">
      <w:pPr>
        <w:pStyle w:val="55"/>
        <w:rPr>
          <w:rFonts w:hint="default"/>
          <w:b w:val="0"/>
          <w:bCs w:val="0"/>
        </w:rPr>
      </w:pPr>
    </w:p>
    <w:p w14:paraId="20E08A96">
      <w:pPr>
        <w:pStyle w:val="55"/>
        <w:rPr>
          <w:rFonts w:hint="default"/>
          <w:b w:val="0"/>
          <w:bCs w:val="0"/>
        </w:rPr>
      </w:pPr>
      <w:r>
        <w:rPr>
          <w:rFonts w:hint="default"/>
          <w:b w:val="0"/>
          <w:bCs w:val="0"/>
        </w:rPr>
        <w:t>Caridade, C. (2024). Embedding sustainable cities into game-based math learning. In ICERI2024 Proceedings. https://doi.org/10.21125/iceri.2024.0042</w:t>
      </w:r>
    </w:p>
    <w:p w14:paraId="15D95E24">
      <w:pPr>
        <w:pStyle w:val="55"/>
        <w:rPr>
          <w:rFonts w:hint="default"/>
          <w:b w:val="0"/>
          <w:bCs w:val="0"/>
        </w:rPr>
      </w:pPr>
    </w:p>
    <w:p w14:paraId="3552F490">
      <w:pPr>
        <w:pStyle w:val="55"/>
        <w:rPr>
          <w:rFonts w:hint="default"/>
          <w:b w:val="0"/>
          <w:bCs w:val="0"/>
        </w:rPr>
      </w:pPr>
      <w:r>
        <w:rPr>
          <w:rFonts w:hint="default"/>
          <w:b w:val="0"/>
          <w:bCs w:val="0"/>
        </w:rPr>
        <w:t>Colibaba, S., &amp; Gheorghiu, I. (2025). The EDUMAT+ project: Teaching with infographics for environmental sustainability and numeracy in elementary school. Conference Proceedings of the 14th International Conference on Education. https://doi.org/10.21125/edulearn.2025.0987</w:t>
      </w:r>
    </w:p>
    <w:p w14:paraId="537439B6">
      <w:pPr>
        <w:pStyle w:val="55"/>
        <w:rPr>
          <w:rFonts w:hint="default"/>
          <w:b w:val="0"/>
          <w:bCs w:val="0"/>
        </w:rPr>
      </w:pPr>
    </w:p>
    <w:p w14:paraId="7C8B47BF">
      <w:pPr>
        <w:pStyle w:val="55"/>
        <w:rPr>
          <w:rFonts w:hint="default"/>
          <w:b w:val="0"/>
          <w:bCs w:val="0"/>
        </w:rPr>
      </w:pPr>
      <w:r>
        <w:rPr>
          <w:rFonts w:hint="default"/>
          <w:b w:val="0"/>
          <w:bCs w:val="0"/>
        </w:rPr>
        <w:t>Linberg, A., Dornheim, D., Besser, N., &amp; Weinert, S. (2025). Fostering toddlers’ numeracy and mathematical language skills through a professional development intervention on interaction quality in toddler classrooms. Early Childhood Research Quarterly. https://doi.org/10.1016/j.ecresq.2025.01.004</w:t>
      </w:r>
    </w:p>
    <w:p w14:paraId="1A1B30B5">
      <w:pPr>
        <w:pStyle w:val="55"/>
        <w:rPr>
          <w:rFonts w:hint="default"/>
          <w:b w:val="0"/>
          <w:bCs w:val="0"/>
        </w:rPr>
      </w:pPr>
    </w:p>
    <w:p w14:paraId="5A1530B0">
      <w:pPr>
        <w:pStyle w:val="55"/>
        <w:rPr>
          <w:rFonts w:hint="default"/>
          <w:b w:val="0"/>
          <w:bCs w:val="0"/>
        </w:rPr>
      </w:pPr>
      <w:r>
        <w:rPr>
          <w:rFonts w:hint="default"/>
          <w:b w:val="0"/>
          <w:bCs w:val="0"/>
        </w:rPr>
        <w:t>Mamolo, L. A. (2022). Students’ evaluation and learning experience on the utilization of Digital Interactive Math Comics (DIMaC) mobile app. Advances in Mobile Learning Educational Research, 2(2), 437–445. https://doi.org/10.25082/AMLER.2022.02.006</w:t>
      </w:r>
    </w:p>
    <w:p w14:paraId="0CF63A9E">
      <w:pPr>
        <w:pStyle w:val="55"/>
        <w:rPr>
          <w:rFonts w:hint="default"/>
          <w:b w:val="0"/>
          <w:bCs w:val="0"/>
        </w:rPr>
      </w:pPr>
    </w:p>
    <w:p w14:paraId="4BE199B6">
      <w:pPr>
        <w:pStyle w:val="55"/>
        <w:rPr>
          <w:rFonts w:hint="default"/>
          <w:b w:val="0"/>
          <w:bCs w:val="0"/>
        </w:rPr>
      </w:pPr>
      <w:r>
        <w:rPr>
          <w:rFonts w:hint="default"/>
          <w:b w:val="0"/>
          <w:bCs w:val="0"/>
        </w:rPr>
        <w:t>Rico, A., Agirre-Basurko, E., &amp; Ruiz-González, A. (2021). Integrating mathematics and science teaching in the context of education for sustainable development: Design and pilot implementation of a teaching-learning sequence. Sustainability, 13(8), 4500. https://doi.org/10.3390/su13084500</w:t>
      </w:r>
    </w:p>
    <w:p w14:paraId="799826C4">
      <w:pPr>
        <w:pStyle w:val="55"/>
        <w:rPr>
          <w:rFonts w:hint="default"/>
          <w:b w:val="0"/>
          <w:bCs w:val="0"/>
        </w:rPr>
      </w:pPr>
    </w:p>
    <w:p w14:paraId="39587BB0">
      <w:pPr>
        <w:pStyle w:val="55"/>
        <w:rPr>
          <w:rFonts w:hint="default"/>
          <w:b w:val="0"/>
          <w:bCs w:val="0"/>
        </w:rPr>
      </w:pPr>
      <w:r>
        <w:rPr>
          <w:rFonts w:hint="default"/>
          <w:b w:val="0"/>
          <w:bCs w:val="0"/>
        </w:rPr>
        <w:t>Rogget, M. R., Zúñiga, D. R., &amp; Navarro, A. C. (2024). Gamified application for the reinforcement of mathematical skills in elementary education. In Advances in Education and Sustainability. https://doi.org/10.1007/978-3-031-83207-9_19</w:t>
      </w:r>
    </w:p>
    <w:p w14:paraId="217A59FE">
      <w:pPr>
        <w:pStyle w:val="55"/>
        <w:rPr>
          <w:rFonts w:hint="default"/>
          <w:b w:val="0"/>
          <w:bCs w:val="0"/>
        </w:rPr>
      </w:pPr>
    </w:p>
    <w:p w14:paraId="54E5E0CA">
      <w:pPr>
        <w:pStyle w:val="55"/>
        <w:rPr>
          <w:rFonts w:hint="default"/>
          <w:b w:val="0"/>
          <w:bCs w:val="0"/>
        </w:rPr>
      </w:pPr>
    </w:p>
    <w:sectPr>
      <w:headerReference r:id="rId6" w:type="first"/>
      <w:footerReference r:id="rId8" w:type="first"/>
      <w:headerReference r:id="rId5" w:type="default"/>
      <w:footerReference r:id="rId7" w:type="default"/>
      <w:pgSz w:w="11906" w:h="16838"/>
      <w:pgMar w:top="1418" w:right="1440" w:bottom="1440" w:left="1440" w:header="851" w:footer="709" w:gutter="0"/>
      <w:pgBorders>
        <w:top w:val="none" w:sz="0" w:space="0"/>
        <w:left w:val="none" w:sz="0" w:space="0"/>
        <w:bottom w:val="none" w:sz="0" w:space="0"/>
        <w:right w:val="none" w:sz="0" w:space="0"/>
      </w:pgBorders>
      <w:pgNumType w:start="6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Symbol">
    <w:panose1 w:val="05050102010706020507"/>
    <w:charset w:val="02"/>
    <w:family w:val="roman"/>
    <w:pitch w:val="default"/>
    <w:sig w:usb0="00000000" w:usb1="00000000" w:usb2="00000000" w:usb3="00000000" w:csb0="80000000" w:csb1="00000000"/>
  </w:font>
  <w:font w:name="Georgia">
    <w:panose1 w:val="02040502050405020303"/>
    <w:charset w:val="00"/>
    <w:family w:val="roman"/>
    <w:pitch w:val="default"/>
    <w:sig w:usb0="00000287" w:usb1="00000000" w:usb2="00000000" w:usb3="00000000" w:csb0="2000009F" w:csb1="00000000"/>
  </w:font>
  <w:font w:name="PalatinoLinotype-BoldItalic">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Segoe MDL2 Assets">
    <w:panose1 w:val="050A0102010101010101"/>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BD565">
    <w:pPr>
      <w:pStyle w:val="15"/>
    </w:pPr>
    <w:r>
      <w:rPr>
        <w:rFonts w:ascii="Palatino Linotype" w:hAnsi="Palatino Linotype"/>
        <w:i/>
        <w:sz w:val="16"/>
      </w:rPr>
      <w:t>Author Name/Title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62116">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Pr>
        <w:rFonts w:ascii="Palatino Linotype" w:hAnsi="Palatino Linotype"/>
        <w:sz w:val="16"/>
        <w:szCs w:val="16"/>
        <w:lang w:val="fr-CH"/>
      </w:rPr>
      <w:tab/>
    </w:r>
    <w:r>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D6AE6">
    <w:pPr>
      <w:tabs>
        <w:tab w:val="right" w:pos="8844"/>
      </w:tabs>
      <w:adjustRightInd w:val="0"/>
      <w:snapToGrid w:val="0"/>
      <w:spacing w:after="240" w:line="240" w:lineRule="auto"/>
      <w:rPr>
        <w:rFonts w:ascii="Palatino Linotype" w:hAnsi="Palatino Linotype"/>
        <w:sz w:val="16"/>
      </w:rPr>
    </w:pPr>
    <w: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191135</wp:posOffset>
              </wp:positionV>
              <wp:extent cx="5615940" cy="0"/>
              <wp:effectExtent l="0" t="0" r="0" b="0"/>
              <wp:wrapNone/>
              <wp:docPr id="52" name="AutoShape 7"/>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ln>
                    </wps:spPr>
                    <wps:bodyPr/>
                  </wps:wsp>
                </a:graphicData>
              </a:graphic>
            </wp:anchor>
          </w:drawing>
        </mc:Choice>
        <mc:Fallback>
          <w:pict>
            <v:shape id="AutoShape 7" o:spid="_x0000_s1026" o:spt="32" type="#_x0000_t32" style="position:absolute;left:0pt;margin-left:0.65pt;margin-top:15.05pt;height:0pt;width:442.2pt;z-index:251660288;mso-width-relative:page;mso-height-relative:page;" filled="f" stroked="t" coordsize="21600,21600" o:gfxdata="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be+FDtQAAAAHAQAADwAAAAAAAAABACAAAAAi&#10;AAAAZHJzL2Rvd25yZXYueG1sUEsBAhQAFAAAAAgAh07iQBNcqTHVAQAAswMAAA4AAAAAAAAAAQAg&#10;AAAAIwEAAGRycy9lMm9Eb2MueG1sUEsFBgAAAAAGAAYAWQEAAGoFAAAAAA==&#10;">
              <v:fill on="f" focussize="0,0"/>
              <v:stroke color="#000000" joinstyle="round"/>
              <v:imagedata o:title=""/>
              <o:lock v:ext="edit" aspectratio="f"/>
            </v:shape>
          </w:pict>
        </mc:Fallback>
      </mc:AlternateContent>
    </w:r>
    <w:r>
      <w:rPr>
        <w:rFonts w:ascii="Palatino Linotype" w:hAnsi="Palatino Linotype"/>
        <w:i/>
        <w:sz w:val="16"/>
      </w:rPr>
      <w:t>Al-Ishlah: Jurnal Pendidikan,Vol. 4, 1 (April 2022): p-pp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sz w:val="16"/>
      </w:rPr>
      <w:t>122</w:t>
    </w:r>
    <w:r>
      <w:rPr>
        <w:rFonts w:ascii="Palatino Linotype" w:hAnsi="Palatino Linotype"/>
        <w:sz w:val="16"/>
      </w:rPr>
      <w:fldChar w:fldCharType="end"/>
    </w:r>
    <w:r>
      <w:rPr>
        <w:rFonts w:ascii="Palatino Linotype" w:hAnsi="Palatino Linotype"/>
        <w:sz w:val="16"/>
      </w:rPr>
      <w:t xml:space="preserve"> of 70</w:t>
    </w:r>
  </w:p>
  <w:p w14:paraId="4D3B1B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F6A5E">
    <w:pPr>
      <w:pStyle w:val="18"/>
      <w:ind w:right="45"/>
      <w:rPr>
        <w:rFonts w:ascii="Palatino Linotype" w:hAnsi="Palatino Linotype"/>
        <w:b/>
        <w:sz w:val="20"/>
      </w:rPr>
    </w:pPr>
    <w:bookmarkStart w:id="1" w:name="_Hlk97159129"/>
    <w:r>
      <w:rPr>
        <w:rFonts w:ascii="Palatino Linotype" w:hAnsi="Palatino Linotype"/>
        <w:b/>
        <w:sz w:val="20"/>
      </w:rPr>
      <w:t>Al-Ishlah: Jurnal Pendidikan</w:t>
    </w:r>
  </w:p>
  <w:p w14:paraId="3C7097E7">
    <w:pPr>
      <w:tabs>
        <w:tab w:val="left" w:pos="3675"/>
      </w:tabs>
      <w:spacing w:after="0" w:line="240" w:lineRule="auto"/>
      <w:ind w:right="45"/>
      <w:rPr>
        <w:rFonts w:ascii="Palatino Linotype" w:hAnsi="Palatino Linotype" w:eastAsia="Times New Roman" w:cs="Times New Roman"/>
        <w:sz w:val="18"/>
        <w:szCs w:val="18"/>
        <w:lang w:val="en-US"/>
      </w:rPr>
    </w:pPr>
    <w:r>
      <w:rPr>
        <w:rFonts w:ascii="Palatino Linotype" w:hAnsi="Palatino Linotype" w:eastAsia="Times New Roman" w:cs="Times New Roman"/>
        <w:sz w:val="18"/>
        <w:szCs w:val="18"/>
        <w:lang w:val="en-US"/>
      </w:rPr>
      <w:t>Vol.14, 1 (April, 2022), pp. 61-70</w:t>
    </w:r>
  </w:p>
  <w:p w14:paraId="0148DAEB">
    <w:pPr>
      <w:tabs>
        <w:tab w:val="left" w:pos="7938"/>
        <w:tab w:val="right" w:pos="8789"/>
      </w:tabs>
      <w:spacing w:after="0" w:line="240" w:lineRule="auto"/>
      <w:rPr>
        <w:rFonts w:ascii="Times New Roman" w:hAnsi="Times New Roman" w:eastAsia="Times New Roman" w:cs="Times New Roman"/>
        <w:sz w:val="20"/>
        <w:szCs w:val="20"/>
        <w:lang w:val="en-US"/>
      </w:rPr>
    </w:pPr>
    <w:r>
      <w:rPr>
        <w:rFonts w:ascii="Palatino Linotype" w:hAnsi="Palatino Linotype" w:eastAsia="Times New Roman" w:cs="Times New Roman"/>
        <w:sz w:val="18"/>
        <w:szCs w:val="18"/>
        <w:lang w:val="en-US"/>
      </w:rPr>
      <w:t>ISSN: 2087-9490 EISSN: 2597-940X, DOI: 10.35445/alishlah.v14i1.</w:t>
    </w:r>
    <w:bookmarkEnd w:id="1"/>
    <w:r>
      <w:rPr>
        <w:rFonts w:ascii="Times New Roman" w:hAnsi="Times New Roman" w:eastAsia="Times New Roman" w:cs="Times New Roman"/>
        <w:sz w:val="20"/>
        <w:szCs w:val="20"/>
        <w:lang w:val="en-US"/>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180975</wp:posOffset>
              </wp:positionV>
              <wp:extent cx="5615940" cy="0"/>
              <wp:effectExtent l="0" t="0" r="0" b="0"/>
              <wp:wrapNone/>
              <wp:docPr id="18" name="AutoShape 6"/>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ln>
                    </wps:spPr>
                    <wps:bodyPr/>
                  </wps:wsp>
                </a:graphicData>
              </a:graphic>
            </wp:anchor>
          </w:drawing>
        </mc:Choice>
        <mc:Fallback>
          <w:pict>
            <v:shape id="AutoShape 6" o:spid="_x0000_s1026" o:spt="32" type="#_x0000_t32" style="position:absolute;left:0pt;margin-left:-1.5pt;margin-top:14.25pt;height:0pt;width:442.2pt;z-index:251659264;mso-width-relative:page;mso-height-relative:page;" filled="f" stroked="t" coordsize="21600,21600" o:gfxdata="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etN971wAAAAgBAAAPAAAAAAAAAAEAIAAA&#10;ACIAAABkcnMvZG93bnJldi54bWxQSwECFAAUAAAACACHTuJAR7YnYNQBAACzAwAADgAAAAAAAAAB&#10;ACAAAAAmAQAAZHJzL2Uyb0RvYy54bWxQSwUGAAAAAAYABgBZAQAAbAUAAAAA&#10;">
              <v:fill on="f" focussize="0,0"/>
              <v:stroke color="#000000" joinstyle="round"/>
              <v:imagedata o:title=""/>
              <o:lock v:ext="edit" aspectratio="f"/>
            </v:shape>
          </w:pict>
        </mc:Fallback>
      </mc:AlternateContent>
    </w:r>
    <w:r>
      <w:rPr>
        <w:rFonts w:ascii="Palatino Linotype" w:hAnsi="Palatino Linotype" w:eastAsia="Times New Roman" w:cs="Times New Roman"/>
        <w:sz w:val="18"/>
        <w:szCs w:val="18"/>
        <w:lang w:val="en-US"/>
      </w:rPr>
      <w:t>973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840E0"/>
    <w:multiLevelType w:val="singleLevel"/>
    <w:tmpl w:val="8E3840E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23C73681"/>
    <w:multiLevelType w:val="multilevel"/>
    <w:tmpl w:val="23C73681"/>
    <w:lvl w:ilvl="0" w:tentative="0">
      <w:start w:val="1"/>
      <w:numFmt w:val="decimal"/>
      <w:pStyle w:val="35"/>
      <w:lvlText w:val="%1."/>
      <w:lvlJc w:val="left"/>
      <w:pPr>
        <w:ind w:left="720" w:hanging="360"/>
      </w:pPr>
      <w:rPr>
        <w:rFonts w:hint="default"/>
        <w:i w:val="0"/>
        <w:iCs w:val="0"/>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440" w:hanging="108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abstractNum w:abstractNumId="2">
    <w:nsid w:val="2805051C"/>
    <w:multiLevelType w:val="multilevel"/>
    <w:tmpl w:val="2805051C"/>
    <w:lvl w:ilvl="0" w:tentative="0">
      <w:start w:val="1"/>
      <w:numFmt w:val="decimal"/>
      <w:pStyle w:val="41"/>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
    <w:nsid w:val="369A6535"/>
    <w:multiLevelType w:val="multilevel"/>
    <w:tmpl w:val="369A6535"/>
    <w:lvl w:ilvl="0" w:tentative="0">
      <w:start w:val="1"/>
      <w:numFmt w:val="bullet"/>
      <w:pStyle w:val="42"/>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3A7614DB"/>
    <w:rsid w:val="000061CE"/>
    <w:rsid w:val="00031DD5"/>
    <w:rsid w:val="000333AC"/>
    <w:rsid w:val="000355EA"/>
    <w:rsid w:val="00035C67"/>
    <w:rsid w:val="00056E9C"/>
    <w:rsid w:val="000735BB"/>
    <w:rsid w:val="00075197"/>
    <w:rsid w:val="000831BD"/>
    <w:rsid w:val="000A13A3"/>
    <w:rsid w:val="000A36F0"/>
    <w:rsid w:val="000D5EE8"/>
    <w:rsid w:val="000E2588"/>
    <w:rsid w:val="000E2C60"/>
    <w:rsid w:val="000E7A05"/>
    <w:rsid w:val="000F1812"/>
    <w:rsid w:val="000F66B9"/>
    <w:rsid w:val="00114306"/>
    <w:rsid w:val="001358C8"/>
    <w:rsid w:val="00143989"/>
    <w:rsid w:val="00145F3A"/>
    <w:rsid w:val="00147524"/>
    <w:rsid w:val="00151740"/>
    <w:rsid w:val="001603B5"/>
    <w:rsid w:val="0016274A"/>
    <w:rsid w:val="00175AF2"/>
    <w:rsid w:val="00182EA2"/>
    <w:rsid w:val="001914CF"/>
    <w:rsid w:val="001A4292"/>
    <w:rsid w:val="001A581B"/>
    <w:rsid w:val="001C1084"/>
    <w:rsid w:val="001C18FA"/>
    <w:rsid w:val="001C30E8"/>
    <w:rsid w:val="001C7B8C"/>
    <w:rsid w:val="001E42C1"/>
    <w:rsid w:val="001F4625"/>
    <w:rsid w:val="002001C5"/>
    <w:rsid w:val="00202D95"/>
    <w:rsid w:val="0022427B"/>
    <w:rsid w:val="002263FF"/>
    <w:rsid w:val="00226E30"/>
    <w:rsid w:val="0023514C"/>
    <w:rsid w:val="00245BDA"/>
    <w:rsid w:val="002663A1"/>
    <w:rsid w:val="00270B5A"/>
    <w:rsid w:val="00287854"/>
    <w:rsid w:val="00290481"/>
    <w:rsid w:val="002A02C2"/>
    <w:rsid w:val="002A2BCB"/>
    <w:rsid w:val="002A7ABC"/>
    <w:rsid w:val="002B31FD"/>
    <w:rsid w:val="002B59BA"/>
    <w:rsid w:val="002C57D4"/>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C3B3B"/>
    <w:rsid w:val="003D061C"/>
    <w:rsid w:val="003E5BB6"/>
    <w:rsid w:val="003F3A9E"/>
    <w:rsid w:val="004258A8"/>
    <w:rsid w:val="00432323"/>
    <w:rsid w:val="004333C2"/>
    <w:rsid w:val="00434F97"/>
    <w:rsid w:val="00435996"/>
    <w:rsid w:val="00444B72"/>
    <w:rsid w:val="004521BE"/>
    <w:rsid w:val="00457015"/>
    <w:rsid w:val="00461028"/>
    <w:rsid w:val="004642B9"/>
    <w:rsid w:val="004763B3"/>
    <w:rsid w:val="0048254D"/>
    <w:rsid w:val="004A39B9"/>
    <w:rsid w:val="004A4086"/>
    <w:rsid w:val="004C2768"/>
    <w:rsid w:val="004C2BBB"/>
    <w:rsid w:val="004C67A3"/>
    <w:rsid w:val="004C700A"/>
    <w:rsid w:val="004D00C2"/>
    <w:rsid w:val="004D0C98"/>
    <w:rsid w:val="004F29DF"/>
    <w:rsid w:val="004F6BCE"/>
    <w:rsid w:val="005041B5"/>
    <w:rsid w:val="0050557B"/>
    <w:rsid w:val="005145F9"/>
    <w:rsid w:val="00526694"/>
    <w:rsid w:val="005340DA"/>
    <w:rsid w:val="0055125A"/>
    <w:rsid w:val="0055535C"/>
    <w:rsid w:val="00561289"/>
    <w:rsid w:val="00566877"/>
    <w:rsid w:val="005710E6"/>
    <w:rsid w:val="005807EE"/>
    <w:rsid w:val="005909CA"/>
    <w:rsid w:val="00590ECF"/>
    <w:rsid w:val="005A0E25"/>
    <w:rsid w:val="005A317A"/>
    <w:rsid w:val="005A7A9C"/>
    <w:rsid w:val="005B0D7F"/>
    <w:rsid w:val="005B4643"/>
    <w:rsid w:val="005B5AEC"/>
    <w:rsid w:val="005C4902"/>
    <w:rsid w:val="005C7EC7"/>
    <w:rsid w:val="005D00BE"/>
    <w:rsid w:val="005D18A2"/>
    <w:rsid w:val="0061136D"/>
    <w:rsid w:val="00617741"/>
    <w:rsid w:val="00626D7A"/>
    <w:rsid w:val="00630559"/>
    <w:rsid w:val="006405DC"/>
    <w:rsid w:val="00642A67"/>
    <w:rsid w:val="00655540"/>
    <w:rsid w:val="006659EC"/>
    <w:rsid w:val="00674F13"/>
    <w:rsid w:val="00675603"/>
    <w:rsid w:val="006802BF"/>
    <w:rsid w:val="00684266"/>
    <w:rsid w:val="00686344"/>
    <w:rsid w:val="006875E7"/>
    <w:rsid w:val="00690C1D"/>
    <w:rsid w:val="0069239F"/>
    <w:rsid w:val="006A6719"/>
    <w:rsid w:val="006B3B48"/>
    <w:rsid w:val="006B5DB7"/>
    <w:rsid w:val="006C79FB"/>
    <w:rsid w:val="006D0B77"/>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63D48"/>
    <w:rsid w:val="007706D1"/>
    <w:rsid w:val="00776DFE"/>
    <w:rsid w:val="00784B9B"/>
    <w:rsid w:val="00787398"/>
    <w:rsid w:val="007A2C38"/>
    <w:rsid w:val="007B2B7A"/>
    <w:rsid w:val="007B716C"/>
    <w:rsid w:val="007E0F04"/>
    <w:rsid w:val="007E5CEF"/>
    <w:rsid w:val="007E6AA6"/>
    <w:rsid w:val="007E6E1C"/>
    <w:rsid w:val="007F0542"/>
    <w:rsid w:val="007F2733"/>
    <w:rsid w:val="00802C6D"/>
    <w:rsid w:val="008036D9"/>
    <w:rsid w:val="008477FA"/>
    <w:rsid w:val="00863036"/>
    <w:rsid w:val="00873823"/>
    <w:rsid w:val="00874DBD"/>
    <w:rsid w:val="00883EAA"/>
    <w:rsid w:val="008841DF"/>
    <w:rsid w:val="008858AA"/>
    <w:rsid w:val="00887B61"/>
    <w:rsid w:val="0089730B"/>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4D8C"/>
    <w:rsid w:val="009B07D9"/>
    <w:rsid w:val="009C1B55"/>
    <w:rsid w:val="009C7544"/>
    <w:rsid w:val="009D09F2"/>
    <w:rsid w:val="009D3532"/>
    <w:rsid w:val="009E52F0"/>
    <w:rsid w:val="009F0C88"/>
    <w:rsid w:val="009F4CD2"/>
    <w:rsid w:val="009F71B3"/>
    <w:rsid w:val="00A00078"/>
    <w:rsid w:val="00A02BB2"/>
    <w:rsid w:val="00A10E86"/>
    <w:rsid w:val="00A234A4"/>
    <w:rsid w:val="00A36F58"/>
    <w:rsid w:val="00A414CC"/>
    <w:rsid w:val="00A448B5"/>
    <w:rsid w:val="00A54BE9"/>
    <w:rsid w:val="00A66748"/>
    <w:rsid w:val="00A75CB1"/>
    <w:rsid w:val="00A80097"/>
    <w:rsid w:val="00A91453"/>
    <w:rsid w:val="00A96285"/>
    <w:rsid w:val="00A9708A"/>
    <w:rsid w:val="00A97F4A"/>
    <w:rsid w:val="00AA580B"/>
    <w:rsid w:val="00AB2854"/>
    <w:rsid w:val="00AB4892"/>
    <w:rsid w:val="00AB6B7A"/>
    <w:rsid w:val="00AC475D"/>
    <w:rsid w:val="00AC5858"/>
    <w:rsid w:val="00AD26B9"/>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49B4"/>
    <w:rsid w:val="00B5764F"/>
    <w:rsid w:val="00B67ED6"/>
    <w:rsid w:val="00B7027E"/>
    <w:rsid w:val="00B72F3D"/>
    <w:rsid w:val="00B74337"/>
    <w:rsid w:val="00BA14D2"/>
    <w:rsid w:val="00BA707F"/>
    <w:rsid w:val="00BB6E10"/>
    <w:rsid w:val="00BD0A28"/>
    <w:rsid w:val="00BD0ABC"/>
    <w:rsid w:val="00BE398A"/>
    <w:rsid w:val="00BF0A78"/>
    <w:rsid w:val="00BF21AD"/>
    <w:rsid w:val="00BF2297"/>
    <w:rsid w:val="00BF4139"/>
    <w:rsid w:val="00BF4472"/>
    <w:rsid w:val="00BF6007"/>
    <w:rsid w:val="00C1416D"/>
    <w:rsid w:val="00C21EFA"/>
    <w:rsid w:val="00C361A9"/>
    <w:rsid w:val="00C36799"/>
    <w:rsid w:val="00C37B1B"/>
    <w:rsid w:val="00C4224C"/>
    <w:rsid w:val="00C66ECA"/>
    <w:rsid w:val="00C721BA"/>
    <w:rsid w:val="00C8406B"/>
    <w:rsid w:val="00C94847"/>
    <w:rsid w:val="00CA3B3C"/>
    <w:rsid w:val="00CC0C2B"/>
    <w:rsid w:val="00CC3DB2"/>
    <w:rsid w:val="00CC7F21"/>
    <w:rsid w:val="00CD3AE9"/>
    <w:rsid w:val="00CE131B"/>
    <w:rsid w:val="00CE242C"/>
    <w:rsid w:val="00CF5425"/>
    <w:rsid w:val="00D13D39"/>
    <w:rsid w:val="00D2296B"/>
    <w:rsid w:val="00D31547"/>
    <w:rsid w:val="00D37209"/>
    <w:rsid w:val="00D51A98"/>
    <w:rsid w:val="00D74358"/>
    <w:rsid w:val="00D75604"/>
    <w:rsid w:val="00D77FAD"/>
    <w:rsid w:val="00D81206"/>
    <w:rsid w:val="00D90DB0"/>
    <w:rsid w:val="00DA0836"/>
    <w:rsid w:val="00DA2631"/>
    <w:rsid w:val="00DD295B"/>
    <w:rsid w:val="00DE2B7D"/>
    <w:rsid w:val="00DF215F"/>
    <w:rsid w:val="00E00922"/>
    <w:rsid w:val="00E05855"/>
    <w:rsid w:val="00E1438C"/>
    <w:rsid w:val="00E22B8E"/>
    <w:rsid w:val="00E45249"/>
    <w:rsid w:val="00E517C5"/>
    <w:rsid w:val="00E56B59"/>
    <w:rsid w:val="00E85AC8"/>
    <w:rsid w:val="00EA7D37"/>
    <w:rsid w:val="00EE35A7"/>
    <w:rsid w:val="00EF47B8"/>
    <w:rsid w:val="00F03710"/>
    <w:rsid w:val="00F05579"/>
    <w:rsid w:val="00F15294"/>
    <w:rsid w:val="00F30CBA"/>
    <w:rsid w:val="00F30EA6"/>
    <w:rsid w:val="00F36C4F"/>
    <w:rsid w:val="00F40982"/>
    <w:rsid w:val="00F67706"/>
    <w:rsid w:val="00F6777E"/>
    <w:rsid w:val="00F8776C"/>
    <w:rsid w:val="00F941E4"/>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 w:val="01E305A8"/>
    <w:rsid w:val="038146B2"/>
    <w:rsid w:val="05BB3177"/>
    <w:rsid w:val="06945C29"/>
    <w:rsid w:val="097C4A9B"/>
    <w:rsid w:val="0A23652E"/>
    <w:rsid w:val="0BC74F10"/>
    <w:rsid w:val="0DCC602F"/>
    <w:rsid w:val="1085701F"/>
    <w:rsid w:val="11435248"/>
    <w:rsid w:val="13652CEB"/>
    <w:rsid w:val="149614A4"/>
    <w:rsid w:val="14B35F82"/>
    <w:rsid w:val="1828561A"/>
    <w:rsid w:val="18567E68"/>
    <w:rsid w:val="18F2126E"/>
    <w:rsid w:val="1D406682"/>
    <w:rsid w:val="219015D8"/>
    <w:rsid w:val="26235ECA"/>
    <w:rsid w:val="2A4370E4"/>
    <w:rsid w:val="2B9E347A"/>
    <w:rsid w:val="31184793"/>
    <w:rsid w:val="38594DBA"/>
    <w:rsid w:val="398D4278"/>
    <w:rsid w:val="3A7614DB"/>
    <w:rsid w:val="3AE95DF7"/>
    <w:rsid w:val="3C2506B9"/>
    <w:rsid w:val="3C6F74D2"/>
    <w:rsid w:val="3D8A0198"/>
    <w:rsid w:val="3DEB2D99"/>
    <w:rsid w:val="41087087"/>
    <w:rsid w:val="4775175A"/>
    <w:rsid w:val="484F65AA"/>
    <w:rsid w:val="48711B67"/>
    <w:rsid w:val="4DCE3B3D"/>
    <w:rsid w:val="4F824D7E"/>
    <w:rsid w:val="58376D93"/>
    <w:rsid w:val="5C392C7E"/>
    <w:rsid w:val="5CB87D6C"/>
    <w:rsid w:val="66B3443A"/>
    <w:rsid w:val="686E3CC9"/>
    <w:rsid w:val="71E75B6E"/>
    <w:rsid w:val="76A15D65"/>
    <w:rsid w:val="772D75F4"/>
    <w:rsid w:val="773D4365"/>
    <w:rsid w:val="785A00DC"/>
    <w:rsid w:val="7C6C45F0"/>
    <w:rsid w:val="7D0207E7"/>
    <w:rsid w:val="7E976A76"/>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SimSun" w:asciiTheme="minorHAnsi" w:hAnsiTheme="minorHAnsi" w:cstheme="minorBidi"/>
      <w:sz w:val="22"/>
      <w:szCs w:val="22"/>
      <w:lang w:val="zh-CN" w:eastAsia="en-US" w:bidi="ar-SA"/>
    </w:rPr>
  </w:style>
  <w:style w:type="paragraph" w:styleId="2">
    <w:name w:val="heading 1"/>
    <w:basedOn w:val="1"/>
    <w:next w:val="1"/>
    <w:link w:val="60"/>
    <w:qFormat/>
    <w:uiPriority w:val="0"/>
    <w:pPr>
      <w:keepNext/>
      <w:spacing w:before="360" w:after="60" w:line="360" w:lineRule="auto"/>
      <w:ind w:right="567"/>
      <w:contextualSpacing/>
      <w:outlineLvl w:val="0"/>
    </w:pPr>
    <w:rPr>
      <w:rFonts w:ascii="Times New Roman" w:hAnsi="Times New Roman" w:eastAsia="Times New Roman" w:cs="Arial"/>
      <w:b/>
      <w:bCs/>
      <w:kern w:val="32"/>
      <w:sz w:val="24"/>
      <w:szCs w:val="32"/>
      <w:lang w:val="en-GB" w:eastAsia="en-GB"/>
    </w:rPr>
  </w:style>
  <w:style w:type="paragraph" w:styleId="3">
    <w:name w:val="heading 2"/>
    <w:basedOn w:val="1"/>
    <w:next w:val="1"/>
    <w:link w:val="61"/>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62"/>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character" w:default="1" w:styleId="5">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66"/>
    <w:semiHidden/>
    <w:unhideWhenUsed/>
    <w:qFormat/>
    <w:uiPriority w:val="99"/>
    <w:pPr>
      <w:spacing w:after="0" w:line="240" w:lineRule="auto"/>
    </w:pPr>
    <w:rPr>
      <w:rFonts w:ascii="Segoe UI" w:hAnsi="Segoe UI" w:cs="Segoe UI"/>
      <w:sz w:val="18"/>
      <w:szCs w:val="18"/>
    </w:rPr>
  </w:style>
  <w:style w:type="paragraph" w:styleId="8">
    <w:name w:val="Body Text"/>
    <w:basedOn w:val="1"/>
    <w:link w:val="71"/>
    <w:qFormat/>
    <w:uiPriority w:val="1"/>
    <w:pPr>
      <w:widowControl w:val="0"/>
      <w:autoSpaceDE w:val="0"/>
      <w:autoSpaceDN w:val="0"/>
      <w:spacing w:after="0" w:line="240" w:lineRule="auto"/>
    </w:pPr>
    <w:rPr>
      <w:rFonts w:ascii="Times New Roman" w:hAnsi="Times New Roman" w:eastAsia="Times New Roman" w:cs="Times New Roman"/>
      <w:sz w:val="24"/>
      <w:szCs w:val="24"/>
      <w:lang w:val="en-US" w:bidi="en-US"/>
    </w:rPr>
  </w:style>
  <w:style w:type="paragraph" w:styleId="9">
    <w:name w:val="Body Text Indent 3"/>
    <w:basedOn w:val="1"/>
    <w:link w:val="78"/>
    <w:semiHidden/>
    <w:unhideWhenUsed/>
    <w:qFormat/>
    <w:uiPriority w:val="99"/>
    <w:pPr>
      <w:spacing w:after="120"/>
      <w:ind w:left="283"/>
    </w:pPr>
    <w:rPr>
      <w:sz w:val="16"/>
      <w:szCs w:val="16"/>
    </w:rPr>
  </w:style>
  <w:style w:type="paragraph" w:styleId="10">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character" w:styleId="11">
    <w:name w:val="annotation reference"/>
    <w:basedOn w:val="5"/>
    <w:semiHidden/>
    <w:unhideWhenUsed/>
    <w:qFormat/>
    <w:uiPriority w:val="99"/>
    <w:rPr>
      <w:sz w:val="16"/>
      <w:szCs w:val="16"/>
    </w:rPr>
  </w:style>
  <w:style w:type="paragraph" w:styleId="12">
    <w:name w:val="annotation text"/>
    <w:basedOn w:val="1"/>
    <w:link w:val="64"/>
    <w:semiHidden/>
    <w:unhideWhenUsed/>
    <w:qFormat/>
    <w:uiPriority w:val="99"/>
    <w:pPr>
      <w:spacing w:line="240" w:lineRule="auto"/>
    </w:pPr>
    <w:rPr>
      <w:sz w:val="20"/>
      <w:szCs w:val="20"/>
    </w:rPr>
  </w:style>
  <w:style w:type="paragraph" w:styleId="13">
    <w:name w:val="annotation subject"/>
    <w:basedOn w:val="12"/>
    <w:next w:val="12"/>
    <w:link w:val="65"/>
    <w:semiHidden/>
    <w:unhideWhenUsed/>
    <w:qFormat/>
    <w:uiPriority w:val="99"/>
    <w:rPr>
      <w:b/>
      <w:bCs/>
    </w:rPr>
  </w:style>
  <w:style w:type="character" w:styleId="14">
    <w:name w:val="Emphasis"/>
    <w:basedOn w:val="5"/>
    <w:qFormat/>
    <w:uiPriority w:val="20"/>
    <w:rPr>
      <w:i/>
      <w:iCs/>
    </w:rPr>
  </w:style>
  <w:style w:type="paragraph" w:styleId="15">
    <w:name w:val="footer"/>
    <w:basedOn w:val="1"/>
    <w:link w:val="57"/>
    <w:unhideWhenUsed/>
    <w:qFormat/>
    <w:uiPriority w:val="99"/>
    <w:pPr>
      <w:tabs>
        <w:tab w:val="center" w:pos="4513"/>
        <w:tab w:val="right" w:pos="9026"/>
      </w:tabs>
      <w:spacing w:after="0" w:line="240" w:lineRule="auto"/>
    </w:pPr>
  </w:style>
  <w:style w:type="character" w:styleId="16">
    <w:name w:val="footnote reference"/>
    <w:basedOn w:val="5"/>
    <w:unhideWhenUsed/>
    <w:qFormat/>
    <w:uiPriority w:val="99"/>
    <w:rPr>
      <w:vertAlign w:val="superscript"/>
    </w:rPr>
  </w:style>
  <w:style w:type="paragraph" w:styleId="17">
    <w:name w:val="footnote text"/>
    <w:basedOn w:val="1"/>
    <w:link w:val="58"/>
    <w:unhideWhenUsed/>
    <w:qFormat/>
    <w:uiPriority w:val="99"/>
    <w:pPr>
      <w:spacing w:after="0" w:line="240" w:lineRule="auto"/>
    </w:pPr>
    <w:rPr>
      <w:sz w:val="20"/>
      <w:szCs w:val="20"/>
    </w:rPr>
  </w:style>
  <w:style w:type="paragraph" w:styleId="18">
    <w:name w:val="header"/>
    <w:basedOn w:val="1"/>
    <w:link w:val="56"/>
    <w:unhideWhenUsed/>
    <w:qFormat/>
    <w:uiPriority w:val="99"/>
    <w:pPr>
      <w:tabs>
        <w:tab w:val="center" w:pos="4513"/>
        <w:tab w:val="right" w:pos="9026"/>
      </w:tabs>
      <w:spacing w:after="0" w:line="240" w:lineRule="auto"/>
    </w:pPr>
  </w:style>
  <w:style w:type="paragraph" w:styleId="19">
    <w:name w:val="HTML Preformatted"/>
    <w:basedOn w:val="1"/>
    <w:link w:val="8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en-US"/>
    </w:rPr>
  </w:style>
  <w:style w:type="character" w:styleId="20">
    <w:name w:val="Hyperlink"/>
    <w:unhideWhenUsed/>
    <w:qFormat/>
    <w:uiPriority w:val="99"/>
    <w:rPr>
      <w:color w:val="0563C1"/>
      <w:u w:val="single"/>
    </w:rPr>
  </w:style>
  <w:style w:type="paragraph" w:styleId="21">
    <w:name w:val="Normal (Web)"/>
    <w:basedOn w:val="1"/>
    <w:unhideWhenUsed/>
    <w:qFormat/>
    <w:uiPriority w:val="99"/>
    <w:rPr>
      <w:rFonts w:ascii="Times New Roman" w:hAnsi="Times New Roman" w:cs="Times New Roman"/>
      <w:sz w:val="24"/>
      <w:szCs w:val="24"/>
    </w:rPr>
  </w:style>
  <w:style w:type="character" w:styleId="22">
    <w:name w:val="Strong"/>
    <w:basedOn w:val="5"/>
    <w:qFormat/>
    <w:uiPriority w:val="22"/>
    <w:rPr>
      <w:b/>
      <w:bCs/>
    </w:rPr>
  </w:style>
  <w:style w:type="table" w:styleId="23">
    <w:name w:val="Table Grid"/>
    <w:basedOn w:val="6"/>
    <w:qFormat/>
    <w:uiPriority w:val="59"/>
    <w:pPr>
      <w:spacing w:after="0" w:line="240" w:lineRule="auto"/>
    </w:pPr>
    <w:rPr>
      <w:rFonts w:eastAsiaTheme="minorEastAsia"/>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4">
    <w:name w:val="toc 1"/>
    <w:basedOn w:val="1"/>
    <w:qFormat/>
    <w:uiPriority w:val="1"/>
    <w:pPr>
      <w:widowControl w:val="0"/>
      <w:autoSpaceDE w:val="0"/>
      <w:autoSpaceDN w:val="0"/>
      <w:spacing w:before="123" w:after="0" w:line="240" w:lineRule="auto"/>
      <w:ind w:right="983"/>
      <w:jc w:val="right"/>
    </w:pPr>
    <w:rPr>
      <w:rFonts w:ascii="Times New Roman" w:hAnsi="Times New Roman" w:eastAsia="Times New Roman" w:cs="Times New Roman"/>
      <w:b/>
      <w:bCs/>
      <w:sz w:val="24"/>
      <w:szCs w:val="24"/>
      <w:lang w:val="en-US" w:bidi="en-US"/>
    </w:rPr>
  </w:style>
  <w:style w:type="paragraph" w:styleId="25">
    <w:name w:val="toc 2"/>
    <w:basedOn w:val="1"/>
    <w:qFormat/>
    <w:uiPriority w:val="1"/>
    <w:pPr>
      <w:widowControl w:val="0"/>
      <w:autoSpaceDE w:val="0"/>
      <w:autoSpaceDN w:val="0"/>
      <w:spacing w:before="122" w:after="0" w:line="240" w:lineRule="auto"/>
      <w:ind w:right="983"/>
      <w:jc w:val="right"/>
    </w:pPr>
    <w:rPr>
      <w:rFonts w:ascii="Times New Roman" w:hAnsi="Times New Roman" w:eastAsia="Times New Roman" w:cs="Times New Roman"/>
      <w:sz w:val="24"/>
      <w:szCs w:val="24"/>
      <w:lang w:val="en-US" w:bidi="en-US"/>
    </w:rPr>
  </w:style>
  <w:style w:type="paragraph" w:styleId="26">
    <w:name w:val="toc 3"/>
    <w:basedOn w:val="1"/>
    <w:qFormat/>
    <w:uiPriority w:val="1"/>
    <w:pPr>
      <w:widowControl w:val="0"/>
      <w:autoSpaceDE w:val="0"/>
      <w:autoSpaceDN w:val="0"/>
      <w:spacing w:before="122" w:after="0" w:line="240" w:lineRule="auto"/>
      <w:ind w:left="1405" w:right="983" w:hanging="1406"/>
      <w:jc w:val="right"/>
    </w:pPr>
    <w:rPr>
      <w:rFonts w:ascii="Times New Roman" w:hAnsi="Times New Roman" w:eastAsia="Times New Roman" w:cs="Times New Roman"/>
      <w:i/>
      <w:sz w:val="24"/>
      <w:szCs w:val="24"/>
      <w:lang w:val="en-US" w:bidi="en-US"/>
    </w:rPr>
  </w:style>
  <w:style w:type="paragraph" w:customStyle="1" w:styleId="27">
    <w:name w:val="Alishlah_1.2_title"/>
    <w:next w:val="28"/>
    <w:qFormat/>
    <w:uiPriority w:val="0"/>
    <w:pPr>
      <w:adjustRightInd w:val="0"/>
      <w:snapToGrid w:val="0"/>
      <w:spacing w:before="600" w:after="240" w:line="400" w:lineRule="exact"/>
      <w:jc w:val="both"/>
    </w:pPr>
    <w:rPr>
      <w:rFonts w:ascii="Palatino Linotype" w:hAnsi="Palatino Linotype" w:eastAsia="Times New Roman" w:cs="Times New Roman"/>
      <w:b/>
      <w:snapToGrid w:val="0"/>
      <w:color w:val="000000"/>
      <w:sz w:val="28"/>
      <w:szCs w:val="28"/>
      <w:lang w:val="en-GB" w:eastAsia="de-DE" w:bidi="en-US"/>
    </w:rPr>
  </w:style>
  <w:style w:type="paragraph" w:customStyle="1" w:styleId="28">
    <w:name w:val="Alishlah_1.3_authornames"/>
    <w:basedOn w:val="1"/>
    <w:next w:val="29"/>
    <w:qFormat/>
    <w:uiPriority w:val="0"/>
    <w:pPr>
      <w:adjustRightInd w:val="0"/>
      <w:snapToGrid w:val="0"/>
      <w:spacing w:after="120" w:line="260" w:lineRule="atLeast"/>
    </w:pPr>
    <w:rPr>
      <w:rFonts w:ascii="Palatino Linotype" w:hAnsi="Palatino Linotype" w:eastAsia="Times New Roman" w:cs="Times New Roman"/>
      <w:b/>
      <w:color w:val="000000"/>
      <w:sz w:val="20"/>
      <w:lang w:val="en-US" w:eastAsia="de-DE" w:bidi="en-US"/>
    </w:rPr>
  </w:style>
  <w:style w:type="paragraph" w:customStyle="1" w:styleId="29">
    <w:name w:val="Alishlah_1.4_history"/>
    <w:basedOn w:val="1"/>
    <w:next w:val="1"/>
    <w:qFormat/>
    <w:uiPriority w:val="0"/>
    <w:pPr>
      <w:adjustRightInd w:val="0"/>
      <w:snapToGrid w:val="0"/>
      <w:spacing w:after="0" w:line="240" w:lineRule="auto"/>
    </w:pPr>
    <w:rPr>
      <w:rFonts w:ascii="Palatino Linotype" w:hAnsi="Palatino Linotype" w:eastAsia="Times New Roman" w:cs="Times New Roman"/>
      <w:color w:val="000000"/>
      <w:sz w:val="18"/>
      <w:szCs w:val="20"/>
      <w:lang w:val="en-US" w:eastAsia="de-DE" w:bidi="en-US"/>
    </w:rPr>
  </w:style>
  <w:style w:type="paragraph" w:customStyle="1" w:styleId="30">
    <w:name w:val="Alishlah_1.6_affiliation"/>
    <w:basedOn w:val="1"/>
    <w:qFormat/>
    <w:uiPriority w:val="0"/>
    <w:pPr>
      <w:adjustRightInd w:val="0"/>
      <w:snapToGrid w:val="0"/>
      <w:spacing w:after="0" w:line="200" w:lineRule="atLeast"/>
      <w:ind w:left="311" w:hanging="198"/>
    </w:pPr>
    <w:rPr>
      <w:rFonts w:ascii="Palatino Linotype" w:hAnsi="Palatino Linotype" w:eastAsia="Times New Roman" w:cs="Times New Roman"/>
      <w:color w:val="000000"/>
      <w:sz w:val="18"/>
      <w:szCs w:val="18"/>
      <w:lang w:val="en-US" w:eastAsia="de-DE" w:bidi="en-US"/>
    </w:rPr>
  </w:style>
  <w:style w:type="paragraph" w:customStyle="1" w:styleId="31">
    <w:name w:val="Alishlah_2_author_correspondence"/>
    <w:qFormat/>
    <w:uiPriority w:val="0"/>
    <w:pPr>
      <w:kinsoku w:val="0"/>
      <w:overflowPunct w:val="0"/>
      <w:autoSpaceDE w:val="0"/>
      <w:autoSpaceDN w:val="0"/>
      <w:adjustRightInd w:val="0"/>
      <w:snapToGrid w:val="0"/>
      <w:spacing w:after="0" w:line="200" w:lineRule="atLeast"/>
      <w:ind w:left="311" w:hanging="198"/>
    </w:pPr>
    <w:rPr>
      <w:rFonts w:ascii="Palatino Linotype" w:hAnsi="Palatino Linotype" w:eastAsia="Times New Roman" w:cs="Times New Roman"/>
      <w:snapToGrid w:val="0"/>
      <w:color w:val="000000"/>
      <w:sz w:val="18"/>
      <w:szCs w:val="20"/>
      <w:lang w:val="en-US" w:eastAsia="de-DE" w:bidi="en-US"/>
    </w:rPr>
  </w:style>
  <w:style w:type="paragraph" w:customStyle="1" w:styleId="32">
    <w:name w:val="Alishlah_1.7_abstract"/>
    <w:basedOn w:val="33"/>
    <w:next w:val="34"/>
    <w:qFormat/>
    <w:uiPriority w:val="0"/>
    <w:pPr>
      <w:spacing w:line="240" w:lineRule="auto"/>
      <w:ind w:left="113" w:firstLine="0"/>
    </w:pPr>
    <w:rPr>
      <w:snapToGrid/>
      <w:szCs w:val="20"/>
    </w:rPr>
  </w:style>
  <w:style w:type="paragraph" w:customStyle="1" w:styleId="33">
    <w:name w:val="Alishlah_3.1_text"/>
    <w:qFormat/>
    <w:uiPriority w:val="0"/>
    <w:pPr>
      <w:adjustRightInd w:val="0"/>
      <w:snapToGrid w:val="0"/>
      <w:spacing w:after="0" w:line="260" w:lineRule="atLeast"/>
      <w:ind w:firstLine="425"/>
      <w:jc w:val="both"/>
    </w:pPr>
    <w:rPr>
      <w:rFonts w:ascii="Palatino Linotype" w:hAnsi="Palatino Linotype" w:eastAsia="Times New Roman" w:cs="Times New Roman"/>
      <w:snapToGrid w:val="0"/>
      <w:color w:val="000000"/>
      <w:sz w:val="20"/>
      <w:szCs w:val="22"/>
      <w:lang w:val="en-US" w:eastAsia="de-DE" w:bidi="en-US"/>
    </w:rPr>
  </w:style>
  <w:style w:type="paragraph" w:customStyle="1" w:styleId="34">
    <w:name w:val="Alishlah_1.8_keywords"/>
    <w:basedOn w:val="33"/>
    <w:next w:val="1"/>
    <w:qFormat/>
    <w:uiPriority w:val="0"/>
    <w:pPr>
      <w:spacing w:line="240" w:lineRule="auto"/>
      <w:ind w:left="37" w:firstLine="0"/>
    </w:pPr>
    <w:rPr>
      <w:sz w:val="18"/>
      <w:szCs w:val="18"/>
    </w:rPr>
  </w:style>
  <w:style w:type="paragraph" w:customStyle="1" w:styleId="35">
    <w:name w:val="Alishlah_2.1_heading1"/>
    <w:basedOn w:val="1"/>
    <w:qFormat/>
    <w:uiPriority w:val="0"/>
    <w:pPr>
      <w:numPr>
        <w:ilvl w:val="0"/>
        <w:numId w:val="1"/>
      </w:numPr>
      <w:adjustRightInd w:val="0"/>
      <w:snapToGrid w:val="0"/>
      <w:spacing w:before="240" w:after="120" w:line="260" w:lineRule="atLeast"/>
      <w:ind w:left="426" w:hanging="426"/>
      <w:outlineLvl w:val="0"/>
    </w:pPr>
    <w:rPr>
      <w:rFonts w:ascii="Palatino Linotype" w:hAnsi="Palatino Linotype" w:eastAsia="Times New Roman" w:cs="Times New Roman"/>
      <w:b/>
      <w:snapToGrid w:val="0"/>
      <w:color w:val="000000"/>
      <w:sz w:val="20"/>
      <w:lang w:val="en-US" w:eastAsia="zh-CN" w:bidi="en-US"/>
    </w:rPr>
  </w:style>
  <w:style w:type="paragraph" w:customStyle="1" w:styleId="36">
    <w:name w:val="Alishlah_3.2_text_no_indent"/>
    <w:basedOn w:val="33"/>
    <w:qFormat/>
    <w:uiPriority w:val="0"/>
    <w:pPr>
      <w:ind w:firstLine="0"/>
    </w:pPr>
  </w:style>
  <w:style w:type="paragraph" w:customStyle="1" w:styleId="37">
    <w:name w:val="Alishlah_3.3_text_space_after"/>
    <w:basedOn w:val="33"/>
    <w:qFormat/>
    <w:uiPriority w:val="0"/>
    <w:pPr>
      <w:spacing w:after="240"/>
    </w:pPr>
  </w:style>
  <w:style w:type="paragraph" w:customStyle="1" w:styleId="38">
    <w:name w:val="Alishlah_3.4_text_space_before"/>
    <w:basedOn w:val="33"/>
    <w:qFormat/>
    <w:uiPriority w:val="0"/>
    <w:pPr>
      <w:spacing w:before="240"/>
    </w:pPr>
  </w:style>
  <w:style w:type="paragraph" w:customStyle="1" w:styleId="39">
    <w:name w:val="Alishlah_3.5_text_before_list"/>
    <w:basedOn w:val="33"/>
    <w:qFormat/>
    <w:uiPriority w:val="0"/>
    <w:pPr>
      <w:spacing w:after="120"/>
    </w:pPr>
  </w:style>
  <w:style w:type="paragraph" w:customStyle="1" w:styleId="40">
    <w:name w:val="Alishlah_3.6_text_after_list"/>
    <w:basedOn w:val="33"/>
    <w:qFormat/>
    <w:uiPriority w:val="0"/>
    <w:pPr>
      <w:spacing w:before="120"/>
    </w:pPr>
  </w:style>
  <w:style w:type="paragraph" w:customStyle="1" w:styleId="41">
    <w:name w:val="Alishlah_3.7_itemize"/>
    <w:basedOn w:val="33"/>
    <w:qFormat/>
    <w:uiPriority w:val="0"/>
    <w:pPr>
      <w:numPr>
        <w:ilvl w:val="0"/>
        <w:numId w:val="2"/>
      </w:numPr>
      <w:ind w:left="425" w:hanging="425"/>
    </w:pPr>
  </w:style>
  <w:style w:type="paragraph" w:customStyle="1" w:styleId="42">
    <w:name w:val="Alishlah_3.8_bullet"/>
    <w:basedOn w:val="33"/>
    <w:qFormat/>
    <w:uiPriority w:val="0"/>
    <w:pPr>
      <w:numPr>
        <w:ilvl w:val="0"/>
        <w:numId w:val="3"/>
      </w:numPr>
      <w:ind w:left="425" w:hanging="425"/>
    </w:pPr>
  </w:style>
  <w:style w:type="paragraph" w:customStyle="1" w:styleId="43">
    <w:name w:val="Alishlah_3.9_equation"/>
    <w:basedOn w:val="33"/>
    <w:qFormat/>
    <w:uiPriority w:val="0"/>
    <w:pPr>
      <w:spacing w:before="120" w:after="120"/>
      <w:ind w:left="709" w:firstLine="0"/>
      <w:jc w:val="center"/>
    </w:pPr>
  </w:style>
  <w:style w:type="paragraph" w:customStyle="1" w:styleId="44">
    <w:name w:val="Alishlah_3.a_equation_number"/>
    <w:basedOn w:val="33"/>
    <w:qFormat/>
    <w:uiPriority w:val="0"/>
    <w:pPr>
      <w:spacing w:before="120" w:after="120" w:line="240" w:lineRule="auto"/>
      <w:ind w:firstLine="0"/>
      <w:jc w:val="right"/>
    </w:pPr>
  </w:style>
  <w:style w:type="paragraph" w:customStyle="1" w:styleId="45">
    <w:name w:val="Alishlah_6.2_Acknowledgments"/>
    <w:qFormat/>
    <w:uiPriority w:val="0"/>
    <w:pPr>
      <w:adjustRightInd w:val="0"/>
      <w:snapToGrid w:val="0"/>
      <w:spacing w:before="120" w:after="0" w:line="200" w:lineRule="atLeast"/>
      <w:jc w:val="both"/>
    </w:pPr>
    <w:rPr>
      <w:rFonts w:ascii="Palatino Linotype" w:hAnsi="Palatino Linotype" w:eastAsia="Times New Roman" w:cs="Times New Roman"/>
      <w:snapToGrid w:val="0"/>
      <w:color w:val="000000"/>
      <w:sz w:val="18"/>
      <w:szCs w:val="20"/>
      <w:lang w:val="en-US" w:eastAsia="de-DE" w:bidi="en-US"/>
    </w:rPr>
  </w:style>
  <w:style w:type="paragraph" w:customStyle="1" w:styleId="46">
    <w:name w:val="Alishlah_4.1_table_caption"/>
    <w:basedOn w:val="45"/>
    <w:qFormat/>
    <w:uiPriority w:val="0"/>
    <w:pPr>
      <w:spacing w:before="240" w:after="120" w:line="260" w:lineRule="atLeast"/>
      <w:ind w:left="425" w:right="425"/>
      <w:jc w:val="center"/>
    </w:pPr>
    <w:rPr>
      <w:rFonts w:eastAsia="Georgia"/>
      <w:b/>
      <w:bCs/>
      <w:snapToGrid/>
      <w:szCs w:val="22"/>
    </w:rPr>
  </w:style>
  <w:style w:type="paragraph" w:customStyle="1" w:styleId="47">
    <w:name w:val="Alishlah_4.2_table_body"/>
    <w:qFormat/>
    <w:uiPriority w:val="0"/>
    <w:pPr>
      <w:adjustRightInd w:val="0"/>
      <w:snapToGrid w:val="0"/>
      <w:spacing w:after="0" w:line="260" w:lineRule="atLeast"/>
      <w:jc w:val="center"/>
    </w:pPr>
    <w:rPr>
      <w:rFonts w:ascii="Palatino Linotype" w:hAnsi="Palatino Linotype" w:eastAsia="Times New Roman" w:cs="Times New Roman"/>
      <w:snapToGrid w:val="0"/>
      <w:color w:val="000000"/>
      <w:sz w:val="20"/>
      <w:szCs w:val="20"/>
      <w:lang w:val="en-US" w:eastAsia="de-DE" w:bidi="en-US"/>
    </w:rPr>
  </w:style>
  <w:style w:type="paragraph" w:customStyle="1" w:styleId="48">
    <w:name w:val="Alishlah_4.3_table_footer"/>
    <w:basedOn w:val="46"/>
    <w:next w:val="33"/>
    <w:qFormat/>
    <w:uiPriority w:val="0"/>
    <w:pPr>
      <w:spacing w:before="0"/>
      <w:ind w:left="0" w:right="0"/>
    </w:pPr>
    <w:rPr>
      <w:b w:val="0"/>
      <w:bCs w:val="0"/>
    </w:rPr>
  </w:style>
  <w:style w:type="paragraph" w:customStyle="1" w:styleId="49">
    <w:name w:val="Alishlah_5.1_figure_caption"/>
    <w:basedOn w:val="45"/>
    <w:qFormat/>
    <w:uiPriority w:val="0"/>
    <w:pPr>
      <w:spacing w:after="240" w:line="260" w:lineRule="atLeast"/>
      <w:ind w:left="425" w:right="425"/>
    </w:pPr>
    <w:rPr>
      <w:snapToGrid/>
    </w:rPr>
  </w:style>
  <w:style w:type="paragraph" w:customStyle="1" w:styleId="50">
    <w:name w:val="Alishlah_5.2_figure"/>
    <w:qFormat/>
    <w:uiPriority w:val="0"/>
    <w:pPr>
      <w:spacing w:after="0" w:line="240" w:lineRule="auto"/>
      <w:jc w:val="center"/>
    </w:pPr>
    <w:rPr>
      <w:rFonts w:ascii="Palatino Linotype" w:hAnsi="Palatino Linotype" w:eastAsia="Times New Roman" w:cs="Times New Roman"/>
      <w:snapToGrid w:val="0"/>
      <w:color w:val="000000"/>
      <w:sz w:val="24"/>
      <w:szCs w:val="20"/>
      <w:lang w:val="en-US" w:eastAsia="de-DE" w:bidi="en-US"/>
    </w:rPr>
  </w:style>
  <w:style w:type="paragraph" w:customStyle="1" w:styleId="51">
    <w:name w:val="MDPI_header_journal_logo"/>
    <w:qFormat/>
    <w:uiPriority w:val="0"/>
    <w:pPr>
      <w:adjustRightInd w:val="0"/>
      <w:snapToGrid w:val="0"/>
      <w:spacing w:after="0" w:line="240" w:lineRule="auto"/>
    </w:pPr>
    <w:rPr>
      <w:rFonts w:ascii="Palatino Linotype" w:hAnsi="Palatino Linotype" w:eastAsia="Times New Roman" w:cs="Times New Roman"/>
      <w:i/>
      <w:color w:val="000000"/>
      <w:sz w:val="24"/>
      <w:szCs w:val="22"/>
      <w:lang w:val="en-US" w:eastAsia="de-CH" w:bidi="ar-SA"/>
    </w:rPr>
  </w:style>
  <w:style w:type="paragraph" w:customStyle="1" w:styleId="52">
    <w:name w:val="Alishlah_8.1_Quote"/>
    <w:basedOn w:val="36"/>
    <w:qFormat/>
    <w:uiPriority w:val="0"/>
    <w:pPr>
      <w:ind w:left="426"/>
    </w:pPr>
    <w:rPr>
      <w:iCs/>
    </w:rPr>
  </w:style>
  <w:style w:type="paragraph" w:customStyle="1" w:styleId="53">
    <w:name w:val="Alishlah_2.3_heading3"/>
    <w:basedOn w:val="33"/>
    <w:qFormat/>
    <w:uiPriority w:val="0"/>
    <w:pPr>
      <w:spacing w:before="240" w:after="120"/>
      <w:ind w:firstLine="0"/>
      <w:jc w:val="left"/>
      <w:outlineLvl w:val="2"/>
    </w:pPr>
  </w:style>
  <w:style w:type="paragraph" w:customStyle="1" w:styleId="54">
    <w:name w:val="Alishlah_2.2_heading2"/>
    <w:basedOn w:val="1"/>
    <w:qFormat/>
    <w:uiPriority w:val="0"/>
    <w:pPr>
      <w:kinsoku w:val="0"/>
      <w:overflowPunct w:val="0"/>
      <w:autoSpaceDE w:val="0"/>
      <w:autoSpaceDN w:val="0"/>
      <w:adjustRightInd w:val="0"/>
      <w:snapToGrid w:val="0"/>
      <w:spacing w:before="240" w:after="120" w:line="260" w:lineRule="atLeast"/>
      <w:outlineLvl w:val="1"/>
    </w:pPr>
    <w:rPr>
      <w:rFonts w:ascii="Palatino Linotype" w:hAnsi="Palatino Linotype" w:eastAsia="Georgia" w:cs="Times New Roman"/>
      <w:b/>
      <w:bCs/>
      <w:i/>
      <w:snapToGrid w:val="0"/>
      <w:color w:val="000000"/>
      <w:sz w:val="20"/>
      <w:lang w:val="en-US" w:eastAsia="de-DE" w:bidi="en-US"/>
    </w:rPr>
  </w:style>
  <w:style w:type="paragraph" w:customStyle="1" w:styleId="55">
    <w:name w:val="Alishlah_7.1_References"/>
    <w:basedOn w:val="1"/>
    <w:qFormat/>
    <w:uiPriority w:val="0"/>
    <w:pPr>
      <w:widowControl w:val="0"/>
      <w:autoSpaceDE w:val="0"/>
      <w:autoSpaceDN w:val="0"/>
      <w:adjustRightInd w:val="0"/>
      <w:spacing w:after="0" w:line="240" w:lineRule="atLeast"/>
      <w:ind w:left="480" w:hanging="480"/>
      <w:jc w:val="both"/>
    </w:pPr>
    <w:rPr>
      <w:rFonts w:ascii="Palatino Linotype" w:hAnsi="Palatino Linotype" w:cs="Times New Roman"/>
      <w:sz w:val="20"/>
      <w:szCs w:val="20"/>
    </w:rPr>
  </w:style>
  <w:style w:type="character" w:customStyle="1" w:styleId="56">
    <w:name w:val="Header Char"/>
    <w:basedOn w:val="5"/>
    <w:link w:val="18"/>
    <w:qFormat/>
    <w:uiPriority w:val="99"/>
  </w:style>
  <w:style w:type="character" w:customStyle="1" w:styleId="57">
    <w:name w:val="Footer Char"/>
    <w:basedOn w:val="5"/>
    <w:link w:val="15"/>
    <w:qFormat/>
    <w:uiPriority w:val="99"/>
  </w:style>
  <w:style w:type="character" w:customStyle="1" w:styleId="58">
    <w:name w:val="Footnote Text Char"/>
    <w:basedOn w:val="5"/>
    <w:link w:val="17"/>
    <w:qFormat/>
    <w:uiPriority w:val="99"/>
    <w:rPr>
      <w:sz w:val="20"/>
      <w:szCs w:val="20"/>
    </w:rPr>
  </w:style>
  <w:style w:type="character" w:customStyle="1" w:styleId="59">
    <w:name w:val="Unresolved Mention1"/>
    <w:basedOn w:val="5"/>
    <w:semiHidden/>
    <w:unhideWhenUsed/>
    <w:qFormat/>
    <w:uiPriority w:val="99"/>
    <w:rPr>
      <w:color w:val="605E5C"/>
      <w:shd w:val="clear" w:color="auto" w:fill="E1DFDD"/>
    </w:rPr>
  </w:style>
  <w:style w:type="character" w:customStyle="1" w:styleId="60">
    <w:name w:val="Heading 1 Char"/>
    <w:basedOn w:val="5"/>
    <w:link w:val="2"/>
    <w:qFormat/>
    <w:uiPriority w:val="0"/>
    <w:rPr>
      <w:rFonts w:ascii="Times New Roman" w:hAnsi="Times New Roman" w:eastAsia="Times New Roman" w:cs="Arial"/>
      <w:b/>
      <w:bCs/>
      <w:kern w:val="32"/>
      <w:sz w:val="24"/>
      <w:szCs w:val="32"/>
      <w:lang w:val="en-GB" w:eastAsia="en-GB"/>
    </w:rPr>
  </w:style>
  <w:style w:type="character" w:customStyle="1" w:styleId="61">
    <w:name w:val="Heading 2 Char"/>
    <w:basedOn w:val="5"/>
    <w:link w:val="3"/>
    <w:qFormat/>
    <w:uiPriority w:val="9"/>
    <w:rPr>
      <w:rFonts w:asciiTheme="majorHAnsi" w:hAnsiTheme="majorHAnsi" w:eastAsiaTheme="majorEastAsia" w:cstheme="majorBidi"/>
      <w:color w:val="2F5597" w:themeColor="accent1" w:themeShade="BF"/>
      <w:sz w:val="26"/>
      <w:szCs w:val="26"/>
    </w:rPr>
  </w:style>
  <w:style w:type="character" w:customStyle="1" w:styleId="62">
    <w:name w:val="Heading 3 Char"/>
    <w:basedOn w:val="5"/>
    <w:link w:val="4"/>
    <w:qFormat/>
    <w:uiPriority w:val="9"/>
    <w:rPr>
      <w:rFonts w:asciiTheme="majorHAnsi" w:hAnsiTheme="majorHAnsi" w:eastAsiaTheme="majorEastAsia" w:cstheme="majorBidi"/>
      <w:color w:val="203864" w:themeColor="accent1" w:themeShade="80"/>
      <w:sz w:val="24"/>
      <w:szCs w:val="24"/>
    </w:rPr>
  </w:style>
  <w:style w:type="paragraph" w:styleId="63">
    <w:name w:val="List Paragraph"/>
    <w:basedOn w:val="1"/>
    <w:link w:val="79"/>
    <w:qFormat/>
    <w:uiPriority w:val="34"/>
    <w:pPr>
      <w:spacing w:after="200" w:line="276" w:lineRule="auto"/>
      <w:ind w:left="720"/>
      <w:contextualSpacing/>
    </w:pPr>
    <w:rPr>
      <w:rFonts w:cs="Arial" w:eastAsiaTheme="minorEastAsia"/>
      <w:lang w:val="id-ID"/>
    </w:rPr>
  </w:style>
  <w:style w:type="character" w:customStyle="1" w:styleId="64">
    <w:name w:val="Comment Text Char"/>
    <w:basedOn w:val="5"/>
    <w:link w:val="12"/>
    <w:semiHidden/>
    <w:qFormat/>
    <w:uiPriority w:val="99"/>
    <w:rPr>
      <w:sz w:val="20"/>
      <w:szCs w:val="20"/>
    </w:rPr>
  </w:style>
  <w:style w:type="character" w:customStyle="1" w:styleId="65">
    <w:name w:val="Comment Subject Char"/>
    <w:basedOn w:val="64"/>
    <w:link w:val="13"/>
    <w:semiHidden/>
    <w:qFormat/>
    <w:uiPriority w:val="99"/>
    <w:rPr>
      <w:b/>
      <w:bCs/>
      <w:sz w:val="20"/>
      <w:szCs w:val="20"/>
    </w:rPr>
  </w:style>
  <w:style w:type="character" w:customStyle="1" w:styleId="66">
    <w:name w:val="Balloon Text Char"/>
    <w:basedOn w:val="5"/>
    <w:link w:val="7"/>
    <w:semiHidden/>
    <w:qFormat/>
    <w:uiPriority w:val="99"/>
    <w:rPr>
      <w:rFonts w:ascii="Segoe UI" w:hAnsi="Segoe UI" w:cs="Segoe UI"/>
      <w:sz w:val="18"/>
      <w:szCs w:val="18"/>
    </w:rPr>
  </w:style>
  <w:style w:type="character" w:customStyle="1" w:styleId="67">
    <w:name w:val="tlid-translation"/>
    <w:basedOn w:val="5"/>
    <w:uiPriority w:val="0"/>
  </w:style>
  <w:style w:type="table" w:customStyle="1" w:styleId="68">
    <w:name w:val="Plain Table 2"/>
    <w:basedOn w:val="6"/>
    <w:uiPriority w:val="42"/>
    <w:pPr>
      <w:spacing w:after="0" w:line="240" w:lineRule="auto"/>
    </w:p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69">
    <w:name w:val="Unresolved Mention2"/>
    <w:basedOn w:val="5"/>
    <w:semiHidden/>
    <w:unhideWhenUsed/>
    <w:uiPriority w:val="99"/>
    <w:rPr>
      <w:color w:val="605E5C"/>
      <w:shd w:val="clear" w:color="auto" w:fill="E1DFDD"/>
    </w:rPr>
  </w:style>
  <w:style w:type="character" w:customStyle="1" w:styleId="70">
    <w:name w:val="Unresolved Mention3"/>
    <w:basedOn w:val="5"/>
    <w:semiHidden/>
    <w:unhideWhenUsed/>
    <w:qFormat/>
    <w:uiPriority w:val="99"/>
    <w:rPr>
      <w:color w:val="605E5C"/>
      <w:shd w:val="clear" w:color="auto" w:fill="E1DFDD"/>
    </w:rPr>
  </w:style>
  <w:style w:type="character" w:customStyle="1" w:styleId="71">
    <w:name w:val="Body Text Char"/>
    <w:basedOn w:val="5"/>
    <w:link w:val="8"/>
    <w:uiPriority w:val="1"/>
    <w:rPr>
      <w:rFonts w:ascii="Times New Roman" w:hAnsi="Times New Roman" w:eastAsia="Times New Roman" w:cs="Times New Roman"/>
      <w:sz w:val="24"/>
      <w:szCs w:val="24"/>
      <w:lang w:val="en-US" w:bidi="en-US"/>
    </w:rPr>
  </w:style>
  <w:style w:type="paragraph" w:customStyle="1" w:styleId="72">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en-US" w:bidi="en-US"/>
    </w:rPr>
  </w:style>
  <w:style w:type="character" w:customStyle="1" w:styleId="73">
    <w:name w:val="lc"/>
    <w:basedOn w:val="5"/>
    <w:uiPriority w:val="0"/>
  </w:style>
  <w:style w:type="character" w:customStyle="1" w:styleId="74">
    <w:name w:val="kw"/>
    <w:basedOn w:val="5"/>
    <w:uiPriority w:val="0"/>
  </w:style>
  <w:style w:type="character" w:customStyle="1" w:styleId="75">
    <w:name w:val="rc"/>
    <w:basedOn w:val="5"/>
    <w:uiPriority w:val="0"/>
  </w:style>
  <w:style w:type="character" w:customStyle="1" w:styleId="76">
    <w:name w:val="st"/>
    <w:basedOn w:val="5"/>
    <w:uiPriority w:val="0"/>
  </w:style>
  <w:style w:type="character" w:customStyle="1" w:styleId="77">
    <w:name w:val="Unresolved Mention"/>
    <w:basedOn w:val="5"/>
    <w:semiHidden/>
    <w:unhideWhenUsed/>
    <w:uiPriority w:val="99"/>
    <w:rPr>
      <w:color w:val="605E5C"/>
      <w:shd w:val="clear" w:color="auto" w:fill="E1DFDD"/>
    </w:rPr>
  </w:style>
  <w:style w:type="character" w:customStyle="1" w:styleId="78">
    <w:name w:val="Body Text Indent 3 Char"/>
    <w:basedOn w:val="5"/>
    <w:link w:val="9"/>
    <w:semiHidden/>
    <w:uiPriority w:val="99"/>
    <w:rPr>
      <w:sz w:val="16"/>
      <w:szCs w:val="16"/>
    </w:rPr>
  </w:style>
  <w:style w:type="character" w:customStyle="1" w:styleId="79">
    <w:name w:val="List Paragraph Char"/>
    <w:basedOn w:val="5"/>
    <w:link w:val="63"/>
    <w:locked/>
    <w:uiPriority w:val="34"/>
    <w:rPr>
      <w:rFonts w:cs="Arial" w:eastAsiaTheme="minorEastAsia"/>
      <w:lang w:val="id-ID"/>
    </w:rPr>
  </w:style>
  <w:style w:type="paragraph" w:styleId="80">
    <w:name w:val="No Spacing"/>
    <w:link w:val="84"/>
    <w:qFormat/>
    <w:uiPriority w:val="1"/>
    <w:pPr>
      <w:spacing w:after="0" w:line="240" w:lineRule="auto"/>
    </w:pPr>
    <w:rPr>
      <w:rFonts w:asciiTheme="minorHAnsi" w:hAnsiTheme="minorHAnsi" w:eastAsiaTheme="minorEastAsia" w:cstheme="minorBidi"/>
      <w:sz w:val="22"/>
      <w:szCs w:val="22"/>
      <w:lang w:val="id-ID" w:eastAsia="id-ID" w:bidi="ar-SA"/>
    </w:rPr>
  </w:style>
  <w:style w:type="character" w:customStyle="1" w:styleId="81">
    <w:name w:val="HTML Preformatted Char"/>
    <w:basedOn w:val="5"/>
    <w:link w:val="19"/>
    <w:uiPriority w:val="99"/>
    <w:rPr>
      <w:rFonts w:ascii="Courier New" w:hAnsi="Courier New" w:eastAsia="Times New Roman" w:cs="Courier New"/>
      <w:sz w:val="20"/>
      <w:szCs w:val="20"/>
      <w:lang w:val="en-US"/>
    </w:rPr>
  </w:style>
  <w:style w:type="table" w:customStyle="1" w:styleId="82">
    <w:name w:val="Plain Table 4"/>
    <w:basedOn w:val="6"/>
    <w:uiPriority w:val="44"/>
    <w:pPr>
      <w:spacing w:after="0" w:line="240" w:lineRule="auto"/>
    </w:pPr>
    <w:rPr>
      <w:rFonts w:eastAsiaTheme="minorHAnsi"/>
      <w:lang w:val="en-US"/>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83">
    <w:name w:val="Table Grid1"/>
    <w:basedOn w:val="6"/>
    <w:uiPriority w:val="59"/>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4">
    <w:name w:val="No Spacing Char"/>
    <w:link w:val="80"/>
    <w:locked/>
    <w:uiPriority w:val="1"/>
    <w:rPr>
      <w:rFonts w:eastAsiaTheme="minorEastAsia"/>
      <w:lang w:val="id-ID" w:eastAsia="id-ID"/>
    </w:rPr>
  </w:style>
  <w:style w:type="paragraph" w:customStyle="1" w:styleId="85">
    <w:name w:val="Alishlah_2.4 HEading4"/>
    <w:basedOn w:val="4"/>
    <w:link w:val="86"/>
    <w:qFormat/>
    <w:uiPriority w:val="0"/>
    <w:pPr>
      <w:spacing w:before="0"/>
    </w:pPr>
    <w:rPr>
      <w:rFonts w:ascii="Palatino Linotype" w:hAnsi="Palatino Linotype" w:cs="Times New Roman"/>
      <w:i/>
      <w:color w:val="auto"/>
      <w:sz w:val="20"/>
      <w:szCs w:val="20"/>
    </w:rPr>
  </w:style>
  <w:style w:type="character" w:customStyle="1" w:styleId="86">
    <w:name w:val="Alishlah_2.4 HEading4 Char"/>
    <w:basedOn w:val="62"/>
    <w:link w:val="85"/>
    <w:uiPriority w:val="0"/>
    <w:rPr>
      <w:rFonts w:ascii="Palatino Linotype" w:hAnsi="Palatino Linotype" w:cs="Times New Roman" w:eastAsiaTheme="majorEastAsia"/>
      <w:i/>
      <w:color w:val="203864" w:themeColor="accent1" w:themeShade="8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tih%20Purnamasari\Downloads\Template-2022%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D9790D-0500-48E9-B5AC-43EFB0F3F0AB}">
  <ds:schemaRefs/>
</ds:datastoreItem>
</file>

<file path=docProps/app.xml><?xml version="1.0" encoding="utf-8"?>
<Properties xmlns="http://schemas.openxmlformats.org/officeDocument/2006/extended-properties" xmlns:vt="http://schemas.openxmlformats.org/officeDocument/2006/docPropsVTypes">
  <Template>Template-2022 (3).dotx</Template>
  <Pages>13</Pages>
  <Words>379</Words>
  <Characters>2139</Characters>
  <Lines>113</Lines>
  <Paragraphs>31</Paragraphs>
  <TotalTime>70</TotalTime>
  <ScaleCrop>false</ScaleCrop>
  <LinksUpToDate>false</LinksUpToDate>
  <CharactersWithSpaces>2500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2025-06-29T07:46:00Z</dcterms:created>
  <dc:creator>Ratih Purnamasari</dc:creator>
  <cp:lastModifiedBy>Ratih Purnamasari</cp:lastModifiedBy>
  <dcterms:modified xsi:type="dcterms:W3CDTF">2025-07-02T18:57:01Z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y fmtid="{D5CDD505-2E9C-101B-9397-08002B2CF9AE}" pid="25" name="ICV">
    <vt:lpwstr>C131DC5CFBD649159047960C9760CB30_11</vt:lpwstr>
  </property>
  <property fmtid="{D5CDD505-2E9C-101B-9397-08002B2CF9AE}" pid="26" name="KSOProductBuildVer">
    <vt:lpwstr>1033-12.2.0.21546</vt:lpwstr>
  </property>
</Properties>
</file>