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556F9D" w14:textId="6A2A77A3" w:rsidR="00916BB3" w:rsidRDefault="004D4BD4" w:rsidP="004D4BD4">
      <w:pPr>
        <w:pStyle w:val="Alishlah16affiliation"/>
        <w:ind w:left="0" w:firstLine="0"/>
        <w:rPr>
          <w:b/>
          <w:snapToGrid w:val="0"/>
          <w:sz w:val="28"/>
          <w:szCs w:val="28"/>
          <w:lang w:val="en-GB"/>
        </w:rPr>
      </w:pPr>
      <w:proofErr w:type="spellStart"/>
      <w:r w:rsidRPr="004D4BD4">
        <w:rPr>
          <w:b/>
          <w:snapToGrid w:val="0"/>
          <w:sz w:val="28"/>
          <w:szCs w:val="28"/>
          <w:lang w:val="en-GB"/>
        </w:rPr>
        <w:t>Bibliometric</w:t>
      </w:r>
      <w:proofErr w:type="spellEnd"/>
      <w:r w:rsidRPr="004D4BD4">
        <w:rPr>
          <w:b/>
          <w:snapToGrid w:val="0"/>
          <w:sz w:val="28"/>
          <w:szCs w:val="28"/>
          <w:lang w:val="en-GB"/>
        </w:rPr>
        <w:t xml:space="preserve"> Analysis and PRISMA-Based Systematic Literature Review on AI-Assisted Adaptive Learning from the Perspective of Vocational Education</w:t>
      </w:r>
    </w:p>
    <w:p w14:paraId="7A3C9768" w14:textId="77777777" w:rsidR="004D4BD4" w:rsidRPr="00916BB3" w:rsidRDefault="004D4BD4" w:rsidP="004D4BD4">
      <w:pPr>
        <w:pStyle w:val="Alishlah16affiliation"/>
        <w:ind w:left="0" w:firstLine="0"/>
        <w:rPr>
          <w:b/>
          <w:sz w:val="20"/>
          <w:szCs w:val="22"/>
          <w:lang w:val="en-GB"/>
        </w:rPr>
      </w:pPr>
    </w:p>
    <w:p w14:paraId="17A7C782" w14:textId="700673F6" w:rsidR="00916BB3" w:rsidRDefault="00916BB3" w:rsidP="00916BB3">
      <w:pPr>
        <w:pStyle w:val="Alishlah16affiliation"/>
        <w:rPr>
          <w:color w:val="auto"/>
          <w:vertAlign w:val="superscript"/>
          <w:lang w:val="id-ID"/>
        </w:rPr>
      </w:pPr>
      <w:r w:rsidRPr="00916BB3">
        <w:rPr>
          <w:b/>
          <w:sz w:val="20"/>
          <w:szCs w:val="22"/>
          <w:lang w:val="en-GB"/>
        </w:rPr>
        <w:t>Harleni</w:t>
      </w:r>
      <w:r w:rsidRPr="00A75CB1">
        <w:rPr>
          <w:color w:val="auto"/>
          <w:vertAlign w:val="superscript"/>
          <w:lang w:val="en-GB"/>
        </w:rPr>
        <w:t>1</w:t>
      </w:r>
      <w:proofErr w:type="gramStart"/>
      <w:r w:rsidR="00F35606">
        <w:rPr>
          <w:color w:val="auto"/>
          <w:lang w:val="id-ID"/>
        </w:rPr>
        <w:t>,M.Giatman</w:t>
      </w:r>
      <w:r w:rsidR="00F35606" w:rsidRPr="00F35606">
        <w:rPr>
          <w:color w:val="auto"/>
          <w:vertAlign w:val="superscript"/>
          <w:lang w:val="id-ID"/>
        </w:rPr>
        <w:t>2</w:t>
      </w:r>
      <w:r w:rsidR="00F35606">
        <w:rPr>
          <w:color w:val="auto"/>
          <w:lang w:val="id-ID"/>
        </w:rPr>
        <w:t>,</w:t>
      </w:r>
      <w:r w:rsidR="0025321C">
        <w:rPr>
          <w:color w:val="auto"/>
          <w:lang w:val="id-ID"/>
        </w:rPr>
        <w:t>Nurhasan</w:t>
      </w:r>
      <w:proofErr w:type="gramEnd"/>
      <w:r w:rsidR="0025321C">
        <w:rPr>
          <w:color w:val="auto"/>
          <w:lang w:val="id-ID"/>
        </w:rPr>
        <w:t xml:space="preserve"> Syah</w:t>
      </w:r>
      <w:r w:rsidR="0025321C" w:rsidRPr="0025321C">
        <w:rPr>
          <w:color w:val="auto"/>
          <w:vertAlign w:val="superscript"/>
          <w:lang w:val="id-ID"/>
        </w:rPr>
        <w:t>3</w:t>
      </w:r>
      <w:r w:rsidR="0025321C">
        <w:rPr>
          <w:color w:val="auto"/>
          <w:vertAlign w:val="superscript"/>
          <w:lang w:val="id-ID"/>
        </w:rPr>
        <w:t>,</w:t>
      </w:r>
      <w:r w:rsidR="00F35606">
        <w:rPr>
          <w:color w:val="auto"/>
          <w:lang w:val="id-ID"/>
        </w:rPr>
        <w:t>Ganefri</w:t>
      </w:r>
      <w:r w:rsidR="0025321C">
        <w:rPr>
          <w:color w:val="auto"/>
          <w:vertAlign w:val="superscript"/>
          <w:lang w:val="id-ID"/>
        </w:rPr>
        <w:t>4</w:t>
      </w:r>
      <w:r w:rsidR="0025321C">
        <w:rPr>
          <w:color w:val="auto"/>
          <w:lang w:val="id-ID"/>
        </w:rPr>
        <w:t xml:space="preserve"> </w:t>
      </w:r>
      <w:r w:rsidR="00F35606">
        <w:rPr>
          <w:color w:val="auto"/>
          <w:lang w:val="id-ID"/>
        </w:rPr>
        <w:t>,</w:t>
      </w:r>
      <w:r w:rsidR="00E32E11">
        <w:rPr>
          <w:color w:val="auto"/>
          <w:lang w:val="id-ID"/>
        </w:rPr>
        <w:t>Nizwardi Jalinus</w:t>
      </w:r>
      <w:r w:rsidR="00E32E11" w:rsidRPr="00E32E11">
        <w:rPr>
          <w:color w:val="auto"/>
          <w:vertAlign w:val="superscript"/>
          <w:lang w:val="id-ID"/>
        </w:rPr>
        <w:t>5</w:t>
      </w:r>
      <w:r w:rsidR="00E32E11">
        <w:rPr>
          <w:color w:val="auto"/>
          <w:lang w:val="id-ID"/>
        </w:rPr>
        <w:t>, Ridwan</w:t>
      </w:r>
      <w:r w:rsidR="00E32E11" w:rsidRPr="00E32E11">
        <w:rPr>
          <w:color w:val="auto"/>
          <w:vertAlign w:val="superscript"/>
          <w:lang w:val="id-ID"/>
        </w:rPr>
        <w:t>6,</w:t>
      </w:r>
      <w:r w:rsidR="00F35606">
        <w:rPr>
          <w:color w:val="auto"/>
          <w:lang w:val="id-ID"/>
        </w:rPr>
        <w:t>Krismadinata</w:t>
      </w:r>
      <w:r w:rsidR="00E32E11">
        <w:rPr>
          <w:color w:val="auto"/>
          <w:vertAlign w:val="superscript"/>
          <w:lang w:val="id-ID"/>
        </w:rPr>
        <w:t>7,</w:t>
      </w:r>
    </w:p>
    <w:p w14:paraId="0F6151E9" w14:textId="47FB875F" w:rsidR="0025321C" w:rsidRDefault="0025321C" w:rsidP="00916BB3">
      <w:pPr>
        <w:pStyle w:val="Alishlah16affiliation"/>
        <w:rPr>
          <w:b/>
          <w:sz w:val="20"/>
          <w:szCs w:val="22"/>
          <w:vertAlign w:val="superscript"/>
          <w:lang w:val="id-ID"/>
        </w:rPr>
      </w:pPr>
      <w:r>
        <w:rPr>
          <w:b/>
          <w:sz w:val="20"/>
          <w:szCs w:val="22"/>
          <w:lang w:val="id-ID"/>
        </w:rPr>
        <w:t>University Perintis Padang</w:t>
      </w:r>
      <w:r w:rsidRPr="0025321C">
        <w:rPr>
          <w:b/>
          <w:sz w:val="20"/>
          <w:szCs w:val="22"/>
          <w:vertAlign w:val="superscript"/>
          <w:lang w:val="id-ID"/>
        </w:rPr>
        <w:t>1</w:t>
      </w:r>
      <w:r>
        <w:rPr>
          <w:b/>
          <w:sz w:val="20"/>
          <w:szCs w:val="22"/>
          <w:lang w:val="id-ID"/>
        </w:rPr>
        <w:t>, Padang State University Indonesia</w:t>
      </w:r>
      <w:r w:rsidRPr="0025321C">
        <w:rPr>
          <w:b/>
          <w:sz w:val="20"/>
          <w:szCs w:val="22"/>
          <w:vertAlign w:val="superscript"/>
          <w:lang w:val="id-ID"/>
        </w:rPr>
        <w:t>234567</w:t>
      </w:r>
    </w:p>
    <w:p w14:paraId="6E883EC2" w14:textId="77777777" w:rsidR="00E32E11" w:rsidRDefault="0025321C" w:rsidP="00916BB3">
      <w:pPr>
        <w:pStyle w:val="Alishlah16affiliation"/>
        <w:rPr>
          <w:b/>
          <w:sz w:val="20"/>
          <w:szCs w:val="22"/>
          <w:lang w:val="id-ID"/>
        </w:rPr>
      </w:pPr>
      <w:r w:rsidRPr="0025321C">
        <w:rPr>
          <w:b/>
          <w:sz w:val="20"/>
          <w:szCs w:val="22"/>
          <w:lang w:val="id-ID"/>
        </w:rPr>
        <w:t>e</w:t>
      </w:r>
      <w:r>
        <w:rPr>
          <w:b/>
          <w:sz w:val="20"/>
          <w:szCs w:val="22"/>
          <w:lang w:val="id-ID"/>
        </w:rPr>
        <w:t>-</w:t>
      </w:r>
      <w:r w:rsidRPr="0025321C">
        <w:rPr>
          <w:b/>
          <w:sz w:val="20"/>
          <w:szCs w:val="22"/>
          <w:lang w:val="id-ID"/>
        </w:rPr>
        <w:t>mail :</w:t>
      </w:r>
      <w:r>
        <w:rPr>
          <w:b/>
          <w:sz w:val="20"/>
          <w:szCs w:val="22"/>
          <w:lang w:val="id-ID"/>
        </w:rPr>
        <w:t xml:space="preserve"> </w:t>
      </w:r>
      <w:hyperlink r:id="rId9" w:history="1">
        <w:r w:rsidR="00E32E11" w:rsidRPr="003D357E">
          <w:rPr>
            <w:rStyle w:val="Hyperlink"/>
            <w:b/>
            <w:sz w:val="20"/>
            <w:szCs w:val="22"/>
            <w:lang w:val="id-ID"/>
          </w:rPr>
          <w:t>harleni.lhenie@gmail.com</w:t>
        </w:r>
      </w:hyperlink>
      <w:r>
        <w:rPr>
          <w:b/>
          <w:sz w:val="20"/>
          <w:szCs w:val="22"/>
          <w:lang w:val="id-ID"/>
        </w:rPr>
        <w:t>,</w:t>
      </w:r>
      <w:r w:rsidR="00E32E11">
        <w:rPr>
          <w:b/>
          <w:sz w:val="20"/>
          <w:szCs w:val="22"/>
          <w:lang w:val="id-ID"/>
        </w:rPr>
        <w:t xml:space="preserve"> </w:t>
      </w:r>
      <w:hyperlink r:id="rId10" w:history="1">
        <w:r w:rsidR="00E32E11" w:rsidRPr="003D357E">
          <w:rPr>
            <w:rStyle w:val="Hyperlink"/>
            <w:b/>
            <w:sz w:val="20"/>
            <w:szCs w:val="22"/>
            <w:lang w:val="id-ID"/>
          </w:rPr>
          <w:t>giatman@ft.unp.ac.id</w:t>
        </w:r>
      </w:hyperlink>
      <w:r w:rsidR="00E32E11">
        <w:rPr>
          <w:b/>
          <w:sz w:val="20"/>
          <w:szCs w:val="22"/>
          <w:lang w:val="id-ID"/>
        </w:rPr>
        <w:t xml:space="preserve">, </w:t>
      </w:r>
    </w:p>
    <w:p w14:paraId="1530EDDE" w14:textId="7B6E1CE0" w:rsidR="0025321C" w:rsidRDefault="00E32E11" w:rsidP="00E32E11">
      <w:pPr>
        <w:pStyle w:val="Alishlah16affiliation"/>
        <w:ind w:left="142" w:hanging="29"/>
        <w:rPr>
          <w:b/>
          <w:sz w:val="20"/>
          <w:szCs w:val="22"/>
          <w:lang w:val="id-ID"/>
        </w:rPr>
      </w:pPr>
      <w:hyperlink r:id="rId11" w:history="1">
        <w:r w:rsidRPr="003D357E">
          <w:rPr>
            <w:rStyle w:val="Hyperlink"/>
            <w:b/>
            <w:sz w:val="20"/>
            <w:szCs w:val="22"/>
            <w:lang w:val="id-ID"/>
          </w:rPr>
          <w:t>nurhasan@ft.unp.ac.id</w:t>
        </w:r>
      </w:hyperlink>
      <w:r>
        <w:rPr>
          <w:b/>
          <w:sz w:val="20"/>
          <w:szCs w:val="22"/>
          <w:lang w:val="id-ID"/>
        </w:rPr>
        <w:t xml:space="preserve">,   </w:t>
      </w:r>
      <w:hyperlink r:id="rId12" w:history="1">
        <w:r w:rsidRPr="003D357E">
          <w:rPr>
            <w:rStyle w:val="Hyperlink"/>
            <w:b/>
            <w:sz w:val="20"/>
            <w:szCs w:val="22"/>
            <w:lang w:val="id-ID"/>
          </w:rPr>
          <w:t>ganefri@unp.ac.id</w:t>
        </w:r>
      </w:hyperlink>
      <w:r>
        <w:rPr>
          <w:b/>
          <w:sz w:val="20"/>
          <w:szCs w:val="22"/>
          <w:lang w:val="id-ID"/>
        </w:rPr>
        <w:t xml:space="preserve">, </w:t>
      </w:r>
      <w:hyperlink r:id="rId13" w:history="1">
        <w:r w:rsidRPr="003D357E">
          <w:rPr>
            <w:rStyle w:val="Hyperlink"/>
            <w:b/>
            <w:sz w:val="20"/>
            <w:szCs w:val="22"/>
            <w:lang w:val="id-ID"/>
          </w:rPr>
          <w:t>nizwardi@unp.ac.id</w:t>
        </w:r>
      </w:hyperlink>
      <w:r>
        <w:rPr>
          <w:b/>
          <w:sz w:val="20"/>
          <w:szCs w:val="22"/>
          <w:lang w:val="id-ID"/>
        </w:rPr>
        <w:t xml:space="preserve"> </w:t>
      </w:r>
      <w:hyperlink r:id="rId14" w:history="1">
        <w:r w:rsidRPr="003D357E">
          <w:rPr>
            <w:rStyle w:val="Hyperlink"/>
            <w:b/>
            <w:sz w:val="20"/>
            <w:szCs w:val="22"/>
            <w:lang w:val="id-ID"/>
          </w:rPr>
          <w:t>ridwanftunp@gmail.com</w:t>
        </w:r>
      </w:hyperlink>
      <w:r>
        <w:rPr>
          <w:b/>
          <w:sz w:val="20"/>
          <w:szCs w:val="22"/>
          <w:lang w:val="id-ID"/>
        </w:rPr>
        <w:t xml:space="preserve"> </w:t>
      </w:r>
      <w:hyperlink r:id="rId15" w:history="1">
        <w:r w:rsidRPr="003D357E">
          <w:rPr>
            <w:rStyle w:val="Hyperlink"/>
            <w:b/>
            <w:sz w:val="20"/>
            <w:szCs w:val="22"/>
            <w:lang w:val="id-ID"/>
          </w:rPr>
          <w:t>krisma@ft.unp.ac.id</w:t>
        </w:r>
      </w:hyperlink>
      <w:bookmarkStart w:id="0" w:name="_GoBack"/>
      <w:bookmarkEnd w:id="0"/>
    </w:p>
    <w:p w14:paraId="7AF2A5D9" w14:textId="77777777" w:rsidR="00E32E11" w:rsidRPr="0025321C" w:rsidRDefault="00E32E11" w:rsidP="00E32E11">
      <w:pPr>
        <w:pStyle w:val="Alishlah16affiliation"/>
        <w:rPr>
          <w:b/>
          <w:sz w:val="20"/>
          <w:szCs w:val="22"/>
          <w:lang w:val="id-ID"/>
        </w:rPr>
      </w:pPr>
    </w:p>
    <w:p w14:paraId="7F267EE4" w14:textId="77777777" w:rsidR="0025321C" w:rsidRPr="0025321C" w:rsidRDefault="0025321C" w:rsidP="00916BB3">
      <w:pPr>
        <w:pStyle w:val="Alishlah16affiliation"/>
        <w:rPr>
          <w:b/>
          <w:sz w:val="20"/>
          <w:szCs w:val="22"/>
          <w:lang w:val="id-ID"/>
        </w:rPr>
      </w:pPr>
    </w:p>
    <w:p w14:paraId="7E8A7D08" w14:textId="77777777" w:rsidR="00916BB3" w:rsidRDefault="00916BB3" w:rsidP="00784B9B">
      <w:pPr>
        <w:pStyle w:val="Alishlah16affiliation"/>
        <w:rPr>
          <w:color w:val="auto"/>
          <w:lang w:val="en-GB"/>
        </w:rPr>
      </w:pPr>
    </w:p>
    <w:p w14:paraId="36DE01BE" w14:textId="77777777" w:rsidR="00784B9B" w:rsidRPr="00A75CB1" w:rsidRDefault="00784B9B" w:rsidP="00BE398A">
      <w:pPr>
        <w:pStyle w:val="Alishlah16affiliation"/>
        <w:rPr>
          <w:color w:val="auto"/>
          <w:lang w:val="en-GB"/>
        </w:rPr>
      </w:pPr>
    </w:p>
    <w:tbl>
      <w:tblPr>
        <w:tblStyle w:val="TableGrid"/>
        <w:tblW w:w="8845" w:type="dxa"/>
        <w:jc w:val="center"/>
        <w:tblLook w:val="04A0" w:firstRow="1" w:lastRow="0" w:firstColumn="1" w:lastColumn="0" w:noHBand="0" w:noVBand="1"/>
      </w:tblPr>
      <w:tblGrid>
        <w:gridCol w:w="2787"/>
        <w:gridCol w:w="282"/>
        <w:gridCol w:w="5776"/>
      </w:tblGrid>
      <w:tr w:rsidR="0048254D" w:rsidRPr="0048254D" w14:paraId="7EB6BA11" w14:textId="77777777" w:rsidTr="0048254D">
        <w:trPr>
          <w:jc w:val="center"/>
        </w:trPr>
        <w:tc>
          <w:tcPr>
            <w:tcW w:w="2787" w:type="dxa"/>
            <w:tcBorders>
              <w:top w:val="double" w:sz="4" w:space="0" w:color="auto"/>
              <w:left w:val="nil"/>
              <w:bottom w:val="single" w:sz="4" w:space="0" w:color="auto"/>
              <w:right w:val="nil"/>
            </w:tcBorders>
          </w:tcPr>
          <w:p w14:paraId="7DF5ACA3" w14:textId="77777777" w:rsidR="0048254D" w:rsidRPr="0048254D" w:rsidRDefault="0048254D" w:rsidP="001C18FA">
            <w:pPr>
              <w:spacing w:before="120"/>
              <w:jc w:val="both"/>
              <w:rPr>
                <w:rFonts w:ascii="Palatino Linotype" w:hAnsi="Palatino Linotype"/>
                <w:b/>
              </w:rPr>
            </w:pPr>
            <w:r w:rsidRPr="0048254D">
              <w:rPr>
                <w:rFonts w:ascii="Palatino Linotype" w:hAnsi="Palatino Linotype"/>
                <w:b/>
              </w:rPr>
              <w:t>ARTICLE INFO</w:t>
            </w:r>
          </w:p>
        </w:tc>
        <w:tc>
          <w:tcPr>
            <w:tcW w:w="282" w:type="dxa"/>
            <w:tcBorders>
              <w:top w:val="double" w:sz="4" w:space="0" w:color="auto"/>
              <w:left w:val="nil"/>
              <w:bottom w:val="nil"/>
              <w:right w:val="nil"/>
            </w:tcBorders>
          </w:tcPr>
          <w:p w14:paraId="54ECE884" w14:textId="77777777" w:rsidR="0048254D" w:rsidRPr="0048254D" w:rsidRDefault="0048254D" w:rsidP="001C18FA">
            <w:pPr>
              <w:spacing w:before="120"/>
              <w:jc w:val="center"/>
              <w:rPr>
                <w:rFonts w:ascii="Palatino Linotype" w:hAnsi="Palatino Linotype"/>
              </w:rPr>
            </w:pPr>
          </w:p>
        </w:tc>
        <w:tc>
          <w:tcPr>
            <w:tcW w:w="5776" w:type="dxa"/>
            <w:tcBorders>
              <w:top w:val="double" w:sz="4" w:space="0" w:color="auto"/>
              <w:left w:val="nil"/>
              <w:bottom w:val="single" w:sz="4" w:space="0" w:color="auto"/>
              <w:right w:val="nil"/>
            </w:tcBorders>
          </w:tcPr>
          <w:p w14:paraId="1FA1012C" w14:textId="77777777" w:rsidR="0048254D" w:rsidRPr="0048254D" w:rsidRDefault="0048254D" w:rsidP="002663A1">
            <w:pPr>
              <w:spacing w:before="120"/>
              <w:ind w:left="81"/>
              <w:rPr>
                <w:rFonts w:ascii="Palatino Linotype" w:hAnsi="Palatino Linotype"/>
                <w:color w:val="000000"/>
                <w:sz w:val="24"/>
                <w:szCs w:val="24"/>
              </w:rPr>
            </w:pPr>
            <w:r w:rsidRPr="0048254D">
              <w:rPr>
                <w:rFonts w:ascii="Palatino Linotype" w:hAnsi="Palatino Linotype"/>
                <w:b/>
                <w:bCs/>
                <w:iCs/>
                <w:color w:val="000000"/>
              </w:rPr>
              <w:t>ABSTRACT</w:t>
            </w:r>
          </w:p>
        </w:tc>
      </w:tr>
      <w:tr w:rsidR="0048254D" w:rsidRPr="0048254D" w14:paraId="7B0D19C0" w14:textId="77777777" w:rsidTr="0048254D">
        <w:trPr>
          <w:trHeight w:val="1268"/>
          <w:jc w:val="center"/>
        </w:trPr>
        <w:tc>
          <w:tcPr>
            <w:tcW w:w="2787" w:type="dxa"/>
            <w:tcBorders>
              <w:top w:val="single" w:sz="4" w:space="0" w:color="auto"/>
              <w:left w:val="nil"/>
              <w:bottom w:val="single" w:sz="4" w:space="0" w:color="auto"/>
              <w:right w:val="nil"/>
            </w:tcBorders>
          </w:tcPr>
          <w:p w14:paraId="430D0A26" w14:textId="77777777" w:rsidR="0048254D" w:rsidRPr="0048254D" w:rsidRDefault="0048254D" w:rsidP="001C18FA">
            <w:pPr>
              <w:spacing w:before="120" w:after="120"/>
              <w:jc w:val="both"/>
              <w:rPr>
                <w:rFonts w:ascii="Palatino Linotype" w:hAnsi="Palatino Linotype"/>
                <w:b/>
                <w:i/>
                <w:sz w:val="18"/>
                <w:szCs w:val="18"/>
              </w:rPr>
            </w:pPr>
            <w:r w:rsidRPr="0048254D">
              <w:rPr>
                <w:rFonts w:ascii="Palatino Linotype" w:hAnsi="Palatino Linotype"/>
                <w:b/>
                <w:i/>
                <w:sz w:val="18"/>
                <w:szCs w:val="18"/>
              </w:rPr>
              <w:t>Keywords:</w:t>
            </w:r>
          </w:p>
          <w:p w14:paraId="4AF404F6" w14:textId="2C7D3261" w:rsidR="00A57495" w:rsidRDefault="00A57495" w:rsidP="00A57495">
            <w:pPr>
              <w:pStyle w:val="Alishlah18keywords"/>
            </w:pPr>
            <w:r>
              <w:t>Artificial Intelligence;</w:t>
            </w:r>
          </w:p>
          <w:p w14:paraId="0E6F1DF2" w14:textId="011F6548" w:rsidR="00A57495" w:rsidRDefault="00A57495" w:rsidP="00A57495">
            <w:pPr>
              <w:pStyle w:val="Alishlah18keywords"/>
            </w:pPr>
            <w:r>
              <w:t>Adaptive Learning;</w:t>
            </w:r>
          </w:p>
          <w:p w14:paraId="57DC98D1" w14:textId="669BC69D" w:rsidR="00A57495" w:rsidRDefault="00A57495" w:rsidP="00A57495">
            <w:pPr>
              <w:pStyle w:val="Alishlah18keywords"/>
            </w:pPr>
            <w:r>
              <w:t>Vocational Education;</w:t>
            </w:r>
          </w:p>
          <w:p w14:paraId="44DF63D7" w14:textId="090D845E" w:rsidR="00A57495" w:rsidRDefault="00A57495" w:rsidP="00A57495">
            <w:pPr>
              <w:pStyle w:val="Alishlah18keywords"/>
            </w:pPr>
            <w:proofErr w:type="spellStart"/>
            <w:r>
              <w:t>Bibliometric</w:t>
            </w:r>
            <w:proofErr w:type="spellEnd"/>
            <w:r>
              <w:t>;</w:t>
            </w:r>
          </w:p>
          <w:p w14:paraId="490607BF" w14:textId="7CF97514" w:rsidR="00A57495" w:rsidRDefault="00A57495" w:rsidP="00A57495">
            <w:pPr>
              <w:pStyle w:val="Alishlah18keywords"/>
            </w:pPr>
            <w:r>
              <w:t>PRISMA;</w:t>
            </w:r>
          </w:p>
          <w:p w14:paraId="4891D68F" w14:textId="22539EA2" w:rsidR="00916BB3" w:rsidRPr="00916BB3" w:rsidRDefault="00A57495" w:rsidP="00A57495">
            <w:pPr>
              <w:rPr>
                <w:lang w:eastAsia="de-DE" w:bidi="en-US"/>
              </w:rPr>
            </w:pPr>
            <w:r>
              <w:t>Educational Technology.</w:t>
            </w:r>
          </w:p>
          <w:p w14:paraId="04877763" w14:textId="4FD3E405" w:rsidR="0048254D" w:rsidRPr="00916BB3" w:rsidRDefault="0048254D" w:rsidP="00916BB3">
            <w:pPr>
              <w:pStyle w:val="Alishlah18keywords"/>
              <w:ind w:left="0"/>
              <w:rPr>
                <w:i/>
                <w:iCs/>
              </w:rPr>
            </w:pPr>
          </w:p>
          <w:p w14:paraId="5BFBB2AE" w14:textId="77777777" w:rsidR="0048254D" w:rsidRPr="0048254D" w:rsidRDefault="0048254D" w:rsidP="001C18FA">
            <w:pPr>
              <w:jc w:val="both"/>
              <w:rPr>
                <w:rFonts w:ascii="Palatino Linotype" w:hAnsi="Palatino Linotype"/>
                <w:sz w:val="18"/>
                <w:szCs w:val="18"/>
              </w:rPr>
            </w:pPr>
          </w:p>
        </w:tc>
        <w:tc>
          <w:tcPr>
            <w:tcW w:w="282" w:type="dxa"/>
            <w:vMerge w:val="restart"/>
            <w:tcBorders>
              <w:top w:val="nil"/>
              <w:left w:val="nil"/>
              <w:bottom w:val="nil"/>
              <w:right w:val="nil"/>
            </w:tcBorders>
          </w:tcPr>
          <w:p w14:paraId="6202B35F" w14:textId="77777777" w:rsidR="0048254D" w:rsidRPr="0048254D" w:rsidRDefault="0048254D" w:rsidP="001C18FA">
            <w:pPr>
              <w:spacing w:before="120"/>
              <w:jc w:val="both"/>
              <w:rPr>
                <w:rFonts w:ascii="Palatino Linotype" w:hAnsi="Palatino Linotype"/>
                <w:sz w:val="18"/>
                <w:szCs w:val="18"/>
              </w:rPr>
            </w:pPr>
          </w:p>
        </w:tc>
        <w:tc>
          <w:tcPr>
            <w:tcW w:w="5776" w:type="dxa"/>
            <w:vMerge w:val="restart"/>
            <w:tcBorders>
              <w:top w:val="single" w:sz="4" w:space="0" w:color="auto"/>
              <w:left w:val="nil"/>
              <w:bottom w:val="nil"/>
              <w:right w:val="nil"/>
            </w:tcBorders>
          </w:tcPr>
          <w:p w14:paraId="1CA82E83" w14:textId="54A126D2" w:rsidR="0048254D" w:rsidRPr="00E45249" w:rsidRDefault="004D4BD4" w:rsidP="00E45249">
            <w:pPr>
              <w:pStyle w:val="Alishlah17abstract"/>
            </w:pPr>
            <w:r w:rsidRPr="004D4BD4">
              <w:t xml:space="preserve">The development of Artificial Intelligence (AI) technology has driven innovation in adaptive learning tailored to the individual needs of learners. In the context of vocational education, this approach holds significant potential to enhance the effectiveness of competency-based and practical skill-oriented learning. This study aims to map the scientific literature on AI-assisted adaptive learning in vocational education through a Systematic Literature Review (SLR) based on the PRISMA protocol and </w:t>
            </w:r>
            <w:proofErr w:type="spellStart"/>
            <w:r w:rsidRPr="004D4BD4">
              <w:t>bibliometric</w:t>
            </w:r>
            <w:proofErr w:type="spellEnd"/>
            <w:r w:rsidRPr="004D4BD4">
              <w:t xml:space="preserve"> analysis using </w:t>
            </w:r>
            <w:proofErr w:type="spellStart"/>
            <w:r w:rsidRPr="004D4BD4">
              <w:t>VOSviewer</w:t>
            </w:r>
            <w:proofErr w:type="spellEnd"/>
            <w:r w:rsidRPr="004D4BD4">
              <w:t xml:space="preserve"> software. Data were collected from various databases, including Scopus, Semantic Scholar, and Google Scholar, covering publications from 2018 to 2023. A total of 41 selected articles were analyzed based on publication trends, country distribution, and dominant themes. The results reveal a significant increase in publications after 2020, a dominance of contributions from countries with strong technological infrastructure, and major topic clusters such as AI in learning, integration in vocational education, and adaptive learning systems. This study provides a comprehensive overview of research trends and highlights further exploration opportunities in the integration of AI into personalized, needs-based vocational education.</w:t>
            </w:r>
          </w:p>
        </w:tc>
      </w:tr>
      <w:tr w:rsidR="0048254D" w:rsidRPr="0048254D" w14:paraId="42B93F8B" w14:textId="77777777" w:rsidTr="0048254D">
        <w:trPr>
          <w:trHeight w:val="1231"/>
          <w:jc w:val="center"/>
        </w:trPr>
        <w:tc>
          <w:tcPr>
            <w:tcW w:w="2787" w:type="dxa"/>
            <w:vMerge w:val="restart"/>
            <w:tcBorders>
              <w:top w:val="single" w:sz="4" w:space="0" w:color="auto"/>
              <w:left w:val="nil"/>
              <w:bottom w:val="single" w:sz="4" w:space="0" w:color="auto"/>
              <w:right w:val="nil"/>
            </w:tcBorders>
          </w:tcPr>
          <w:p w14:paraId="40A1C380" w14:textId="77777777" w:rsidR="0048254D" w:rsidRPr="006A6719" w:rsidRDefault="0048254D" w:rsidP="001C18FA">
            <w:pPr>
              <w:spacing w:before="120" w:after="120"/>
              <w:jc w:val="both"/>
              <w:rPr>
                <w:rFonts w:ascii="Palatino Linotype" w:hAnsi="Palatino Linotype"/>
                <w:b/>
                <w:i/>
                <w:sz w:val="18"/>
                <w:szCs w:val="18"/>
              </w:rPr>
            </w:pPr>
            <w:r w:rsidRPr="006A6719">
              <w:rPr>
                <w:rFonts w:ascii="Palatino Linotype" w:hAnsi="Palatino Linotype"/>
                <w:b/>
                <w:i/>
                <w:sz w:val="18"/>
                <w:szCs w:val="18"/>
              </w:rPr>
              <w:t>Article history:</w:t>
            </w:r>
          </w:p>
          <w:p w14:paraId="18D5DCF2" w14:textId="77777777" w:rsidR="0048254D" w:rsidRPr="006A6719" w:rsidRDefault="0048254D" w:rsidP="00E45249">
            <w:pPr>
              <w:pStyle w:val="Alishlah14history"/>
            </w:pPr>
            <w:r w:rsidRPr="006A6719">
              <w:t xml:space="preserve">Received </w:t>
            </w:r>
            <w:r w:rsidR="00FA43FF" w:rsidRPr="00FA43FF">
              <w:t>2021-08-14</w:t>
            </w:r>
          </w:p>
          <w:p w14:paraId="5F89E26A" w14:textId="77777777" w:rsidR="0048254D" w:rsidRPr="006A6719" w:rsidRDefault="0048254D" w:rsidP="00E45249">
            <w:pPr>
              <w:pStyle w:val="Alishlah14history"/>
            </w:pPr>
            <w:r w:rsidRPr="006A6719">
              <w:t xml:space="preserve">Revised </w:t>
            </w:r>
            <w:r w:rsidR="00675603" w:rsidRPr="006A6719">
              <w:tab/>
            </w:r>
            <w:r w:rsidR="00FA43FF" w:rsidRPr="00FA43FF">
              <w:t>2021-11-12</w:t>
            </w:r>
          </w:p>
          <w:p w14:paraId="47BFE6AE" w14:textId="77777777" w:rsidR="0048254D" w:rsidRPr="004A39B9" w:rsidRDefault="0048254D" w:rsidP="004A39B9">
            <w:pPr>
              <w:pStyle w:val="Alishlah14history"/>
              <w:rPr>
                <w:lang w:val="en-AU"/>
              </w:rPr>
            </w:pPr>
            <w:r w:rsidRPr="006A6719">
              <w:t xml:space="preserve">Accepted </w:t>
            </w:r>
            <w:r w:rsidR="00FA43FF" w:rsidRPr="00FA43FF">
              <w:t>2022-01-17</w:t>
            </w:r>
          </w:p>
        </w:tc>
        <w:tc>
          <w:tcPr>
            <w:tcW w:w="282" w:type="dxa"/>
            <w:vMerge/>
            <w:tcBorders>
              <w:top w:val="nil"/>
              <w:left w:val="nil"/>
              <w:bottom w:val="nil"/>
              <w:right w:val="nil"/>
            </w:tcBorders>
          </w:tcPr>
          <w:p w14:paraId="280189D0" w14:textId="77777777" w:rsidR="0048254D" w:rsidRPr="0048254D" w:rsidRDefault="0048254D" w:rsidP="001C18FA">
            <w:pPr>
              <w:spacing w:before="120"/>
              <w:jc w:val="both"/>
              <w:rPr>
                <w:rFonts w:ascii="Palatino Linotype" w:hAnsi="Palatino Linotype"/>
              </w:rPr>
            </w:pPr>
          </w:p>
        </w:tc>
        <w:tc>
          <w:tcPr>
            <w:tcW w:w="5776" w:type="dxa"/>
            <w:vMerge/>
            <w:tcBorders>
              <w:top w:val="nil"/>
              <w:left w:val="nil"/>
              <w:bottom w:val="nil"/>
              <w:right w:val="nil"/>
            </w:tcBorders>
          </w:tcPr>
          <w:p w14:paraId="5E10B9EA" w14:textId="77777777" w:rsidR="0048254D" w:rsidRPr="0048254D" w:rsidRDefault="0048254D" w:rsidP="001C18FA">
            <w:pPr>
              <w:spacing w:before="120"/>
              <w:jc w:val="both"/>
              <w:rPr>
                <w:rFonts w:ascii="Palatino Linotype" w:hAnsi="Palatino Linotype"/>
                <w:iCs/>
                <w:color w:val="000000"/>
                <w:sz w:val="18"/>
                <w:szCs w:val="18"/>
              </w:rPr>
            </w:pPr>
          </w:p>
        </w:tc>
      </w:tr>
      <w:tr w:rsidR="0048254D" w:rsidRPr="0048254D" w14:paraId="75985A52" w14:textId="77777777" w:rsidTr="0048254D">
        <w:trPr>
          <w:trHeight w:val="70"/>
          <w:jc w:val="center"/>
        </w:trPr>
        <w:tc>
          <w:tcPr>
            <w:tcW w:w="2787" w:type="dxa"/>
            <w:vMerge/>
            <w:tcBorders>
              <w:top w:val="single" w:sz="4" w:space="0" w:color="auto"/>
              <w:left w:val="nil"/>
              <w:bottom w:val="single" w:sz="4" w:space="0" w:color="auto"/>
              <w:right w:val="nil"/>
            </w:tcBorders>
          </w:tcPr>
          <w:p w14:paraId="57C782CC" w14:textId="77777777" w:rsidR="0048254D" w:rsidRPr="0048254D" w:rsidRDefault="0048254D" w:rsidP="001C18FA">
            <w:pPr>
              <w:spacing w:before="120" w:after="120"/>
              <w:jc w:val="both"/>
              <w:rPr>
                <w:rFonts w:ascii="Palatino Linotype" w:hAnsi="Palatino Linotype"/>
                <w:b/>
                <w:i/>
              </w:rPr>
            </w:pPr>
          </w:p>
        </w:tc>
        <w:tc>
          <w:tcPr>
            <w:tcW w:w="282" w:type="dxa"/>
            <w:vMerge/>
            <w:tcBorders>
              <w:top w:val="nil"/>
              <w:left w:val="nil"/>
              <w:bottom w:val="nil"/>
              <w:right w:val="nil"/>
            </w:tcBorders>
          </w:tcPr>
          <w:p w14:paraId="1BF1BB01" w14:textId="77777777" w:rsidR="0048254D" w:rsidRPr="0048254D" w:rsidRDefault="0048254D" w:rsidP="001C18FA">
            <w:pPr>
              <w:spacing w:before="120"/>
              <w:jc w:val="both"/>
              <w:rPr>
                <w:rFonts w:ascii="Palatino Linotype" w:hAnsi="Palatino Linotype"/>
              </w:rPr>
            </w:pPr>
          </w:p>
        </w:tc>
        <w:tc>
          <w:tcPr>
            <w:tcW w:w="5776" w:type="dxa"/>
            <w:tcBorders>
              <w:top w:val="nil"/>
              <w:left w:val="nil"/>
              <w:bottom w:val="single" w:sz="4" w:space="0" w:color="auto"/>
              <w:right w:val="nil"/>
            </w:tcBorders>
          </w:tcPr>
          <w:p w14:paraId="239FE89C" w14:textId="77777777"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i/>
                <w:iCs/>
                <w:color w:val="000000"/>
                <w:sz w:val="18"/>
                <w:szCs w:val="18"/>
              </w:rPr>
              <w:t xml:space="preserve">This is an open access article under the </w:t>
            </w:r>
            <w:hyperlink r:id="rId16" w:history="1">
              <w:r w:rsidRPr="0048254D">
                <w:rPr>
                  <w:rStyle w:val="Hyperlink"/>
                  <w:rFonts w:ascii="Palatino Linotype" w:hAnsi="Palatino Linotype"/>
                  <w:i/>
                  <w:iCs/>
                  <w:sz w:val="18"/>
                  <w:szCs w:val="18"/>
                </w:rPr>
                <w:t>CC BY-NC-SA</w:t>
              </w:r>
            </w:hyperlink>
            <w:r w:rsidRPr="0048254D">
              <w:rPr>
                <w:rFonts w:ascii="Palatino Linotype" w:hAnsi="Palatino Linotype"/>
                <w:i/>
                <w:iCs/>
                <w:color w:val="000000"/>
                <w:sz w:val="18"/>
                <w:szCs w:val="18"/>
              </w:rPr>
              <w:t xml:space="preserve"> license.</w:t>
            </w:r>
          </w:p>
          <w:p w14:paraId="48AB7AF1" w14:textId="77777777" w:rsidR="0048254D" w:rsidRPr="0048254D" w:rsidRDefault="0048254D" w:rsidP="001C18FA">
            <w:pPr>
              <w:spacing w:before="120" w:after="120"/>
              <w:jc w:val="right"/>
              <w:rPr>
                <w:rFonts w:ascii="Palatino Linotype" w:hAnsi="Palatino Linotype"/>
                <w:i/>
                <w:iCs/>
                <w:color w:val="000000"/>
                <w:sz w:val="18"/>
                <w:szCs w:val="18"/>
              </w:rPr>
            </w:pPr>
            <w:r w:rsidRPr="0048254D">
              <w:rPr>
                <w:rFonts w:ascii="Palatino Linotype" w:hAnsi="Palatino Linotype"/>
                <w:noProof/>
                <w:lang w:val="id-ID" w:eastAsia="id-ID"/>
              </w:rPr>
              <w:drawing>
                <wp:inline distT="0" distB="0" distL="0" distR="0" wp14:anchorId="673AC092" wp14:editId="53FA904F">
                  <wp:extent cx="1054509" cy="3714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1054509" cy="371475"/>
                          </a:xfrm>
                          <a:prstGeom prst="rect">
                            <a:avLst/>
                          </a:prstGeom>
                          <a:noFill/>
                          <a:ln>
                            <a:noFill/>
                          </a:ln>
                        </pic:spPr>
                      </pic:pic>
                    </a:graphicData>
                  </a:graphic>
                </wp:inline>
              </w:drawing>
            </w:r>
          </w:p>
        </w:tc>
      </w:tr>
      <w:tr w:rsidR="0048254D" w:rsidRPr="0048254D" w14:paraId="7FB07699" w14:textId="77777777" w:rsidTr="0048254D">
        <w:trPr>
          <w:jc w:val="center"/>
        </w:trPr>
        <w:tc>
          <w:tcPr>
            <w:tcW w:w="8845" w:type="dxa"/>
            <w:gridSpan w:val="3"/>
            <w:tcBorders>
              <w:top w:val="nil"/>
              <w:left w:val="nil"/>
              <w:bottom w:val="double" w:sz="4" w:space="0" w:color="auto"/>
              <w:right w:val="nil"/>
            </w:tcBorders>
          </w:tcPr>
          <w:p w14:paraId="70CDF5C5" w14:textId="77777777" w:rsidR="0048254D" w:rsidRPr="00E45249" w:rsidRDefault="0048254D" w:rsidP="00E45249">
            <w:pPr>
              <w:pStyle w:val="Alishlah16affiliation"/>
              <w:ind w:left="0" w:firstLine="10"/>
              <w:rPr>
                <w:b/>
                <w:bCs/>
              </w:rPr>
            </w:pPr>
            <w:bookmarkStart w:id="1" w:name="_Hlk97159440"/>
            <w:r w:rsidRPr="00E45249">
              <w:rPr>
                <w:b/>
                <w:bCs/>
              </w:rPr>
              <w:t>Corresponding Author</w:t>
            </w:r>
            <w:bookmarkEnd w:id="1"/>
            <w:r w:rsidRPr="00E45249">
              <w:rPr>
                <w:b/>
                <w:bCs/>
              </w:rPr>
              <w:t>:</w:t>
            </w:r>
          </w:p>
          <w:p w14:paraId="32479874" w14:textId="769A311A" w:rsidR="0048254D" w:rsidRPr="0048254D" w:rsidRDefault="00916BB3" w:rsidP="00E45249">
            <w:pPr>
              <w:pStyle w:val="Alishlah2authorcorrespondence"/>
            </w:pPr>
            <w:proofErr w:type="spellStart"/>
            <w:r w:rsidRPr="00916BB3">
              <w:rPr>
                <w:color w:val="auto"/>
                <w:lang w:val="en-GB"/>
              </w:rPr>
              <w:t>Harleni</w:t>
            </w:r>
            <w:proofErr w:type="spellEnd"/>
            <w:r w:rsidR="002B31FD" w:rsidRPr="002B31FD">
              <w:rPr>
                <w:color w:val="auto"/>
                <w:lang w:val="en-GB"/>
              </w:rPr>
              <w:t>; e-mail@e-mail.com</w:t>
            </w:r>
          </w:p>
        </w:tc>
      </w:tr>
    </w:tbl>
    <w:p w14:paraId="2FC2D155" w14:textId="77777777" w:rsidR="008E64A2" w:rsidRPr="00A75CB1" w:rsidRDefault="0048254D" w:rsidP="00A10E86">
      <w:pPr>
        <w:pStyle w:val="Alishlah21heading1"/>
        <w:rPr>
          <w:lang w:val="en-GB"/>
        </w:rPr>
      </w:pPr>
      <w:r w:rsidRPr="00A75CB1">
        <w:rPr>
          <w:lang w:val="en-GB"/>
        </w:rPr>
        <w:t>INTRODUCTION</w:t>
      </w:r>
    </w:p>
    <w:p w14:paraId="7E8E6E77" w14:textId="25184DC2" w:rsidR="00727D5A" w:rsidRDefault="004D4BD4" w:rsidP="005B5AEC">
      <w:pPr>
        <w:pStyle w:val="Alishlah31text"/>
        <w:rPr>
          <w:spacing w:val="-2"/>
        </w:rPr>
      </w:pPr>
      <w:r w:rsidRPr="004D4BD4">
        <w:rPr>
          <w:spacing w:val="-2"/>
        </w:rPr>
        <w:t xml:space="preserve">The advancement of Artificial Intelligence (AI) technology has brought significant changes across various sectors, including education. One notable transformation is the implementation of adaptive learning, which leverages AI to tailor content, pacing, and instructional approaches based on the individual needs and characteristics of learners. In the context of vocational education, the application of </w:t>
      </w:r>
      <w:r w:rsidRPr="004D4BD4">
        <w:rPr>
          <w:spacing w:val="-2"/>
        </w:rPr>
        <w:lastRenderedPageBreak/>
        <w:t>this technology holds substantial potential to enhance the quality of learning processes that are focused on practical skills and competency-based outcomes</w:t>
      </w:r>
      <w:r>
        <w:rPr>
          <w:spacing w:val="-2"/>
        </w:rPr>
        <w:t xml:space="preserve"> </w:t>
      </w:r>
      <w:r w:rsidR="005160E4" w:rsidRPr="005160E4">
        <w:rPr>
          <w:spacing w:val="-2"/>
        </w:rPr>
        <w:t>(</w:t>
      </w:r>
      <w:proofErr w:type="spellStart"/>
      <w:r w:rsidR="005160E4" w:rsidRPr="005160E4">
        <w:rPr>
          <w:spacing w:val="-2"/>
        </w:rPr>
        <w:t>Ayca</w:t>
      </w:r>
      <w:proofErr w:type="spellEnd"/>
      <w:r w:rsidR="005160E4" w:rsidRPr="005160E4">
        <w:rPr>
          <w:spacing w:val="-2"/>
        </w:rPr>
        <w:t xml:space="preserve"> &amp; </w:t>
      </w:r>
      <w:proofErr w:type="spellStart"/>
      <w:r w:rsidR="005160E4" w:rsidRPr="005160E4">
        <w:rPr>
          <w:spacing w:val="-2"/>
        </w:rPr>
        <w:t>Hasan</w:t>
      </w:r>
      <w:proofErr w:type="spellEnd"/>
      <w:r w:rsidR="005160E4" w:rsidRPr="005160E4">
        <w:rPr>
          <w:spacing w:val="-2"/>
        </w:rPr>
        <w:t>, 2017).</w:t>
      </w:r>
    </w:p>
    <w:p w14:paraId="162335FF" w14:textId="6706EDDA" w:rsidR="005160E4" w:rsidRDefault="004D4BD4" w:rsidP="005B5AEC">
      <w:pPr>
        <w:pStyle w:val="Alishlah31text"/>
        <w:rPr>
          <w:rFonts w:eastAsia="SimSun"/>
          <w:spacing w:val="-2"/>
          <w:lang w:val="en-ID" w:eastAsia="zh-CN"/>
        </w:rPr>
      </w:pPr>
      <w:r w:rsidRPr="004D4BD4">
        <w:rPr>
          <w:rFonts w:eastAsia="SimSun"/>
          <w:spacing w:val="-2"/>
          <w:lang w:val="en-ID" w:eastAsia="zh-CN"/>
        </w:rPr>
        <w:t xml:space="preserve">Vocational education is required to respond to the increasingly digitalized world of work. Therefore, the integration of AI into vocational learning strategies can promote personalized learning, assessment efficiency, and real-time detection of skill gaps. Adaptive learning models supported by intelligent algorithms enable systems to recommend the most suitable learning pathways for each student. This is highly relevant in vocational education, which emphasizes the achievement of individual competencies. </w:t>
      </w:r>
      <w:proofErr w:type="gramStart"/>
      <w:r w:rsidR="005160E4" w:rsidRPr="005160E4">
        <w:rPr>
          <w:rFonts w:eastAsia="SimSun"/>
          <w:spacing w:val="-2"/>
          <w:lang w:val="en-ID" w:eastAsia="zh-CN"/>
        </w:rPr>
        <w:t>(Muhammad, 2020).</w:t>
      </w:r>
      <w:proofErr w:type="gramEnd"/>
    </w:p>
    <w:p w14:paraId="2CB28F75" w14:textId="31C7D209" w:rsidR="005160E4" w:rsidRDefault="004D4BD4" w:rsidP="005B5AEC">
      <w:pPr>
        <w:pStyle w:val="Alishlah31text"/>
        <w:rPr>
          <w:rFonts w:eastAsia="SimSun"/>
          <w:spacing w:val="-2"/>
          <w:lang w:val="en-ID" w:eastAsia="zh-CN"/>
        </w:rPr>
      </w:pPr>
      <w:r w:rsidRPr="004D4BD4">
        <w:rPr>
          <w:rFonts w:eastAsia="SimSun"/>
          <w:spacing w:val="-2"/>
          <w:lang w:val="en-ID" w:eastAsia="zh-CN"/>
        </w:rPr>
        <w:t xml:space="preserve">Although the potential of AI in education has been widely discussed, studies that specifically examine how AI is applied in adaptive learning within the context of vocational education remain limited. Furthermore, there is a lack of systematic research that maps publication trends, author contributions, dominant keywords, and research development directions on this topic. Therefore, a comprehensive </w:t>
      </w:r>
      <w:proofErr w:type="spellStart"/>
      <w:r w:rsidRPr="004D4BD4">
        <w:rPr>
          <w:rFonts w:eastAsia="SimSun"/>
          <w:spacing w:val="-2"/>
          <w:lang w:val="en-ID" w:eastAsia="zh-CN"/>
        </w:rPr>
        <w:t>bibliometric</w:t>
      </w:r>
      <w:proofErr w:type="spellEnd"/>
      <w:r w:rsidRPr="004D4BD4">
        <w:rPr>
          <w:rFonts w:eastAsia="SimSun"/>
          <w:spacing w:val="-2"/>
          <w:lang w:val="en-ID" w:eastAsia="zh-CN"/>
        </w:rPr>
        <w:t xml:space="preserve"> analysis and meta-analysis are needed to identify the extent to which the scientific literature has explored this area </w:t>
      </w:r>
      <w:r w:rsidR="005160E4" w:rsidRPr="005160E4">
        <w:rPr>
          <w:rFonts w:eastAsia="SimSun"/>
          <w:spacing w:val="-2"/>
          <w:lang w:val="en-ID" w:eastAsia="zh-CN"/>
        </w:rPr>
        <w:t>(</w:t>
      </w:r>
      <w:proofErr w:type="spellStart"/>
      <w:r w:rsidR="005160E4" w:rsidRPr="005160E4">
        <w:rPr>
          <w:rFonts w:eastAsia="SimSun"/>
          <w:spacing w:val="-2"/>
          <w:lang w:val="en-ID" w:eastAsia="zh-CN"/>
        </w:rPr>
        <w:t>Kusumawati</w:t>
      </w:r>
      <w:proofErr w:type="spellEnd"/>
      <w:r w:rsidR="005160E4" w:rsidRPr="005160E4">
        <w:rPr>
          <w:rFonts w:eastAsia="SimSun"/>
          <w:spacing w:val="-2"/>
          <w:lang w:val="en-ID" w:eastAsia="zh-CN"/>
        </w:rPr>
        <w:t>, 2018).</w:t>
      </w:r>
    </w:p>
    <w:p w14:paraId="14446FB1" w14:textId="014C204B" w:rsidR="005160E4" w:rsidRDefault="004D4BD4" w:rsidP="005B5AEC">
      <w:pPr>
        <w:pStyle w:val="Alishlah31text"/>
        <w:rPr>
          <w:rFonts w:eastAsia="SimSun"/>
          <w:spacing w:val="-2"/>
          <w:lang w:val="en-ID" w:eastAsia="zh-CN"/>
        </w:rPr>
      </w:pPr>
      <w:r w:rsidRPr="004D4BD4">
        <w:rPr>
          <w:rFonts w:eastAsia="SimSun"/>
          <w:spacing w:val="-2"/>
          <w:lang w:val="en-ID" w:eastAsia="zh-CN"/>
        </w:rPr>
        <w:t xml:space="preserve">This article aims to systematically </w:t>
      </w:r>
      <w:proofErr w:type="spellStart"/>
      <w:r w:rsidRPr="004D4BD4">
        <w:rPr>
          <w:rFonts w:eastAsia="SimSun"/>
          <w:spacing w:val="-2"/>
          <w:lang w:val="en-ID" w:eastAsia="zh-CN"/>
        </w:rPr>
        <w:t>analyze</w:t>
      </w:r>
      <w:proofErr w:type="spellEnd"/>
      <w:r w:rsidRPr="004D4BD4">
        <w:rPr>
          <w:rFonts w:eastAsia="SimSun"/>
          <w:spacing w:val="-2"/>
          <w:lang w:val="en-ID" w:eastAsia="zh-CN"/>
        </w:rPr>
        <w:t xml:space="preserve"> the scientific literature on AI-assisted adaptive learning in vocational education using the PRISMA approach and </w:t>
      </w:r>
      <w:proofErr w:type="spellStart"/>
      <w:r w:rsidRPr="004D4BD4">
        <w:rPr>
          <w:rFonts w:eastAsia="SimSun"/>
          <w:spacing w:val="-2"/>
          <w:lang w:val="en-ID" w:eastAsia="zh-CN"/>
        </w:rPr>
        <w:t>bibliometric</w:t>
      </w:r>
      <w:proofErr w:type="spellEnd"/>
      <w:r w:rsidRPr="004D4BD4">
        <w:rPr>
          <w:rFonts w:eastAsia="SimSun"/>
          <w:spacing w:val="-2"/>
          <w:lang w:val="en-ID" w:eastAsia="zh-CN"/>
        </w:rPr>
        <w:t xml:space="preserve"> analysis. This analysis is expected to provide insights into research trends, contributions from scholars and institutions, as well as the main topics that have dominated the discourse over the past five years </w:t>
      </w:r>
      <w:r w:rsidR="005160E4" w:rsidRPr="005160E4">
        <w:rPr>
          <w:rFonts w:eastAsia="SimSun"/>
          <w:spacing w:val="-2"/>
          <w:lang w:val="en-ID" w:eastAsia="zh-CN"/>
        </w:rPr>
        <w:t>(</w:t>
      </w:r>
      <w:proofErr w:type="spellStart"/>
      <w:r w:rsidR="005160E4" w:rsidRPr="005160E4">
        <w:rPr>
          <w:rFonts w:eastAsia="SimSun"/>
          <w:spacing w:val="-2"/>
          <w:lang w:val="en-ID" w:eastAsia="zh-CN"/>
        </w:rPr>
        <w:t>Maskar</w:t>
      </w:r>
      <w:proofErr w:type="spellEnd"/>
      <w:r w:rsidR="005160E4" w:rsidRPr="005160E4">
        <w:rPr>
          <w:rFonts w:eastAsia="SimSun"/>
          <w:spacing w:val="-2"/>
          <w:lang w:val="en-ID" w:eastAsia="zh-CN"/>
        </w:rPr>
        <w:t xml:space="preserve"> et al., 2020).</w:t>
      </w:r>
    </w:p>
    <w:p w14:paraId="3930D76C" w14:textId="77777777" w:rsidR="005B5AEC" w:rsidRPr="00723B12" w:rsidRDefault="005B5AEC" w:rsidP="005B5AEC">
      <w:pPr>
        <w:pStyle w:val="Alishlah21heading1"/>
        <w:rPr>
          <w:rFonts w:eastAsia="Arial"/>
        </w:rPr>
      </w:pPr>
      <w:r w:rsidRPr="00723B12">
        <w:rPr>
          <w:rFonts w:eastAsia="Arial"/>
        </w:rPr>
        <w:t xml:space="preserve">METHODS </w:t>
      </w:r>
    </w:p>
    <w:p w14:paraId="59B7B4FE" w14:textId="708AAE14" w:rsidR="004D4BD4" w:rsidRDefault="004D4BD4" w:rsidP="002B31FD">
      <w:pPr>
        <w:pStyle w:val="Alishlah31text"/>
        <w:rPr>
          <w:rFonts w:eastAsia="SimSun"/>
          <w:spacing w:val="-2"/>
          <w:lang w:val="en-ID" w:eastAsia="zh-CN"/>
        </w:rPr>
      </w:pPr>
      <w:r w:rsidRPr="004D4BD4">
        <w:rPr>
          <w:rFonts w:eastAsia="SimSun"/>
          <w:spacing w:val="-2"/>
          <w:lang w:val="en-ID" w:eastAsia="zh-CN"/>
        </w:rPr>
        <w:t xml:space="preserve">This study employs a Systematic Literature Review (SLR) approach based on the Preferred Reporting Items for Systematic Reviews and Meta-Analyses (PRISMA) protocol to identify, select, and </w:t>
      </w:r>
      <w:proofErr w:type="spellStart"/>
      <w:r w:rsidRPr="004D4BD4">
        <w:rPr>
          <w:rFonts w:eastAsia="SimSun"/>
          <w:spacing w:val="-2"/>
          <w:lang w:val="en-ID" w:eastAsia="zh-CN"/>
        </w:rPr>
        <w:t>analyze</w:t>
      </w:r>
      <w:proofErr w:type="spellEnd"/>
      <w:r w:rsidRPr="004D4BD4">
        <w:rPr>
          <w:rFonts w:eastAsia="SimSun"/>
          <w:spacing w:val="-2"/>
          <w:lang w:val="en-ID" w:eastAsia="zh-CN"/>
        </w:rPr>
        <w:t xml:space="preserve"> scientific publications related to AI-assisted adaptive learning in vocational education. In addition, </w:t>
      </w:r>
      <w:proofErr w:type="spellStart"/>
      <w:r w:rsidRPr="004D4BD4">
        <w:rPr>
          <w:rFonts w:eastAsia="SimSun"/>
          <w:spacing w:val="-2"/>
          <w:lang w:val="en-ID" w:eastAsia="zh-CN"/>
        </w:rPr>
        <w:t>bibliometric</w:t>
      </w:r>
      <w:proofErr w:type="spellEnd"/>
      <w:r w:rsidRPr="004D4BD4">
        <w:rPr>
          <w:rFonts w:eastAsia="SimSun"/>
          <w:spacing w:val="-2"/>
          <w:lang w:val="en-ID" w:eastAsia="zh-CN"/>
        </w:rPr>
        <w:t xml:space="preserve"> analysis is applied to map research trends, author collaborations, country distributions, and key keywords using </w:t>
      </w:r>
      <w:proofErr w:type="spellStart"/>
      <w:r w:rsidRPr="004D4BD4">
        <w:rPr>
          <w:rFonts w:eastAsia="SimSun"/>
          <w:spacing w:val="-2"/>
          <w:lang w:val="en-ID" w:eastAsia="zh-CN"/>
        </w:rPr>
        <w:t>VOSviewer</w:t>
      </w:r>
      <w:proofErr w:type="spellEnd"/>
      <w:r w:rsidRPr="004D4BD4">
        <w:rPr>
          <w:rFonts w:eastAsia="SimSun"/>
          <w:spacing w:val="-2"/>
          <w:lang w:val="en-ID" w:eastAsia="zh-CN"/>
        </w:rPr>
        <w:t xml:space="preserve"> software</w:t>
      </w:r>
      <w:r>
        <w:rPr>
          <w:rFonts w:eastAsia="SimSun"/>
          <w:spacing w:val="-2"/>
          <w:lang w:val="en-ID" w:eastAsia="zh-CN"/>
        </w:rPr>
        <w:t>.</w:t>
      </w:r>
    </w:p>
    <w:p w14:paraId="2CAE9DFB" w14:textId="7F266AF6" w:rsidR="004D4BD4" w:rsidRDefault="004D4BD4" w:rsidP="005160E4">
      <w:pPr>
        <w:pStyle w:val="Alishlah31text"/>
        <w:numPr>
          <w:ilvl w:val="0"/>
          <w:numId w:val="19"/>
        </w:numPr>
      </w:pPr>
      <w:r w:rsidRPr="004D4BD4">
        <w:t>Search Strategy and Data Sources</w:t>
      </w:r>
    </w:p>
    <w:p w14:paraId="5429E30A" w14:textId="7C45A99E" w:rsidR="005160E4" w:rsidRDefault="004D4BD4" w:rsidP="000F3ED6">
      <w:pPr>
        <w:pStyle w:val="Alishlah31text"/>
        <w:ind w:left="785" w:firstLine="491"/>
      </w:pPr>
      <w:r w:rsidRPr="004D4BD4">
        <w:t>The literature search was conducted through several academic databases, including Google Scholar, Scopus, and Semantic Scholar. The keywords used in the search included: "artificial intelligence" AND "adaptive learning" AND "vocational education", along with variations such as "AI in vocational training", "personalized learning with AI", and "intelligent tutoring systems AND TVET"</w:t>
      </w:r>
      <w:r>
        <w:t xml:space="preserve"> </w:t>
      </w:r>
      <w:r w:rsidR="005160E4" w:rsidRPr="005160E4">
        <w:t>(</w:t>
      </w:r>
      <w:proofErr w:type="spellStart"/>
      <w:r w:rsidR="005160E4" w:rsidRPr="005160E4">
        <w:t>Firzatullah</w:t>
      </w:r>
      <w:proofErr w:type="spellEnd"/>
      <w:r w:rsidR="005160E4" w:rsidRPr="005160E4">
        <w:t>, 2021).</w:t>
      </w:r>
    </w:p>
    <w:p w14:paraId="024D11A4" w14:textId="77777777" w:rsidR="00BC32FE" w:rsidRDefault="00BC32FE" w:rsidP="000F3ED6">
      <w:pPr>
        <w:pStyle w:val="Alishlah31text"/>
        <w:ind w:left="785" w:firstLine="491"/>
      </w:pPr>
    </w:p>
    <w:p w14:paraId="6016D295" w14:textId="315FCDD5" w:rsidR="00BC32FE" w:rsidRDefault="004D4BD4" w:rsidP="005160E4">
      <w:pPr>
        <w:pStyle w:val="Alishlah31text"/>
        <w:ind w:left="349" w:firstLine="436"/>
      </w:pPr>
      <w:r w:rsidRPr="004D4BD4">
        <w:t>Search limitations and specification details are shown in table 1.</w:t>
      </w:r>
    </w:p>
    <w:p w14:paraId="436839CC" w14:textId="77777777" w:rsidR="004D4BD4" w:rsidRDefault="004D4BD4" w:rsidP="005160E4">
      <w:pPr>
        <w:pStyle w:val="Alishlah31text"/>
        <w:ind w:left="349" w:firstLine="436"/>
      </w:pPr>
    </w:p>
    <w:p w14:paraId="2DA2E75B" w14:textId="096DD755" w:rsidR="005160E4" w:rsidRDefault="004D4BD4" w:rsidP="005160E4">
      <w:pPr>
        <w:pStyle w:val="Alishlah31text"/>
        <w:ind w:left="349" w:firstLine="436"/>
        <w:jc w:val="center"/>
      </w:pPr>
      <w:proofErr w:type="gramStart"/>
      <w:r w:rsidRPr="004D4BD4">
        <w:rPr>
          <w:b/>
          <w:bCs/>
        </w:rPr>
        <w:t>Table 1.</w:t>
      </w:r>
      <w:proofErr w:type="gramEnd"/>
      <w:r w:rsidRPr="004D4BD4">
        <w:rPr>
          <w:b/>
          <w:bCs/>
        </w:rPr>
        <w:t xml:space="preserve"> </w:t>
      </w:r>
      <w:r w:rsidRPr="004D4BD4">
        <w:t>SLR Publication Specifications</w:t>
      </w:r>
    </w:p>
    <w:tbl>
      <w:tblPr>
        <w:tblW w:w="3975" w:type="dxa"/>
        <w:jc w:val="center"/>
        <w:tblCellSpacing w:w="0" w:type="dxa"/>
        <w:tblBorders>
          <w:insideH w:val="single" w:sz="4" w:space="0" w:color="auto"/>
        </w:tblBorders>
        <w:tblLook w:val="04A0" w:firstRow="1" w:lastRow="0" w:firstColumn="1" w:lastColumn="0" w:noHBand="0" w:noVBand="1"/>
      </w:tblPr>
      <w:tblGrid>
        <w:gridCol w:w="2177"/>
        <w:gridCol w:w="1798"/>
      </w:tblGrid>
      <w:tr w:rsidR="005160E4" w14:paraId="7FB5FFA7" w14:textId="77777777" w:rsidTr="005160E4">
        <w:trPr>
          <w:tblCellSpacing w:w="0" w:type="dxa"/>
          <w:jc w:val="center"/>
        </w:trPr>
        <w:tc>
          <w:tcPr>
            <w:tcW w:w="2177" w:type="dxa"/>
            <w:tcBorders>
              <w:top w:val="single" w:sz="4" w:space="0" w:color="auto"/>
              <w:left w:val="nil"/>
              <w:bottom w:val="single" w:sz="4" w:space="0" w:color="auto"/>
              <w:right w:val="nil"/>
            </w:tcBorders>
            <w:noWrap/>
            <w:tcMar>
              <w:top w:w="15" w:type="dxa"/>
              <w:left w:w="15" w:type="dxa"/>
              <w:bottom w:w="15" w:type="dxa"/>
              <w:right w:w="15" w:type="dxa"/>
            </w:tcMar>
            <w:vAlign w:val="center"/>
            <w:hideMark/>
          </w:tcPr>
          <w:p w14:paraId="75781CAB" w14:textId="77777777" w:rsidR="005160E4" w:rsidRDefault="005160E4">
            <w:pPr>
              <w:rPr>
                <w:rFonts w:ascii="Cambria" w:eastAsia="Times New Roman" w:hAnsi="Cambria" w:cs="Arial"/>
                <w:szCs w:val="24"/>
              </w:rPr>
            </w:pPr>
            <w:proofErr w:type="spellStart"/>
            <w:r>
              <w:rPr>
                <w:rFonts w:ascii="Cambria" w:eastAsia="Times New Roman" w:hAnsi="Cambria" w:cs="Arial"/>
                <w:szCs w:val="24"/>
              </w:rPr>
              <w:t>Tahun</w:t>
            </w:r>
            <w:proofErr w:type="spellEnd"/>
          </w:p>
        </w:tc>
        <w:tc>
          <w:tcPr>
            <w:tcW w:w="1798"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1BF0CB5A" w14:textId="77777777" w:rsidR="005160E4" w:rsidRDefault="005160E4">
            <w:pPr>
              <w:rPr>
                <w:rFonts w:ascii="Cambria" w:eastAsia="Times New Roman" w:hAnsi="Cambria" w:cs="Arial"/>
                <w:szCs w:val="24"/>
              </w:rPr>
            </w:pPr>
            <w:r>
              <w:rPr>
                <w:rFonts w:eastAsia="Times New Roman" w:cs="Arial"/>
                <w:bCs/>
              </w:rPr>
              <w:t>2018-2022</w:t>
            </w:r>
          </w:p>
        </w:tc>
      </w:tr>
      <w:tr w:rsidR="005160E4" w14:paraId="7E73F3CE" w14:textId="77777777" w:rsidTr="005160E4">
        <w:trPr>
          <w:tblCellSpacing w:w="0" w:type="dxa"/>
          <w:jc w:val="center"/>
        </w:trPr>
        <w:tc>
          <w:tcPr>
            <w:tcW w:w="2177"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041DA035" w14:textId="77777777" w:rsidR="005160E4" w:rsidRDefault="005160E4">
            <w:pPr>
              <w:rPr>
                <w:rFonts w:ascii="Cambria" w:eastAsia="Times New Roman" w:hAnsi="Cambria" w:cs="Arial"/>
                <w:szCs w:val="24"/>
              </w:rPr>
            </w:pPr>
            <w:proofErr w:type="spellStart"/>
            <w:r>
              <w:rPr>
                <w:rFonts w:ascii="Cambria" w:eastAsia="Times New Roman" w:hAnsi="Cambria" w:cs="Arial"/>
                <w:szCs w:val="24"/>
              </w:rPr>
              <w:t>Kemungkinan</w:t>
            </w:r>
            <w:proofErr w:type="spellEnd"/>
            <w:r>
              <w:rPr>
                <w:rFonts w:ascii="Cambria" w:eastAsia="Times New Roman" w:hAnsi="Cambria" w:cs="Arial"/>
                <w:szCs w:val="24"/>
              </w:rPr>
              <w:t xml:space="preserve"> Target</w:t>
            </w:r>
          </w:p>
        </w:tc>
        <w:tc>
          <w:tcPr>
            <w:tcW w:w="1798"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7F97D283" w14:textId="77777777" w:rsidR="005160E4" w:rsidRDefault="005160E4">
            <w:pPr>
              <w:rPr>
                <w:rFonts w:ascii="Cambria" w:eastAsia="Times New Roman" w:hAnsi="Cambria" w:cs="Arial"/>
                <w:szCs w:val="24"/>
              </w:rPr>
            </w:pPr>
            <w:r>
              <w:rPr>
                <w:rFonts w:ascii="Cambria" w:eastAsia="Times New Roman" w:hAnsi="Cambria" w:cs="Arial"/>
                <w:szCs w:val="24"/>
              </w:rPr>
              <w:t>40-50</w:t>
            </w:r>
          </w:p>
        </w:tc>
      </w:tr>
      <w:tr w:rsidR="005160E4" w14:paraId="786DA7E9" w14:textId="77777777" w:rsidTr="005160E4">
        <w:trPr>
          <w:tblCellSpacing w:w="0" w:type="dxa"/>
          <w:jc w:val="center"/>
        </w:trPr>
        <w:tc>
          <w:tcPr>
            <w:tcW w:w="2177"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415D2EBB" w14:textId="77777777" w:rsidR="005160E4" w:rsidRDefault="005160E4">
            <w:pPr>
              <w:rPr>
                <w:rFonts w:ascii="Cambria" w:eastAsia="Times New Roman" w:hAnsi="Cambria" w:cs="Arial"/>
                <w:szCs w:val="24"/>
              </w:rPr>
            </w:pPr>
            <w:proofErr w:type="spellStart"/>
            <w:r>
              <w:rPr>
                <w:rFonts w:ascii="Cambria" w:eastAsia="Times New Roman" w:hAnsi="Cambria" w:cs="Arial"/>
                <w:szCs w:val="24"/>
              </w:rPr>
              <w:t>Akreditasi</w:t>
            </w:r>
            <w:proofErr w:type="spellEnd"/>
            <w:r>
              <w:rPr>
                <w:rFonts w:ascii="Cambria" w:eastAsia="Times New Roman" w:hAnsi="Cambria" w:cs="Arial"/>
                <w:szCs w:val="24"/>
              </w:rPr>
              <w:t xml:space="preserve"> </w:t>
            </w:r>
            <w:proofErr w:type="spellStart"/>
            <w:r>
              <w:rPr>
                <w:rFonts w:ascii="Cambria" w:eastAsia="Times New Roman" w:hAnsi="Cambria" w:cs="Arial"/>
                <w:szCs w:val="24"/>
              </w:rPr>
              <w:t>Jurnal</w:t>
            </w:r>
            <w:proofErr w:type="spellEnd"/>
          </w:p>
        </w:tc>
        <w:tc>
          <w:tcPr>
            <w:tcW w:w="1798"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2ED69061" w14:textId="77777777" w:rsidR="005160E4" w:rsidRDefault="005160E4">
            <w:pPr>
              <w:rPr>
                <w:rFonts w:ascii="Cambria" w:eastAsia="Times New Roman" w:hAnsi="Cambria" w:cs="Arial"/>
                <w:szCs w:val="24"/>
              </w:rPr>
            </w:pPr>
            <w:proofErr w:type="spellStart"/>
            <w:r>
              <w:rPr>
                <w:rFonts w:ascii="Cambria" w:eastAsia="Times New Roman" w:hAnsi="Cambria" w:cs="Arial"/>
                <w:szCs w:val="24"/>
              </w:rPr>
              <w:t>Nasional</w:t>
            </w:r>
            <w:proofErr w:type="spellEnd"/>
            <w:r>
              <w:rPr>
                <w:rFonts w:ascii="Cambria" w:eastAsia="Times New Roman" w:hAnsi="Cambria" w:cs="Arial"/>
                <w:szCs w:val="24"/>
              </w:rPr>
              <w:t xml:space="preserve"> </w:t>
            </w:r>
            <w:proofErr w:type="spellStart"/>
            <w:r>
              <w:rPr>
                <w:rFonts w:ascii="Cambria" w:eastAsia="Times New Roman" w:hAnsi="Cambria" w:cs="Arial"/>
                <w:szCs w:val="24"/>
              </w:rPr>
              <w:t>Terakreditasi</w:t>
            </w:r>
            <w:proofErr w:type="spellEnd"/>
            <w:r>
              <w:rPr>
                <w:rFonts w:ascii="Cambria" w:eastAsia="Times New Roman" w:hAnsi="Cambria" w:cs="Arial"/>
                <w:szCs w:val="24"/>
              </w:rPr>
              <w:t xml:space="preserve"> </w:t>
            </w:r>
            <w:proofErr w:type="spellStart"/>
            <w:r>
              <w:rPr>
                <w:rFonts w:ascii="Cambria" w:eastAsia="Times New Roman" w:hAnsi="Cambria" w:cs="Arial"/>
                <w:szCs w:val="24"/>
              </w:rPr>
              <w:t>atau</w:t>
            </w:r>
            <w:proofErr w:type="spellEnd"/>
            <w:r>
              <w:rPr>
                <w:rFonts w:ascii="Cambria" w:eastAsia="Times New Roman" w:hAnsi="Cambria" w:cs="Arial"/>
                <w:szCs w:val="24"/>
              </w:rPr>
              <w:t xml:space="preserve"> </w:t>
            </w:r>
            <w:proofErr w:type="spellStart"/>
            <w:r>
              <w:rPr>
                <w:rFonts w:ascii="Cambria" w:eastAsia="Times New Roman" w:hAnsi="Cambria" w:cs="Arial"/>
                <w:szCs w:val="24"/>
              </w:rPr>
              <w:t>Internasional</w:t>
            </w:r>
            <w:proofErr w:type="spellEnd"/>
            <w:r>
              <w:rPr>
                <w:rFonts w:ascii="Cambria" w:eastAsia="Times New Roman" w:hAnsi="Cambria" w:cs="Arial"/>
                <w:szCs w:val="24"/>
              </w:rPr>
              <w:t xml:space="preserve"> </w:t>
            </w:r>
            <w:proofErr w:type="spellStart"/>
            <w:r>
              <w:rPr>
                <w:rFonts w:ascii="Cambria" w:eastAsia="Times New Roman" w:hAnsi="Cambria" w:cs="Arial"/>
                <w:szCs w:val="24"/>
              </w:rPr>
              <w:t>Bereputasi</w:t>
            </w:r>
            <w:proofErr w:type="spellEnd"/>
          </w:p>
        </w:tc>
      </w:tr>
      <w:tr w:rsidR="005160E4" w14:paraId="024D8CA7" w14:textId="77777777" w:rsidTr="005160E4">
        <w:trPr>
          <w:tblCellSpacing w:w="0" w:type="dxa"/>
          <w:jc w:val="center"/>
        </w:trPr>
        <w:tc>
          <w:tcPr>
            <w:tcW w:w="2177"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21CF8B36" w14:textId="77777777" w:rsidR="005160E4" w:rsidRDefault="005160E4">
            <w:pPr>
              <w:rPr>
                <w:rFonts w:ascii="Cambria" w:eastAsia="Times New Roman" w:hAnsi="Cambria" w:cs="Arial"/>
                <w:szCs w:val="24"/>
              </w:rPr>
            </w:pPr>
            <w:r>
              <w:rPr>
                <w:rFonts w:ascii="Cambria" w:eastAsia="Times New Roman" w:hAnsi="Cambria" w:cs="Arial"/>
                <w:szCs w:val="24"/>
              </w:rPr>
              <w:t>Target Keyword</w:t>
            </w:r>
          </w:p>
        </w:tc>
        <w:tc>
          <w:tcPr>
            <w:tcW w:w="1798" w:type="dxa"/>
            <w:tcBorders>
              <w:top w:val="single" w:sz="4" w:space="0" w:color="auto"/>
              <w:left w:val="nil"/>
              <w:bottom w:val="single" w:sz="4" w:space="0" w:color="auto"/>
              <w:right w:val="nil"/>
            </w:tcBorders>
            <w:tcMar>
              <w:top w:w="15" w:type="dxa"/>
              <w:left w:w="15" w:type="dxa"/>
              <w:bottom w:w="15" w:type="dxa"/>
              <w:right w:w="15" w:type="dxa"/>
            </w:tcMar>
            <w:vAlign w:val="center"/>
            <w:hideMark/>
          </w:tcPr>
          <w:p w14:paraId="321C49F2" w14:textId="77777777" w:rsidR="005160E4" w:rsidRDefault="005160E4">
            <w:pPr>
              <w:rPr>
                <w:rFonts w:ascii="Cambria" w:eastAsia="Times New Roman" w:hAnsi="Cambria" w:cs="Arial"/>
                <w:szCs w:val="24"/>
              </w:rPr>
            </w:pPr>
            <w:proofErr w:type="gramStart"/>
            <w:r>
              <w:rPr>
                <w:rFonts w:ascii="Cambria" w:eastAsia="Times New Roman" w:hAnsi="Cambria" w:cs="Arial"/>
                <w:szCs w:val="24"/>
              </w:rPr>
              <w:t>artificial</w:t>
            </w:r>
            <w:proofErr w:type="gramEnd"/>
            <w:r>
              <w:rPr>
                <w:rFonts w:ascii="Cambria" w:eastAsia="Times New Roman" w:hAnsi="Cambria" w:cs="Arial"/>
                <w:szCs w:val="24"/>
              </w:rPr>
              <w:t xml:space="preserve"> intelligence, adaptive learning, vocational education.</w:t>
            </w:r>
          </w:p>
        </w:tc>
      </w:tr>
    </w:tbl>
    <w:p w14:paraId="49F70C42" w14:textId="77777777" w:rsidR="005160E4" w:rsidRDefault="005160E4" w:rsidP="005160E4">
      <w:pPr>
        <w:pStyle w:val="Alishlah31text"/>
        <w:ind w:left="349" w:firstLine="436"/>
        <w:jc w:val="center"/>
      </w:pPr>
    </w:p>
    <w:p w14:paraId="3D63B6BB" w14:textId="2225FBBA" w:rsidR="004D4BD4" w:rsidRDefault="004D4BD4" w:rsidP="005160E4">
      <w:pPr>
        <w:pStyle w:val="ListParagraph"/>
        <w:numPr>
          <w:ilvl w:val="0"/>
          <w:numId w:val="19"/>
        </w:numPr>
        <w:rPr>
          <w:rFonts w:ascii="Palatino Linotype" w:eastAsia="Times New Roman" w:hAnsi="Palatino Linotype" w:cs="Times New Roman"/>
          <w:snapToGrid w:val="0"/>
          <w:color w:val="000000"/>
          <w:sz w:val="20"/>
          <w:lang w:val="en-US" w:eastAsia="de-DE" w:bidi="en-US"/>
        </w:rPr>
      </w:pPr>
      <w:r w:rsidRPr="004D4BD4">
        <w:rPr>
          <w:rFonts w:ascii="Palatino Linotype" w:eastAsia="Times New Roman" w:hAnsi="Palatino Linotype" w:cs="Times New Roman"/>
          <w:snapToGrid w:val="0"/>
          <w:color w:val="000000"/>
          <w:sz w:val="20"/>
          <w:lang w:val="en-US" w:eastAsia="de-DE" w:bidi="en-US"/>
        </w:rPr>
        <w:t>PRISMA Procedure</w:t>
      </w:r>
    </w:p>
    <w:p w14:paraId="6EEEFF93" w14:textId="27DD5E52" w:rsidR="005160E4" w:rsidRDefault="004D4BD4" w:rsidP="004D4BD4">
      <w:pPr>
        <w:pStyle w:val="ListParagraph"/>
        <w:ind w:left="785" w:firstLine="349"/>
        <w:jc w:val="both"/>
        <w:rPr>
          <w:rFonts w:ascii="Palatino Linotype" w:eastAsia="Times New Roman" w:hAnsi="Palatino Linotype" w:cs="Times New Roman"/>
          <w:snapToGrid w:val="0"/>
          <w:color w:val="000000"/>
          <w:sz w:val="20"/>
          <w:lang w:val="en-US" w:eastAsia="de-DE" w:bidi="en-US"/>
        </w:rPr>
      </w:pPr>
      <w:r w:rsidRPr="004D4BD4">
        <w:rPr>
          <w:rFonts w:ascii="Palatino Linotype" w:eastAsia="Times New Roman" w:hAnsi="Palatino Linotype" w:cs="Times New Roman"/>
          <w:snapToGrid w:val="0"/>
          <w:color w:val="000000"/>
          <w:sz w:val="20"/>
          <w:lang w:val="en-US" w:eastAsia="de-DE" w:bidi="en-US"/>
        </w:rPr>
        <w:t>The article selection in this study follows the PRISMA (Preferred Reporting Items for Systematic Reviews and Meta-Analyses) protocol, which consists of four main stages. The first stage is identification, involving the collection of articles from various databases such as Google Scholar, Scopus, and Semantic Scholar using relevant keyword combinations. In this stage, all articles related to adaptive learning, artificial intelligence, and vocational education were downloaded in bibliographic formats (.</w:t>
      </w:r>
      <w:proofErr w:type="spellStart"/>
      <w:r w:rsidRPr="004D4BD4">
        <w:rPr>
          <w:rFonts w:ascii="Palatino Linotype" w:eastAsia="Times New Roman" w:hAnsi="Palatino Linotype" w:cs="Times New Roman"/>
          <w:snapToGrid w:val="0"/>
          <w:color w:val="000000"/>
          <w:sz w:val="20"/>
          <w:lang w:val="en-US" w:eastAsia="de-DE" w:bidi="en-US"/>
        </w:rPr>
        <w:t>ris</w:t>
      </w:r>
      <w:proofErr w:type="spellEnd"/>
      <w:r w:rsidRPr="004D4BD4">
        <w:rPr>
          <w:rFonts w:ascii="Palatino Linotype" w:eastAsia="Times New Roman" w:hAnsi="Palatino Linotype" w:cs="Times New Roman"/>
          <w:snapToGrid w:val="0"/>
          <w:color w:val="000000"/>
          <w:sz w:val="20"/>
          <w:lang w:val="en-US" w:eastAsia="de-DE" w:bidi="en-US"/>
        </w:rPr>
        <w:t xml:space="preserve"> and .</w:t>
      </w:r>
      <w:proofErr w:type="spellStart"/>
      <w:r w:rsidRPr="004D4BD4">
        <w:rPr>
          <w:rFonts w:ascii="Palatino Linotype" w:eastAsia="Times New Roman" w:hAnsi="Palatino Linotype" w:cs="Times New Roman"/>
          <w:snapToGrid w:val="0"/>
          <w:color w:val="000000"/>
          <w:sz w:val="20"/>
          <w:lang w:val="en-US" w:eastAsia="de-DE" w:bidi="en-US"/>
        </w:rPr>
        <w:t>csv</w:t>
      </w:r>
      <w:proofErr w:type="spellEnd"/>
      <w:r w:rsidRPr="004D4BD4">
        <w:rPr>
          <w:rFonts w:ascii="Palatino Linotype" w:eastAsia="Times New Roman" w:hAnsi="Palatino Linotype" w:cs="Times New Roman"/>
          <w:snapToGrid w:val="0"/>
          <w:color w:val="000000"/>
          <w:sz w:val="20"/>
          <w:lang w:val="en-US" w:eastAsia="de-DE" w:bidi="en-US"/>
        </w:rPr>
        <w:t>) for further analysis. The second stage is screening, which was carried out by removing duplicates and evaluating titles and abstracts to ensure initial relevance to the research focus</w:t>
      </w:r>
      <w:r>
        <w:rPr>
          <w:rFonts w:ascii="Palatino Linotype" w:eastAsia="Times New Roman" w:hAnsi="Palatino Linotype" w:cs="Times New Roman"/>
          <w:snapToGrid w:val="0"/>
          <w:color w:val="000000"/>
          <w:sz w:val="20"/>
          <w:lang w:val="en-US" w:eastAsia="de-DE" w:bidi="en-US"/>
        </w:rPr>
        <w:t xml:space="preserve"> </w:t>
      </w:r>
      <w:r w:rsidR="005160E4" w:rsidRPr="005160E4">
        <w:rPr>
          <w:rFonts w:ascii="Palatino Linotype" w:eastAsia="Times New Roman" w:hAnsi="Palatino Linotype" w:cs="Times New Roman"/>
          <w:snapToGrid w:val="0"/>
          <w:color w:val="000000"/>
          <w:sz w:val="20"/>
          <w:lang w:val="en-US" w:eastAsia="de-DE" w:bidi="en-US"/>
        </w:rPr>
        <w:t>(</w:t>
      </w:r>
      <w:proofErr w:type="spellStart"/>
      <w:r w:rsidR="005160E4" w:rsidRPr="005160E4">
        <w:rPr>
          <w:rFonts w:ascii="Palatino Linotype" w:eastAsia="Times New Roman" w:hAnsi="Palatino Linotype" w:cs="Times New Roman"/>
          <w:snapToGrid w:val="0"/>
          <w:color w:val="000000"/>
          <w:sz w:val="20"/>
          <w:lang w:val="en-US" w:eastAsia="de-DE" w:bidi="en-US"/>
        </w:rPr>
        <w:t>Widjanarko</w:t>
      </w:r>
      <w:proofErr w:type="spellEnd"/>
      <w:r w:rsidR="005160E4" w:rsidRPr="005160E4">
        <w:rPr>
          <w:rFonts w:ascii="Palatino Linotype" w:eastAsia="Times New Roman" w:hAnsi="Palatino Linotype" w:cs="Times New Roman"/>
          <w:snapToGrid w:val="0"/>
          <w:color w:val="000000"/>
          <w:sz w:val="20"/>
          <w:lang w:val="en-US" w:eastAsia="de-DE" w:bidi="en-US"/>
        </w:rPr>
        <w:t xml:space="preserve"> et al., 2021). </w:t>
      </w:r>
      <w:r w:rsidRPr="004D4BD4">
        <w:rPr>
          <w:rFonts w:ascii="Palatino Linotype" w:eastAsia="Times New Roman" w:hAnsi="Palatino Linotype" w:cs="Times New Roman"/>
          <w:snapToGrid w:val="0"/>
          <w:color w:val="000000"/>
          <w:sz w:val="20"/>
          <w:lang w:val="en-US" w:eastAsia="de-DE" w:bidi="en-US"/>
        </w:rPr>
        <w:t xml:space="preserve">Articles that were thematically or methodologically irrelevant were eliminated from the list. In the next stage, eligibility, a full-text review was conducted to confirm the alignment of each article's content with the context of AI-based adaptive learning in vocational education. The final stage is inclusion, in which a set of articles meeting all criteria were selected for </w:t>
      </w:r>
      <w:proofErr w:type="spellStart"/>
      <w:r w:rsidRPr="004D4BD4">
        <w:rPr>
          <w:rFonts w:ascii="Palatino Linotype" w:eastAsia="Times New Roman" w:hAnsi="Palatino Linotype" w:cs="Times New Roman"/>
          <w:snapToGrid w:val="0"/>
          <w:color w:val="000000"/>
          <w:sz w:val="20"/>
          <w:lang w:val="en-US" w:eastAsia="de-DE" w:bidi="en-US"/>
        </w:rPr>
        <w:t>bibliometric</w:t>
      </w:r>
      <w:proofErr w:type="spellEnd"/>
      <w:r w:rsidRPr="004D4BD4">
        <w:rPr>
          <w:rFonts w:ascii="Palatino Linotype" w:eastAsia="Times New Roman" w:hAnsi="Palatino Linotype" w:cs="Times New Roman"/>
          <w:snapToGrid w:val="0"/>
          <w:color w:val="000000"/>
          <w:sz w:val="20"/>
          <w:lang w:val="en-US" w:eastAsia="de-DE" w:bidi="en-US"/>
        </w:rPr>
        <w:t xml:space="preserve"> and meta-analysis. These included articles serve as the primary sources for extracting information on research trends, keyword distributions, author collaborations, and the effectiveness of AI implementation in adaptive learning within vocational education. The detailed PRISMA process is illustrated in Figure 1</w:t>
      </w:r>
      <w:r>
        <w:rPr>
          <w:rFonts w:ascii="Palatino Linotype" w:eastAsia="Times New Roman" w:hAnsi="Palatino Linotype" w:cs="Times New Roman"/>
          <w:snapToGrid w:val="0"/>
          <w:color w:val="000000"/>
          <w:sz w:val="20"/>
          <w:lang w:val="en-US" w:eastAsia="de-DE" w:bidi="en-US"/>
        </w:rPr>
        <w:t xml:space="preserve"> </w:t>
      </w:r>
      <w:r w:rsidR="005160E4" w:rsidRPr="005160E4">
        <w:rPr>
          <w:rFonts w:ascii="Palatino Linotype" w:eastAsia="Times New Roman" w:hAnsi="Palatino Linotype" w:cs="Times New Roman"/>
          <w:snapToGrid w:val="0"/>
          <w:color w:val="000000"/>
          <w:sz w:val="20"/>
          <w:lang w:val="en-US" w:eastAsia="de-DE" w:bidi="en-US"/>
        </w:rPr>
        <w:t>(</w:t>
      </w:r>
      <w:proofErr w:type="spellStart"/>
      <w:r w:rsidR="005160E4" w:rsidRPr="005160E4">
        <w:rPr>
          <w:rFonts w:ascii="Palatino Linotype" w:eastAsia="Times New Roman" w:hAnsi="Palatino Linotype" w:cs="Times New Roman"/>
          <w:snapToGrid w:val="0"/>
          <w:color w:val="000000"/>
          <w:sz w:val="20"/>
          <w:lang w:val="en-US" w:eastAsia="de-DE" w:bidi="en-US"/>
        </w:rPr>
        <w:t>Callejas</w:t>
      </w:r>
      <w:proofErr w:type="spellEnd"/>
      <w:r w:rsidR="005160E4" w:rsidRPr="005160E4">
        <w:rPr>
          <w:rFonts w:ascii="Palatino Linotype" w:eastAsia="Times New Roman" w:hAnsi="Palatino Linotype" w:cs="Times New Roman"/>
          <w:snapToGrid w:val="0"/>
          <w:color w:val="000000"/>
          <w:sz w:val="20"/>
          <w:lang w:val="en-US" w:eastAsia="de-DE" w:bidi="en-US"/>
        </w:rPr>
        <w:t xml:space="preserve"> et al., 2023).</w:t>
      </w:r>
    </w:p>
    <w:p w14:paraId="0B37F63C" w14:textId="1528F2FB" w:rsidR="005160E4" w:rsidRDefault="005160E4" w:rsidP="005160E4">
      <w:pPr>
        <w:pStyle w:val="ListParagraph"/>
        <w:ind w:left="785" w:firstLine="655"/>
        <w:jc w:val="center"/>
        <w:rPr>
          <w:rFonts w:ascii="Palatino Linotype" w:eastAsia="Times New Roman" w:hAnsi="Palatino Linotype" w:cs="Times New Roman"/>
          <w:snapToGrid w:val="0"/>
          <w:color w:val="000000"/>
          <w:sz w:val="20"/>
          <w:lang w:val="en-US" w:eastAsia="de-DE" w:bidi="en-US"/>
        </w:rPr>
      </w:pPr>
      <w:r>
        <w:rPr>
          <w:rFonts w:eastAsia="Times New Roman"/>
          <w:noProof/>
          <w:lang w:eastAsia="id-ID"/>
        </w:rPr>
        <w:drawing>
          <wp:inline distT="0" distB="0" distL="0" distR="0" wp14:anchorId="77A3E924" wp14:editId="1CD22311">
            <wp:extent cx="2524125" cy="29527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24125" cy="2952750"/>
                    </a:xfrm>
                    <a:prstGeom prst="rect">
                      <a:avLst/>
                    </a:prstGeom>
                    <a:noFill/>
                    <a:ln>
                      <a:noFill/>
                    </a:ln>
                  </pic:spPr>
                </pic:pic>
              </a:graphicData>
            </a:graphic>
          </wp:inline>
        </w:drawing>
      </w:r>
    </w:p>
    <w:p w14:paraId="5EFE4227" w14:textId="4B051DD9" w:rsidR="005160E4" w:rsidRDefault="004D4BD4" w:rsidP="005160E4">
      <w:pPr>
        <w:pStyle w:val="ListParagraph"/>
        <w:ind w:left="785" w:firstLine="655"/>
        <w:jc w:val="center"/>
        <w:rPr>
          <w:rFonts w:ascii="Palatino Linotype" w:eastAsia="Times New Roman" w:hAnsi="Palatino Linotype" w:cs="Times New Roman"/>
          <w:snapToGrid w:val="0"/>
          <w:color w:val="000000"/>
          <w:sz w:val="20"/>
          <w:lang w:val="en-US" w:eastAsia="de-DE" w:bidi="en-US"/>
        </w:rPr>
      </w:pPr>
      <w:proofErr w:type="gramStart"/>
      <w:r w:rsidRPr="004D4BD4">
        <w:rPr>
          <w:rFonts w:ascii="Palatino Linotype" w:eastAsia="Times New Roman" w:hAnsi="Palatino Linotype" w:cs="Times New Roman"/>
          <w:b/>
          <w:bCs/>
          <w:snapToGrid w:val="0"/>
          <w:color w:val="000000"/>
          <w:sz w:val="20"/>
          <w:lang w:val="en-US" w:eastAsia="de-DE" w:bidi="en-US"/>
        </w:rPr>
        <w:t>Figure 1.</w:t>
      </w:r>
      <w:proofErr w:type="gramEnd"/>
      <w:r w:rsidRPr="004D4BD4">
        <w:rPr>
          <w:rFonts w:ascii="Palatino Linotype" w:eastAsia="Times New Roman" w:hAnsi="Palatino Linotype" w:cs="Times New Roman"/>
          <w:b/>
          <w:bCs/>
          <w:snapToGrid w:val="0"/>
          <w:color w:val="000000"/>
          <w:sz w:val="20"/>
          <w:lang w:val="en-US" w:eastAsia="de-DE" w:bidi="en-US"/>
        </w:rPr>
        <w:t xml:space="preserve"> </w:t>
      </w:r>
      <w:proofErr w:type="spellStart"/>
      <w:r w:rsidR="005160E4" w:rsidRPr="005160E4">
        <w:rPr>
          <w:rFonts w:ascii="Palatino Linotype" w:eastAsia="Times New Roman" w:hAnsi="Palatino Linotype" w:cs="Times New Roman"/>
          <w:snapToGrid w:val="0"/>
          <w:color w:val="000000"/>
          <w:sz w:val="20"/>
          <w:lang w:val="en-US" w:eastAsia="de-DE" w:bidi="en-US"/>
        </w:rPr>
        <w:t>Flowmap</w:t>
      </w:r>
      <w:proofErr w:type="spellEnd"/>
      <w:r w:rsidR="005160E4" w:rsidRPr="005160E4">
        <w:rPr>
          <w:rFonts w:ascii="Palatino Linotype" w:eastAsia="Times New Roman" w:hAnsi="Palatino Linotype" w:cs="Times New Roman"/>
          <w:snapToGrid w:val="0"/>
          <w:color w:val="000000"/>
          <w:sz w:val="20"/>
          <w:lang w:val="en-US" w:eastAsia="de-DE" w:bidi="en-US"/>
        </w:rPr>
        <w:t xml:space="preserve"> PRISMA</w:t>
      </w:r>
    </w:p>
    <w:p w14:paraId="2478A524" w14:textId="28C8FD1F" w:rsidR="004D4BD4" w:rsidRDefault="004D4BD4" w:rsidP="005160E4">
      <w:pPr>
        <w:pStyle w:val="ListParagraph"/>
        <w:numPr>
          <w:ilvl w:val="0"/>
          <w:numId w:val="19"/>
        </w:numPr>
        <w:rPr>
          <w:rFonts w:ascii="Palatino Linotype" w:eastAsia="Times New Roman" w:hAnsi="Palatino Linotype" w:cs="Times New Roman"/>
          <w:snapToGrid w:val="0"/>
          <w:color w:val="000000"/>
          <w:sz w:val="20"/>
          <w:lang w:val="en-US" w:eastAsia="de-DE" w:bidi="en-US"/>
        </w:rPr>
      </w:pPr>
      <w:proofErr w:type="spellStart"/>
      <w:r w:rsidRPr="004D4BD4">
        <w:rPr>
          <w:rFonts w:ascii="Palatino Linotype" w:eastAsia="Times New Roman" w:hAnsi="Palatino Linotype" w:cs="Times New Roman"/>
          <w:snapToGrid w:val="0"/>
          <w:color w:val="000000"/>
          <w:sz w:val="20"/>
          <w:lang w:val="en-US" w:eastAsia="de-DE" w:bidi="en-US"/>
        </w:rPr>
        <w:t>Bibliometric</w:t>
      </w:r>
      <w:proofErr w:type="spellEnd"/>
      <w:r w:rsidRPr="004D4BD4">
        <w:rPr>
          <w:rFonts w:ascii="Palatino Linotype" w:eastAsia="Times New Roman" w:hAnsi="Palatino Linotype" w:cs="Times New Roman"/>
          <w:snapToGrid w:val="0"/>
          <w:color w:val="000000"/>
          <w:sz w:val="20"/>
          <w:lang w:val="en-US" w:eastAsia="de-DE" w:bidi="en-US"/>
        </w:rPr>
        <w:t xml:space="preserve"> Analysis</w:t>
      </w:r>
    </w:p>
    <w:p w14:paraId="1E8C1A0E" w14:textId="3F7BD4AC" w:rsidR="005160E4" w:rsidRPr="005160E4" w:rsidRDefault="004D4BD4" w:rsidP="004D4BD4">
      <w:pPr>
        <w:pStyle w:val="ListParagraph"/>
        <w:ind w:left="785" w:firstLine="349"/>
        <w:jc w:val="both"/>
        <w:rPr>
          <w:rFonts w:ascii="Palatino Linotype" w:eastAsia="Times New Roman" w:hAnsi="Palatino Linotype" w:cs="Times New Roman"/>
          <w:snapToGrid w:val="0"/>
          <w:color w:val="000000"/>
          <w:sz w:val="20"/>
          <w:lang w:val="en-US" w:eastAsia="de-DE" w:bidi="en-US"/>
        </w:rPr>
      </w:pPr>
      <w:proofErr w:type="spellStart"/>
      <w:r w:rsidRPr="004D4BD4">
        <w:rPr>
          <w:rFonts w:ascii="Palatino Linotype" w:eastAsia="Times New Roman" w:hAnsi="Palatino Linotype" w:cs="Times New Roman"/>
          <w:snapToGrid w:val="0"/>
          <w:color w:val="000000"/>
          <w:sz w:val="20"/>
          <w:lang w:val="en-US" w:eastAsia="de-DE" w:bidi="en-US"/>
        </w:rPr>
        <w:t>Bibliometric</w:t>
      </w:r>
      <w:proofErr w:type="spellEnd"/>
      <w:r w:rsidRPr="004D4BD4">
        <w:rPr>
          <w:rFonts w:ascii="Palatino Linotype" w:eastAsia="Times New Roman" w:hAnsi="Palatino Linotype" w:cs="Times New Roman"/>
          <w:snapToGrid w:val="0"/>
          <w:color w:val="000000"/>
          <w:sz w:val="20"/>
          <w:lang w:val="en-US" w:eastAsia="de-DE" w:bidi="en-US"/>
        </w:rPr>
        <w:t xml:space="preserve"> analysis in this study was conducted to evaluate the characteristics and trends of scientific publications discussing AI-assisted adaptive learning in the context of vocational education. All articles that passed the inclusion stage were processed using </w:t>
      </w:r>
      <w:proofErr w:type="spellStart"/>
      <w:r w:rsidRPr="004D4BD4">
        <w:rPr>
          <w:rFonts w:ascii="Palatino Linotype" w:eastAsia="Times New Roman" w:hAnsi="Palatino Linotype" w:cs="Times New Roman"/>
          <w:snapToGrid w:val="0"/>
          <w:color w:val="000000"/>
          <w:sz w:val="20"/>
          <w:lang w:val="en-US" w:eastAsia="de-DE" w:bidi="en-US"/>
        </w:rPr>
        <w:t>VOSviewer</w:t>
      </w:r>
      <w:proofErr w:type="spellEnd"/>
      <w:r w:rsidRPr="004D4BD4">
        <w:rPr>
          <w:rFonts w:ascii="Palatino Linotype" w:eastAsia="Times New Roman" w:hAnsi="Palatino Linotype" w:cs="Times New Roman"/>
          <w:snapToGrid w:val="0"/>
          <w:color w:val="000000"/>
          <w:sz w:val="20"/>
          <w:lang w:val="en-US" w:eastAsia="de-DE" w:bidi="en-US"/>
        </w:rPr>
        <w:t xml:space="preserve"> software. Bibliographic data from .</w:t>
      </w:r>
      <w:proofErr w:type="spellStart"/>
      <w:r w:rsidRPr="004D4BD4">
        <w:rPr>
          <w:rFonts w:ascii="Palatino Linotype" w:eastAsia="Times New Roman" w:hAnsi="Palatino Linotype" w:cs="Times New Roman"/>
          <w:snapToGrid w:val="0"/>
          <w:color w:val="000000"/>
          <w:sz w:val="20"/>
          <w:lang w:val="en-US" w:eastAsia="de-DE" w:bidi="en-US"/>
        </w:rPr>
        <w:t>ris</w:t>
      </w:r>
      <w:proofErr w:type="spellEnd"/>
      <w:r w:rsidRPr="004D4BD4">
        <w:rPr>
          <w:rFonts w:ascii="Palatino Linotype" w:eastAsia="Times New Roman" w:hAnsi="Palatino Linotype" w:cs="Times New Roman"/>
          <w:snapToGrid w:val="0"/>
          <w:color w:val="000000"/>
          <w:sz w:val="20"/>
          <w:lang w:val="en-US" w:eastAsia="de-DE" w:bidi="en-US"/>
        </w:rPr>
        <w:t xml:space="preserve"> and .</w:t>
      </w:r>
      <w:proofErr w:type="spellStart"/>
      <w:r w:rsidRPr="004D4BD4">
        <w:rPr>
          <w:rFonts w:ascii="Palatino Linotype" w:eastAsia="Times New Roman" w:hAnsi="Palatino Linotype" w:cs="Times New Roman"/>
          <w:snapToGrid w:val="0"/>
          <w:color w:val="000000"/>
          <w:sz w:val="20"/>
          <w:lang w:val="en-US" w:eastAsia="de-DE" w:bidi="en-US"/>
        </w:rPr>
        <w:t>csv</w:t>
      </w:r>
      <w:proofErr w:type="spellEnd"/>
      <w:r w:rsidRPr="004D4BD4">
        <w:rPr>
          <w:rFonts w:ascii="Palatino Linotype" w:eastAsia="Times New Roman" w:hAnsi="Palatino Linotype" w:cs="Times New Roman"/>
          <w:snapToGrid w:val="0"/>
          <w:color w:val="000000"/>
          <w:sz w:val="20"/>
          <w:lang w:val="en-US" w:eastAsia="de-DE" w:bidi="en-US"/>
        </w:rPr>
        <w:t xml:space="preserve"> files were imported into </w:t>
      </w:r>
      <w:proofErr w:type="spellStart"/>
      <w:r w:rsidRPr="004D4BD4">
        <w:rPr>
          <w:rFonts w:ascii="Palatino Linotype" w:eastAsia="Times New Roman" w:hAnsi="Palatino Linotype" w:cs="Times New Roman"/>
          <w:snapToGrid w:val="0"/>
          <w:color w:val="000000"/>
          <w:sz w:val="20"/>
          <w:lang w:val="en-US" w:eastAsia="de-DE" w:bidi="en-US"/>
        </w:rPr>
        <w:t>VOSviewer</w:t>
      </w:r>
      <w:proofErr w:type="spellEnd"/>
      <w:r w:rsidRPr="004D4BD4">
        <w:rPr>
          <w:rFonts w:ascii="Palatino Linotype" w:eastAsia="Times New Roman" w:hAnsi="Palatino Linotype" w:cs="Times New Roman"/>
          <w:snapToGrid w:val="0"/>
          <w:color w:val="000000"/>
          <w:sz w:val="20"/>
          <w:lang w:val="en-US" w:eastAsia="de-DE" w:bidi="en-US"/>
        </w:rPr>
        <w:t xml:space="preserve"> to generate visualizations of relationships among elements within the literature. Additionally, publication trends by year were analyzed to observe the dynamics of research development over time. The resulting visualizations included network maps and thematic clusters that help reveal the direction of scientific advancement in AI-based adaptive learning, particularly within vocational education. </w:t>
      </w:r>
      <w:proofErr w:type="gramStart"/>
      <w:r w:rsidR="005160E4" w:rsidRPr="005160E4">
        <w:rPr>
          <w:rFonts w:ascii="Palatino Linotype" w:eastAsia="Times New Roman" w:hAnsi="Palatino Linotype" w:cs="Times New Roman"/>
          <w:snapToGrid w:val="0"/>
          <w:color w:val="000000"/>
          <w:sz w:val="20"/>
          <w:lang w:val="en-US" w:eastAsia="de-DE" w:bidi="en-US"/>
        </w:rPr>
        <w:t>(Omar et al., 2019).</w:t>
      </w:r>
      <w:proofErr w:type="gramEnd"/>
    </w:p>
    <w:p w14:paraId="222B4868" w14:textId="77777777" w:rsidR="005B5AEC" w:rsidRPr="00723B12" w:rsidRDefault="005B5AEC" w:rsidP="005B5AEC">
      <w:pPr>
        <w:pStyle w:val="Alishlah21heading1"/>
        <w:rPr>
          <w:rFonts w:eastAsia="Arial"/>
        </w:rPr>
      </w:pPr>
      <w:r>
        <w:rPr>
          <w:rFonts w:eastAsia="Arial"/>
        </w:rPr>
        <w:lastRenderedPageBreak/>
        <w:t xml:space="preserve">FINDINGS </w:t>
      </w:r>
      <w:r w:rsidRPr="00723B12">
        <w:rPr>
          <w:rFonts w:eastAsia="Arial"/>
        </w:rPr>
        <w:t>AND DISCUSSION</w:t>
      </w:r>
    </w:p>
    <w:p w14:paraId="3F10D749" w14:textId="77777777" w:rsidR="004D4BD4" w:rsidRDefault="004D4BD4" w:rsidP="004D4BD4">
      <w:pPr>
        <w:pStyle w:val="Alishlah31text"/>
        <w:rPr>
          <w:noProof/>
        </w:rPr>
      </w:pPr>
      <w:r w:rsidRPr="004D4BD4">
        <w:t>The analysis of references collected since 2018 reveals a gradual increasing publication trend on the topic of artificial intelligence in adaptive learning within the context of vocational education. The graph in Figure 2 illustrates the number of identified articles per year. A significant surge in publications began around 2020, likely driven by the rising demand for adopting adaptive learning technologies following the COVID-19 pandemic. The peak number of publications occurred in 2022, reflecting both academic and practical interest in applying artificial intelligence in the education sector, particularly vocational education. This distribution also mirrors the global research dynamics increasingly positioning AI as a key component in technology-based educational innovation</w:t>
      </w:r>
      <w:r>
        <w:t>.</w:t>
      </w:r>
    </w:p>
    <w:p w14:paraId="326F13BB" w14:textId="77777777" w:rsidR="005160E4" w:rsidRDefault="005160E4" w:rsidP="004D4BD4">
      <w:pPr>
        <w:pStyle w:val="Alishlah31text"/>
        <w:jc w:val="center"/>
      </w:pPr>
      <w:r>
        <w:rPr>
          <w:noProof/>
          <w:lang w:val="id-ID" w:eastAsia="id-ID" w:bidi="ar-SA"/>
        </w:rPr>
        <w:drawing>
          <wp:inline distT="0" distB="0" distL="0" distR="0" wp14:anchorId="358242F3" wp14:editId="5FEB67C9">
            <wp:extent cx="2562225" cy="14763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7738"/>
                    <a:stretch/>
                  </pic:blipFill>
                  <pic:spPr bwMode="auto">
                    <a:xfrm>
                      <a:off x="0" y="0"/>
                      <a:ext cx="2562225" cy="1476375"/>
                    </a:xfrm>
                    <a:prstGeom prst="rect">
                      <a:avLst/>
                    </a:prstGeom>
                    <a:noFill/>
                    <a:ln>
                      <a:noFill/>
                    </a:ln>
                    <a:extLst>
                      <a:ext uri="{53640926-AAD7-44D8-BBD7-CCE9431645EC}">
                        <a14:shadowObscured xmlns:a14="http://schemas.microsoft.com/office/drawing/2010/main"/>
                      </a:ext>
                    </a:extLst>
                  </pic:spPr>
                </pic:pic>
              </a:graphicData>
            </a:graphic>
          </wp:inline>
        </w:drawing>
      </w:r>
    </w:p>
    <w:p w14:paraId="11F2CCE5" w14:textId="6EA65B43" w:rsidR="005160E4" w:rsidRDefault="004D4BD4" w:rsidP="005160E4">
      <w:pPr>
        <w:pStyle w:val="Alishlah31text"/>
        <w:jc w:val="center"/>
      </w:pPr>
      <w:proofErr w:type="gramStart"/>
      <w:r>
        <w:rPr>
          <w:b/>
          <w:bCs/>
        </w:rPr>
        <w:t>Figure 2.</w:t>
      </w:r>
      <w:proofErr w:type="gramEnd"/>
      <w:r>
        <w:rPr>
          <w:b/>
          <w:bCs/>
        </w:rPr>
        <w:t xml:space="preserve"> </w:t>
      </w:r>
      <w:r w:rsidR="005160E4" w:rsidRPr="005160E4">
        <w:t xml:space="preserve"> </w:t>
      </w:r>
      <w:proofErr w:type="spellStart"/>
      <w:r w:rsidR="005160E4" w:rsidRPr="005160E4">
        <w:t>Distribusi</w:t>
      </w:r>
      <w:proofErr w:type="spellEnd"/>
      <w:r w:rsidR="005160E4" w:rsidRPr="005160E4">
        <w:t xml:space="preserve"> </w:t>
      </w:r>
      <w:proofErr w:type="spellStart"/>
      <w:r w:rsidR="005160E4" w:rsidRPr="005160E4">
        <w:t>Referensi</w:t>
      </w:r>
      <w:proofErr w:type="spellEnd"/>
      <w:r w:rsidR="005160E4" w:rsidRPr="005160E4">
        <w:t xml:space="preserve"> </w:t>
      </w:r>
      <w:proofErr w:type="spellStart"/>
      <w:r w:rsidR="005160E4" w:rsidRPr="005160E4">
        <w:t>utama</w:t>
      </w:r>
      <w:proofErr w:type="spellEnd"/>
      <w:r w:rsidR="005160E4" w:rsidRPr="005160E4">
        <w:t xml:space="preserve"> </w:t>
      </w:r>
      <w:proofErr w:type="spellStart"/>
      <w:r w:rsidR="005160E4" w:rsidRPr="005160E4">
        <w:t>berdasarkan</w:t>
      </w:r>
      <w:proofErr w:type="spellEnd"/>
      <w:r w:rsidR="005160E4" w:rsidRPr="005160E4">
        <w:t xml:space="preserve"> </w:t>
      </w:r>
      <w:proofErr w:type="spellStart"/>
      <w:r w:rsidR="005160E4" w:rsidRPr="005160E4">
        <w:t>tahun</w:t>
      </w:r>
      <w:proofErr w:type="spellEnd"/>
    </w:p>
    <w:p w14:paraId="1F64027A" w14:textId="5ABFB3C6" w:rsidR="005160E4" w:rsidRDefault="005160E4" w:rsidP="005160E4">
      <w:pPr>
        <w:pStyle w:val="Alishlah31text"/>
        <w:jc w:val="center"/>
      </w:pPr>
    </w:p>
    <w:p w14:paraId="07608847" w14:textId="2FC56CE1" w:rsidR="005160E4" w:rsidRDefault="004700B1" w:rsidP="005160E4">
      <w:pPr>
        <w:pStyle w:val="Alishlah31text"/>
      </w:pPr>
      <w:r w:rsidRPr="004700B1">
        <w:t xml:space="preserve">The analysis based on the country of origin of publications shows that research related to artificial intelligence in adaptive learning within vocational education is dominated by several countries with strong technological research traditions. Figure 3 illustrates the top ten countries contributing the most publications on this topic based on indexing databases. Countries such as the United States, India, and the United Kingdom rank highest in publication numbers across indexing platforms like Elsevier, </w:t>
      </w:r>
      <w:proofErr w:type="spellStart"/>
      <w:r w:rsidRPr="004700B1">
        <w:t>Routledge</w:t>
      </w:r>
      <w:proofErr w:type="spellEnd"/>
      <w:r w:rsidRPr="004700B1">
        <w:t>, IEEE, and others, demonstrating their commitment to the development of AI-based educational technology</w:t>
      </w:r>
      <w:r w:rsidR="005160E4" w:rsidRPr="005160E4">
        <w:t xml:space="preserve"> (</w:t>
      </w:r>
      <w:proofErr w:type="spellStart"/>
      <w:r w:rsidR="005160E4" w:rsidRPr="005160E4">
        <w:t>Ghufron</w:t>
      </w:r>
      <w:proofErr w:type="spellEnd"/>
      <w:r w:rsidR="005160E4" w:rsidRPr="005160E4">
        <w:t xml:space="preserve">, 2018). </w:t>
      </w:r>
      <w:r w:rsidRPr="004700B1">
        <w:t xml:space="preserve">Contributions from other countries such as China, Germany, and Australia are also significant, reflecting global collaboration and a broad academic interest in this topic. These findings indicate that the implementation of AI in adaptive education has become a cross-national concern, although research remains concentrated in countries with more established technological infrastructure and higher education systems. </w:t>
      </w:r>
      <w:proofErr w:type="gramStart"/>
      <w:r w:rsidR="005160E4" w:rsidRPr="005160E4">
        <w:t xml:space="preserve">(Ma &amp; </w:t>
      </w:r>
      <w:proofErr w:type="spellStart"/>
      <w:r w:rsidR="005160E4" w:rsidRPr="005160E4">
        <w:t>Xu</w:t>
      </w:r>
      <w:proofErr w:type="spellEnd"/>
      <w:r w:rsidR="005160E4" w:rsidRPr="005160E4">
        <w:t>, 2020).</w:t>
      </w:r>
      <w:proofErr w:type="gramEnd"/>
    </w:p>
    <w:p w14:paraId="3B2639E3" w14:textId="77777777" w:rsidR="007F0ADF" w:rsidRDefault="007F0ADF" w:rsidP="005160E4">
      <w:pPr>
        <w:pStyle w:val="Alishlah31text"/>
        <w:jc w:val="center"/>
        <w:rPr>
          <w:noProof/>
        </w:rPr>
      </w:pPr>
    </w:p>
    <w:p w14:paraId="79747DF4" w14:textId="0B0ADF53" w:rsidR="005160E4" w:rsidRDefault="005160E4" w:rsidP="005160E4">
      <w:pPr>
        <w:pStyle w:val="Alishlah31text"/>
        <w:jc w:val="center"/>
      </w:pPr>
      <w:r>
        <w:rPr>
          <w:noProof/>
          <w:lang w:val="id-ID" w:eastAsia="id-ID" w:bidi="ar-SA"/>
        </w:rPr>
        <w:drawing>
          <wp:inline distT="0" distB="0" distL="0" distR="0" wp14:anchorId="41D3EE62" wp14:editId="5F52EAE9">
            <wp:extent cx="2571750" cy="1447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6172"/>
                    <a:stretch/>
                  </pic:blipFill>
                  <pic:spPr bwMode="auto">
                    <a:xfrm>
                      <a:off x="0" y="0"/>
                      <a:ext cx="2571750" cy="1447800"/>
                    </a:xfrm>
                    <a:prstGeom prst="rect">
                      <a:avLst/>
                    </a:prstGeom>
                    <a:noFill/>
                    <a:ln>
                      <a:noFill/>
                    </a:ln>
                    <a:extLst>
                      <a:ext uri="{53640926-AAD7-44D8-BBD7-CCE9431645EC}">
                        <a14:shadowObscured xmlns:a14="http://schemas.microsoft.com/office/drawing/2010/main"/>
                      </a:ext>
                    </a:extLst>
                  </pic:spPr>
                </pic:pic>
              </a:graphicData>
            </a:graphic>
          </wp:inline>
        </w:drawing>
      </w:r>
    </w:p>
    <w:p w14:paraId="6DC10552" w14:textId="4F922C13" w:rsidR="005160E4" w:rsidRDefault="007F0ADF" w:rsidP="005160E4">
      <w:pPr>
        <w:jc w:val="center"/>
        <w:rPr>
          <w:rFonts w:ascii="Palatino Linotype" w:eastAsia="Times New Roman" w:hAnsi="Palatino Linotype" w:cs="Times New Roman"/>
          <w:snapToGrid w:val="0"/>
          <w:color w:val="000000"/>
          <w:sz w:val="20"/>
          <w:lang w:val="en-US" w:eastAsia="de-DE" w:bidi="en-US"/>
        </w:rPr>
      </w:pPr>
      <w:proofErr w:type="gramStart"/>
      <w:r>
        <w:rPr>
          <w:rFonts w:ascii="Palatino Linotype" w:eastAsia="Times New Roman" w:hAnsi="Palatino Linotype" w:cs="Times New Roman"/>
          <w:b/>
          <w:bCs/>
          <w:snapToGrid w:val="0"/>
          <w:color w:val="000000"/>
          <w:sz w:val="20"/>
          <w:lang w:val="en-US" w:eastAsia="de-DE" w:bidi="en-US"/>
        </w:rPr>
        <w:t>Figure</w:t>
      </w:r>
      <w:r w:rsidR="005160E4" w:rsidRPr="005160E4">
        <w:rPr>
          <w:rFonts w:ascii="Palatino Linotype" w:eastAsia="Times New Roman" w:hAnsi="Palatino Linotype" w:cs="Times New Roman"/>
          <w:b/>
          <w:bCs/>
          <w:snapToGrid w:val="0"/>
          <w:color w:val="000000"/>
          <w:sz w:val="20"/>
          <w:lang w:val="en-US" w:eastAsia="de-DE" w:bidi="en-US"/>
        </w:rPr>
        <w:t xml:space="preserve"> 2.</w:t>
      </w:r>
      <w:proofErr w:type="gramEnd"/>
      <w:r w:rsidR="005160E4" w:rsidRPr="005160E4">
        <w:rPr>
          <w:rFonts w:ascii="Palatino Linotype" w:eastAsia="Times New Roman" w:hAnsi="Palatino Linotype" w:cs="Times New Roman"/>
          <w:snapToGrid w:val="0"/>
          <w:color w:val="000000"/>
          <w:sz w:val="20"/>
          <w:lang w:val="en-US" w:eastAsia="de-DE" w:bidi="en-US"/>
        </w:rPr>
        <w:t xml:space="preserve"> </w:t>
      </w:r>
      <w:r w:rsidRPr="007F0ADF">
        <w:rPr>
          <w:rFonts w:ascii="Palatino Linotype" w:eastAsia="Times New Roman" w:hAnsi="Palatino Linotype" w:cs="Times New Roman"/>
          <w:snapToGrid w:val="0"/>
          <w:color w:val="000000"/>
          <w:sz w:val="20"/>
          <w:lang w:val="en-US" w:eastAsia="de-DE" w:bidi="en-US"/>
        </w:rPr>
        <w:t>Distribution of main references based on indexing</w:t>
      </w:r>
    </w:p>
    <w:p w14:paraId="14086EFF" w14:textId="77777777" w:rsidR="007F0ADF" w:rsidRPr="007F0ADF" w:rsidRDefault="007F0ADF" w:rsidP="007F0ADF">
      <w:pPr>
        <w:ind w:firstLine="426"/>
        <w:rPr>
          <w:rFonts w:ascii="Palatino Linotype" w:eastAsia="Times New Roman" w:hAnsi="Palatino Linotype" w:cs="Times New Roman"/>
          <w:snapToGrid w:val="0"/>
          <w:color w:val="000000"/>
          <w:sz w:val="20"/>
          <w:lang w:val="en-US" w:eastAsia="de-DE" w:bidi="en-US"/>
        </w:rPr>
      </w:pPr>
      <w:proofErr w:type="spellStart"/>
      <w:r w:rsidRPr="007F0ADF">
        <w:rPr>
          <w:rFonts w:ascii="Palatino Linotype" w:eastAsia="Times New Roman" w:hAnsi="Palatino Linotype" w:cs="Times New Roman"/>
          <w:snapToGrid w:val="0"/>
          <w:color w:val="000000"/>
          <w:sz w:val="20"/>
          <w:lang w:val="en-US" w:eastAsia="de-DE" w:bidi="en-US"/>
        </w:rPr>
        <w:t>Bibliometric</w:t>
      </w:r>
      <w:proofErr w:type="spellEnd"/>
      <w:r w:rsidRPr="007F0ADF">
        <w:rPr>
          <w:rFonts w:ascii="Palatino Linotype" w:eastAsia="Times New Roman" w:hAnsi="Palatino Linotype" w:cs="Times New Roman"/>
          <w:snapToGrid w:val="0"/>
          <w:color w:val="000000"/>
          <w:sz w:val="20"/>
          <w:lang w:val="en-US" w:eastAsia="de-DE" w:bidi="en-US"/>
        </w:rPr>
        <w:t xml:space="preserve"> analysis was conducted to understand the research landscape related to the application of artificial intelligence in adaptive learning, particularly within the context of vocational education. This approach aims to identify publication patterns, keyword distributions, collaboration trends among authors and institutions, as well as the geographic spread of research over a certain period. Using bibliographic data from 41 selected articles and employing </w:t>
      </w:r>
      <w:proofErr w:type="spellStart"/>
      <w:r w:rsidRPr="007F0ADF">
        <w:rPr>
          <w:rFonts w:ascii="Palatino Linotype" w:eastAsia="Times New Roman" w:hAnsi="Palatino Linotype" w:cs="Times New Roman"/>
          <w:snapToGrid w:val="0"/>
          <w:color w:val="000000"/>
          <w:sz w:val="20"/>
          <w:lang w:val="en-US" w:eastAsia="de-DE" w:bidi="en-US"/>
        </w:rPr>
        <w:t>VOSviewer</w:t>
      </w:r>
      <w:proofErr w:type="spellEnd"/>
      <w:r w:rsidRPr="007F0ADF">
        <w:rPr>
          <w:rFonts w:ascii="Palatino Linotype" w:eastAsia="Times New Roman" w:hAnsi="Palatino Linotype" w:cs="Times New Roman"/>
          <w:snapToGrid w:val="0"/>
          <w:color w:val="000000"/>
          <w:sz w:val="20"/>
          <w:lang w:val="en-US" w:eastAsia="de-DE" w:bidi="en-US"/>
        </w:rPr>
        <w:t xml:space="preserve"> software, the study mapped the knowledge structure and the dynamic development of topics within the scientific literature.</w:t>
      </w:r>
    </w:p>
    <w:p w14:paraId="0BE0B471" w14:textId="5135DC15" w:rsidR="005160E4" w:rsidRDefault="007F0ADF" w:rsidP="007F0ADF">
      <w:pPr>
        <w:ind w:firstLine="426"/>
        <w:jc w:val="both"/>
        <w:rPr>
          <w:noProof/>
        </w:rPr>
      </w:pPr>
      <w:r w:rsidRPr="007F0ADF">
        <w:rPr>
          <w:rFonts w:ascii="Palatino Linotype" w:eastAsia="Times New Roman" w:hAnsi="Palatino Linotype" w:cs="Times New Roman"/>
          <w:snapToGrid w:val="0"/>
          <w:color w:val="000000"/>
          <w:sz w:val="20"/>
          <w:lang w:val="en-US" w:eastAsia="de-DE" w:bidi="en-US"/>
        </w:rPr>
        <w:lastRenderedPageBreak/>
        <w:t xml:space="preserve">The results of this analysis provide a comprehensive overview of the dominant themes emerging in the literature, the most active researchers and institutions in the field, and how the relationships among topics are developed within the scientific framework of technology-based vocational education using artificial intelligence. Visualizations in the form of network maps, keyword clusters, and country distribution of publications are presented to support the interpretation of the position and direction of research development in this area. </w:t>
      </w:r>
    </w:p>
    <w:p w14:paraId="1A48E95F" w14:textId="291ECF58" w:rsidR="007F0ADF" w:rsidRDefault="007F0ADF" w:rsidP="007F0ADF">
      <w:pPr>
        <w:ind w:firstLine="426"/>
        <w:jc w:val="center"/>
        <w:rPr>
          <w:rFonts w:ascii="Palatino Linotype" w:eastAsia="Times New Roman" w:hAnsi="Palatino Linotype" w:cs="Times New Roman"/>
          <w:snapToGrid w:val="0"/>
          <w:color w:val="000000"/>
          <w:sz w:val="20"/>
          <w:lang w:val="en-US" w:eastAsia="de-DE" w:bidi="en-US"/>
        </w:rPr>
      </w:pPr>
      <w:r>
        <w:rPr>
          <w:noProof/>
          <w:lang w:val="id-ID" w:eastAsia="id-ID"/>
        </w:rPr>
        <w:drawing>
          <wp:inline distT="0" distB="0" distL="0" distR="0" wp14:anchorId="1E052535" wp14:editId="46712B9C">
            <wp:extent cx="2552700" cy="31527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552700" cy="3152775"/>
                    </a:xfrm>
                    <a:prstGeom prst="rect">
                      <a:avLst/>
                    </a:prstGeom>
                    <a:noFill/>
                    <a:ln>
                      <a:noFill/>
                    </a:ln>
                  </pic:spPr>
                </pic:pic>
              </a:graphicData>
            </a:graphic>
          </wp:inline>
        </w:drawing>
      </w:r>
    </w:p>
    <w:p w14:paraId="30C17B9A" w14:textId="5F3FFFFA" w:rsidR="005160E4" w:rsidRDefault="007F0ADF" w:rsidP="005160E4">
      <w:pPr>
        <w:ind w:firstLine="720"/>
        <w:jc w:val="center"/>
        <w:rPr>
          <w:rFonts w:ascii="Palatino Linotype" w:eastAsia="Times New Roman" w:hAnsi="Palatino Linotype" w:cs="Times New Roman"/>
          <w:snapToGrid w:val="0"/>
          <w:color w:val="000000"/>
          <w:sz w:val="20"/>
          <w:lang w:val="en-US" w:eastAsia="de-DE" w:bidi="en-US"/>
        </w:rPr>
      </w:pPr>
      <w:proofErr w:type="gramStart"/>
      <w:r>
        <w:rPr>
          <w:rFonts w:ascii="Palatino Linotype" w:eastAsia="Times New Roman" w:hAnsi="Palatino Linotype" w:cs="Times New Roman"/>
          <w:b/>
          <w:bCs/>
          <w:snapToGrid w:val="0"/>
          <w:color w:val="000000"/>
          <w:sz w:val="20"/>
          <w:lang w:val="en-US" w:eastAsia="de-DE" w:bidi="en-US"/>
        </w:rPr>
        <w:t>Figure</w:t>
      </w:r>
      <w:r w:rsidR="005160E4" w:rsidRPr="005160E4">
        <w:rPr>
          <w:rFonts w:ascii="Palatino Linotype" w:eastAsia="Times New Roman" w:hAnsi="Palatino Linotype" w:cs="Times New Roman"/>
          <w:b/>
          <w:bCs/>
          <w:snapToGrid w:val="0"/>
          <w:color w:val="000000"/>
          <w:sz w:val="20"/>
          <w:lang w:val="en-US" w:eastAsia="de-DE" w:bidi="en-US"/>
        </w:rPr>
        <w:t xml:space="preserve"> 3.</w:t>
      </w:r>
      <w:proofErr w:type="gramEnd"/>
      <w:r w:rsidR="005160E4" w:rsidRPr="005160E4">
        <w:rPr>
          <w:rFonts w:ascii="Palatino Linotype" w:eastAsia="Times New Roman" w:hAnsi="Palatino Linotype" w:cs="Times New Roman"/>
          <w:snapToGrid w:val="0"/>
          <w:color w:val="000000"/>
          <w:sz w:val="20"/>
          <w:lang w:val="en-US" w:eastAsia="de-DE" w:bidi="en-US"/>
        </w:rPr>
        <w:t xml:space="preserve"> </w:t>
      </w:r>
      <w:proofErr w:type="spellStart"/>
      <w:r w:rsidRPr="007F0ADF">
        <w:rPr>
          <w:rFonts w:ascii="Palatino Linotype" w:eastAsia="Times New Roman" w:hAnsi="Palatino Linotype" w:cs="Times New Roman"/>
          <w:snapToGrid w:val="0"/>
          <w:color w:val="000000"/>
          <w:sz w:val="20"/>
          <w:lang w:val="en-US" w:eastAsia="de-DE" w:bidi="en-US"/>
        </w:rPr>
        <w:t>Bibliometric</w:t>
      </w:r>
      <w:proofErr w:type="spellEnd"/>
      <w:r w:rsidRPr="007F0ADF">
        <w:rPr>
          <w:rFonts w:ascii="Palatino Linotype" w:eastAsia="Times New Roman" w:hAnsi="Palatino Linotype" w:cs="Times New Roman"/>
          <w:snapToGrid w:val="0"/>
          <w:color w:val="000000"/>
          <w:sz w:val="20"/>
          <w:lang w:val="en-US" w:eastAsia="de-DE" w:bidi="en-US"/>
        </w:rPr>
        <w:t xml:space="preserve"> analysis results according to primary references</w:t>
      </w:r>
    </w:p>
    <w:p w14:paraId="31ED4855" w14:textId="2F143FCC" w:rsidR="005160E4" w:rsidRDefault="005160E4" w:rsidP="005160E4">
      <w:pPr>
        <w:jc w:val="both"/>
        <w:rPr>
          <w:rFonts w:ascii="Palatino Linotype" w:eastAsia="Times New Roman" w:hAnsi="Palatino Linotype" w:cs="Times New Roman"/>
          <w:b/>
          <w:bCs/>
          <w:snapToGrid w:val="0"/>
          <w:color w:val="000000"/>
          <w:sz w:val="20"/>
          <w:lang w:val="en-US" w:eastAsia="de-DE" w:bidi="en-US"/>
        </w:rPr>
      </w:pPr>
      <w:r w:rsidRPr="005160E4">
        <w:rPr>
          <w:rFonts w:ascii="Palatino Linotype" w:eastAsia="Times New Roman" w:hAnsi="Palatino Linotype" w:cs="Times New Roman"/>
          <w:b/>
          <w:bCs/>
          <w:snapToGrid w:val="0"/>
          <w:color w:val="000000"/>
          <w:sz w:val="20"/>
          <w:lang w:val="en-US" w:eastAsia="de-DE" w:bidi="en-US"/>
        </w:rPr>
        <w:t xml:space="preserve">Discussion with Analysis based on result of </w:t>
      </w:r>
      <w:proofErr w:type="spellStart"/>
      <w:r w:rsidRPr="005160E4">
        <w:rPr>
          <w:rFonts w:ascii="Palatino Linotype" w:eastAsia="Times New Roman" w:hAnsi="Palatino Linotype" w:cs="Times New Roman"/>
          <w:b/>
          <w:bCs/>
          <w:snapToGrid w:val="0"/>
          <w:color w:val="000000"/>
          <w:sz w:val="20"/>
          <w:lang w:val="en-US" w:eastAsia="de-DE" w:bidi="en-US"/>
        </w:rPr>
        <w:t>bibliometrics</w:t>
      </w:r>
      <w:proofErr w:type="spellEnd"/>
      <w:r w:rsidRPr="005160E4">
        <w:rPr>
          <w:rFonts w:ascii="Palatino Linotype" w:eastAsia="Times New Roman" w:hAnsi="Palatino Linotype" w:cs="Times New Roman"/>
          <w:b/>
          <w:bCs/>
          <w:snapToGrid w:val="0"/>
          <w:color w:val="000000"/>
          <w:sz w:val="20"/>
          <w:lang w:val="en-US" w:eastAsia="de-DE" w:bidi="en-US"/>
        </w:rPr>
        <w:t xml:space="preserve"> review and visualization</w:t>
      </w:r>
    </w:p>
    <w:p w14:paraId="0E66916D" w14:textId="77777777" w:rsidR="007F0ADF" w:rsidRDefault="007F0ADF" w:rsidP="000F3ED6">
      <w:pPr>
        <w:ind w:firstLine="426"/>
        <w:jc w:val="both"/>
        <w:rPr>
          <w:rFonts w:ascii="Palatino Linotype" w:eastAsia="Times New Roman" w:hAnsi="Palatino Linotype" w:cs="Times New Roman"/>
          <w:snapToGrid w:val="0"/>
          <w:color w:val="000000"/>
          <w:sz w:val="20"/>
          <w:lang w:val="en-US" w:eastAsia="de-DE" w:bidi="en-US"/>
        </w:rPr>
      </w:pPr>
      <w:r w:rsidRPr="007F0ADF">
        <w:rPr>
          <w:rFonts w:ascii="Palatino Linotype" w:eastAsia="Times New Roman" w:hAnsi="Palatino Linotype" w:cs="Times New Roman"/>
          <w:snapToGrid w:val="0"/>
          <w:color w:val="000000"/>
          <w:sz w:val="20"/>
          <w:lang w:val="en-US" w:eastAsia="de-DE" w:bidi="en-US"/>
        </w:rPr>
        <w:t xml:space="preserve">The visualization of </w:t>
      </w:r>
      <w:proofErr w:type="spellStart"/>
      <w:r w:rsidRPr="007F0ADF">
        <w:rPr>
          <w:rFonts w:ascii="Palatino Linotype" w:eastAsia="Times New Roman" w:hAnsi="Palatino Linotype" w:cs="Times New Roman"/>
          <w:snapToGrid w:val="0"/>
          <w:color w:val="000000"/>
          <w:sz w:val="20"/>
          <w:lang w:val="en-US" w:eastAsia="de-DE" w:bidi="en-US"/>
        </w:rPr>
        <w:t>bibliometric</w:t>
      </w:r>
      <w:proofErr w:type="spellEnd"/>
      <w:r w:rsidRPr="007F0ADF">
        <w:rPr>
          <w:rFonts w:ascii="Palatino Linotype" w:eastAsia="Times New Roman" w:hAnsi="Palatino Linotype" w:cs="Times New Roman"/>
          <w:snapToGrid w:val="0"/>
          <w:color w:val="000000"/>
          <w:sz w:val="20"/>
          <w:lang w:val="en-US" w:eastAsia="de-DE" w:bidi="en-US"/>
        </w:rPr>
        <w:t xml:space="preserve"> analysis results using </w:t>
      </w:r>
      <w:proofErr w:type="spellStart"/>
      <w:r w:rsidRPr="007F0ADF">
        <w:rPr>
          <w:rFonts w:ascii="Palatino Linotype" w:eastAsia="Times New Roman" w:hAnsi="Palatino Linotype" w:cs="Times New Roman"/>
          <w:snapToGrid w:val="0"/>
          <w:color w:val="000000"/>
          <w:sz w:val="20"/>
          <w:lang w:val="en-US" w:eastAsia="de-DE" w:bidi="en-US"/>
        </w:rPr>
        <w:t>VOSviewer</w:t>
      </w:r>
      <w:proofErr w:type="spellEnd"/>
      <w:r w:rsidRPr="007F0ADF">
        <w:rPr>
          <w:rFonts w:ascii="Palatino Linotype" w:eastAsia="Times New Roman" w:hAnsi="Palatino Linotype" w:cs="Times New Roman"/>
          <w:snapToGrid w:val="0"/>
          <w:color w:val="000000"/>
          <w:sz w:val="20"/>
          <w:lang w:val="en-US" w:eastAsia="de-DE" w:bidi="en-US"/>
        </w:rPr>
        <w:t xml:space="preserve"> reveals the relationships among keywords appearing in the literature on artificial intelligence in adaptive learning within the context of vocational education. In the co-occurrence map, the keyword “learning” appears as the central node, indicating that this topic is the core of all analyzed themes. Surrounding this keyword are other significant nodes such as “adaptive learning,” “artificial intelligence,” and “education,” which form the main closely connected cluster. The large size of these nodes and their central position on the map signify that these keywords not only frequently occur but are also commonly associated with other keywords, highlighting their central role in the development of the literature in this field. </w:t>
      </w:r>
    </w:p>
    <w:p w14:paraId="7B99F597" w14:textId="77777777" w:rsidR="007F0ADF" w:rsidRDefault="007F0ADF" w:rsidP="000F3ED6">
      <w:pPr>
        <w:ind w:firstLine="426"/>
        <w:jc w:val="both"/>
        <w:rPr>
          <w:rFonts w:ascii="Palatino Linotype" w:eastAsia="Times New Roman" w:hAnsi="Palatino Linotype" w:cs="Times New Roman"/>
          <w:snapToGrid w:val="0"/>
          <w:color w:val="000000"/>
          <w:sz w:val="20"/>
          <w:lang w:val="en-US" w:eastAsia="de-DE" w:bidi="en-US"/>
        </w:rPr>
      </w:pPr>
      <w:r w:rsidRPr="007F0ADF">
        <w:rPr>
          <w:rFonts w:ascii="Palatino Linotype" w:eastAsia="Times New Roman" w:hAnsi="Palatino Linotype" w:cs="Times New Roman"/>
          <w:snapToGrid w:val="0"/>
          <w:color w:val="000000"/>
          <w:sz w:val="20"/>
          <w:lang w:val="en-US" w:eastAsia="de-DE" w:bidi="en-US"/>
        </w:rPr>
        <w:t xml:space="preserve">Additionally, other keywords such as “vocational education,” “TVETs,” “vocational school,” and “learning outcomes” form </w:t>
      </w:r>
      <w:proofErr w:type="spellStart"/>
      <w:r w:rsidRPr="007F0ADF">
        <w:rPr>
          <w:rFonts w:ascii="Palatino Linotype" w:eastAsia="Times New Roman" w:hAnsi="Palatino Linotype" w:cs="Times New Roman"/>
          <w:snapToGrid w:val="0"/>
          <w:color w:val="000000"/>
          <w:sz w:val="20"/>
          <w:lang w:val="en-US" w:eastAsia="de-DE" w:bidi="en-US"/>
        </w:rPr>
        <w:t>subclusters</w:t>
      </w:r>
      <w:proofErr w:type="spellEnd"/>
      <w:r w:rsidRPr="007F0ADF">
        <w:rPr>
          <w:rFonts w:ascii="Palatino Linotype" w:eastAsia="Times New Roman" w:hAnsi="Palatino Linotype" w:cs="Times New Roman"/>
          <w:snapToGrid w:val="0"/>
          <w:color w:val="000000"/>
          <w:sz w:val="20"/>
          <w:lang w:val="en-US" w:eastAsia="de-DE" w:bidi="en-US"/>
        </w:rPr>
        <w:t xml:space="preserve"> that demonstrate the connection between AI utilization and the development of adaptive learning within vocational education systems. This reflects that the implementation of intelligent technology in education is not solely focused on the technological approach but also aims to improve the quality of vocational education through contextual and personalized methods. Keywords like “motivation,” “curriculum,” and “project-based learning” also appear within the network, indicating that AI-based adaptive learning is often associated with innovative teaching approaches that promote student engagement and enhance learning outcomes. </w:t>
      </w:r>
    </w:p>
    <w:p w14:paraId="1717ABB9" w14:textId="77777777" w:rsidR="007F0ADF" w:rsidRPr="007F0ADF" w:rsidRDefault="007F0ADF" w:rsidP="007F0ADF">
      <w:pPr>
        <w:rPr>
          <w:rFonts w:ascii="Palatino Linotype" w:eastAsia="Times New Roman" w:hAnsi="Palatino Linotype" w:cs="Times New Roman"/>
          <w:snapToGrid w:val="0"/>
          <w:color w:val="000000"/>
          <w:sz w:val="20"/>
          <w:lang w:val="en-US" w:eastAsia="de-DE" w:bidi="en-US"/>
        </w:rPr>
      </w:pPr>
      <w:r w:rsidRPr="007F0ADF">
        <w:rPr>
          <w:rFonts w:ascii="Palatino Linotype" w:eastAsia="Times New Roman" w:hAnsi="Palatino Linotype" w:cs="Times New Roman"/>
          <w:snapToGrid w:val="0"/>
          <w:color w:val="000000"/>
          <w:sz w:val="20"/>
          <w:lang w:val="en-US" w:eastAsia="de-DE" w:bidi="en-US"/>
        </w:rPr>
        <w:t xml:space="preserve">Interestingly, the keyword “COVID-19” also appears in the map, indicating that the pandemic was one of the triggers accelerating the adoption of AI in education. Additionally, the presence of </w:t>
      </w:r>
      <w:r w:rsidRPr="007F0ADF">
        <w:rPr>
          <w:rFonts w:ascii="Palatino Linotype" w:eastAsia="Times New Roman" w:hAnsi="Palatino Linotype" w:cs="Times New Roman"/>
          <w:snapToGrid w:val="0"/>
          <w:color w:val="000000"/>
          <w:sz w:val="20"/>
          <w:lang w:val="en-US" w:eastAsia="de-DE" w:bidi="en-US"/>
        </w:rPr>
        <w:lastRenderedPageBreak/>
        <w:t>keywords such as “Indonesia,” “media,” and “learning” suggests contributions from local research within this global ecosystem, as well as the use of terms specific to the Indonesian educational context. This highlights that the discourse on AI in education transcends national and cultural boundaries.</w:t>
      </w:r>
    </w:p>
    <w:p w14:paraId="59AE1238" w14:textId="77777777" w:rsidR="007F0ADF" w:rsidRDefault="007F0ADF" w:rsidP="000F3ED6">
      <w:pPr>
        <w:ind w:firstLine="426"/>
        <w:jc w:val="both"/>
        <w:rPr>
          <w:rFonts w:ascii="Palatino Linotype" w:eastAsia="Times New Roman" w:hAnsi="Palatino Linotype" w:cs="Times New Roman"/>
          <w:snapToGrid w:val="0"/>
          <w:color w:val="000000"/>
          <w:sz w:val="20"/>
          <w:lang w:val="en-US" w:eastAsia="de-DE" w:bidi="en-US"/>
        </w:rPr>
      </w:pPr>
      <w:r w:rsidRPr="007F0ADF">
        <w:rPr>
          <w:rFonts w:ascii="Palatino Linotype" w:eastAsia="Times New Roman" w:hAnsi="Palatino Linotype" w:cs="Times New Roman"/>
          <w:snapToGrid w:val="0"/>
          <w:color w:val="000000"/>
          <w:sz w:val="20"/>
          <w:lang w:val="en-US" w:eastAsia="de-DE" w:bidi="en-US"/>
        </w:rPr>
        <w:t xml:space="preserve">Overall, this visualization reveals that the literature on artificial intelligence in adaptive learning within vocational education develops in multiple directions, encompassing aspects of pedagogy, technology, and education policy. The complexity of the keyword network indicates that research in this field is not isolated but involves the interaction of various disciplines and research focuses, ranging from curriculum development and project-based learning strategies to the implementation of adaptive and personalized intelligent educational technologies. This visualization provides a comprehensive overview of the knowledge structure formed in recent studies and opens opportunities for exploring more specific follow-up themes. </w:t>
      </w:r>
    </w:p>
    <w:p w14:paraId="22C5BA36" w14:textId="77777777" w:rsidR="007F0ADF" w:rsidRDefault="007F0ADF" w:rsidP="007F0ADF">
      <w:pPr>
        <w:ind w:firstLine="426"/>
        <w:jc w:val="both"/>
        <w:rPr>
          <w:rFonts w:ascii="Palatino Linotype" w:eastAsia="Times New Roman" w:hAnsi="Palatino Linotype" w:cs="Times New Roman"/>
          <w:snapToGrid w:val="0"/>
          <w:color w:val="000000"/>
          <w:sz w:val="20"/>
          <w:lang w:val="en-US" w:eastAsia="de-DE" w:bidi="en-US"/>
        </w:rPr>
      </w:pPr>
      <w:r w:rsidRPr="007F0ADF">
        <w:rPr>
          <w:rFonts w:ascii="Palatino Linotype" w:eastAsia="Times New Roman" w:hAnsi="Palatino Linotype" w:cs="Times New Roman"/>
          <w:snapToGrid w:val="0"/>
          <w:color w:val="000000"/>
          <w:sz w:val="20"/>
          <w:lang w:val="en-US" w:eastAsia="de-DE" w:bidi="en-US"/>
        </w:rPr>
        <w:t xml:space="preserve">As part of the systematic stage in the literature review, a total of 41 selected scientific articles were classified based on their primary thematic focus related to artificial intelligence (AI), adaptive learning, and vocational education (TVET). This classification process aims to provide a conceptual mapping of each article’s contribution in addressing the main topic, namely: </w:t>
      </w:r>
      <w:proofErr w:type="spellStart"/>
      <w:r w:rsidRPr="007F0ADF">
        <w:rPr>
          <w:rFonts w:ascii="Palatino Linotype" w:eastAsia="Times New Roman" w:hAnsi="Palatino Linotype" w:cs="Times New Roman"/>
          <w:snapToGrid w:val="0"/>
          <w:color w:val="000000"/>
          <w:sz w:val="20"/>
          <w:lang w:val="en-US" w:eastAsia="de-DE" w:bidi="en-US"/>
        </w:rPr>
        <w:t>Bibliometric</w:t>
      </w:r>
      <w:proofErr w:type="spellEnd"/>
      <w:r w:rsidRPr="007F0ADF">
        <w:rPr>
          <w:rFonts w:ascii="Palatino Linotype" w:eastAsia="Times New Roman" w:hAnsi="Palatino Linotype" w:cs="Times New Roman"/>
          <w:snapToGrid w:val="0"/>
          <w:color w:val="000000"/>
          <w:sz w:val="20"/>
          <w:lang w:val="en-US" w:eastAsia="de-DE" w:bidi="en-US"/>
        </w:rPr>
        <w:t xml:space="preserve"> Analysis and PRISMA-Based Meta-Analysis of AI-Assisted Adaptive Learning from the Perspective of Vocational Education.</w:t>
      </w:r>
    </w:p>
    <w:p w14:paraId="5F2A862F" w14:textId="218FC001" w:rsidR="007F0ADF" w:rsidRPr="007F0ADF" w:rsidRDefault="007F0ADF" w:rsidP="007F0ADF">
      <w:pPr>
        <w:ind w:firstLine="426"/>
        <w:jc w:val="both"/>
        <w:rPr>
          <w:rFonts w:ascii="Palatino Linotype" w:eastAsia="Times New Roman" w:hAnsi="Palatino Linotype" w:cs="Times New Roman"/>
          <w:snapToGrid w:val="0"/>
          <w:color w:val="000000"/>
          <w:sz w:val="20"/>
          <w:lang w:val="en-US" w:eastAsia="de-DE" w:bidi="en-US"/>
        </w:rPr>
      </w:pPr>
      <w:r w:rsidRPr="007F0ADF">
        <w:rPr>
          <w:rFonts w:ascii="Palatino Linotype" w:eastAsia="Times New Roman" w:hAnsi="Palatino Linotype" w:cs="Times New Roman"/>
          <w:snapToGrid w:val="0"/>
          <w:color w:val="000000"/>
          <w:sz w:val="20"/>
          <w:lang w:val="en-US" w:eastAsia="de-DE" w:bidi="en-US"/>
        </w:rPr>
        <w:t>The references reviewed span the period from 2018 to 2023 and demonstrate a broad thematic coverage. Based on content and keyword analysis of each article, the classification was divided into three main groups: Artificial Intelligence Focus, TVET Focus, and Adaptive Learning, Integration, and Educational Frameworks Focus.</w:t>
      </w:r>
    </w:p>
    <w:p w14:paraId="73A32495" w14:textId="5E8A7481" w:rsidR="000F3ED6" w:rsidRDefault="007F0ADF" w:rsidP="000F3ED6">
      <w:pPr>
        <w:ind w:firstLine="426"/>
        <w:jc w:val="center"/>
        <w:rPr>
          <w:rFonts w:ascii="Palatino Linotype" w:eastAsia="Times New Roman" w:hAnsi="Palatino Linotype" w:cs="Times New Roman"/>
          <w:snapToGrid w:val="0"/>
          <w:color w:val="000000"/>
          <w:sz w:val="20"/>
          <w:lang w:val="en-US" w:eastAsia="de-DE" w:bidi="en-US"/>
        </w:rPr>
      </w:pPr>
      <w:proofErr w:type="gramStart"/>
      <w:r w:rsidRPr="007F0ADF">
        <w:rPr>
          <w:rFonts w:ascii="Palatino Linotype" w:eastAsia="Times New Roman" w:hAnsi="Palatino Linotype" w:cs="Times New Roman"/>
          <w:b/>
          <w:bCs/>
          <w:snapToGrid w:val="0"/>
          <w:color w:val="000000"/>
          <w:sz w:val="20"/>
          <w:lang w:val="en-US" w:eastAsia="de-DE" w:bidi="en-US"/>
        </w:rPr>
        <w:t>Table 2.</w:t>
      </w:r>
      <w:proofErr w:type="gramEnd"/>
      <w:r w:rsidRPr="007F0ADF">
        <w:rPr>
          <w:rFonts w:ascii="Palatino Linotype" w:eastAsia="Times New Roman" w:hAnsi="Palatino Linotype" w:cs="Times New Roman"/>
          <w:snapToGrid w:val="0"/>
          <w:color w:val="000000"/>
          <w:sz w:val="20"/>
          <w:lang w:val="en-US" w:eastAsia="de-DE" w:bidi="en-US"/>
        </w:rPr>
        <w:t xml:space="preserve"> Publication Classification and Discussion Focus</w:t>
      </w:r>
    </w:p>
    <w:tbl>
      <w:tblPr>
        <w:tblW w:w="0" w:type="auto"/>
        <w:jc w:val="center"/>
        <w:tblLook w:val="04A0" w:firstRow="1" w:lastRow="0" w:firstColumn="1" w:lastColumn="0" w:noHBand="0" w:noVBand="1"/>
      </w:tblPr>
      <w:tblGrid>
        <w:gridCol w:w="871"/>
        <w:gridCol w:w="3235"/>
      </w:tblGrid>
      <w:tr w:rsidR="000F3ED6" w14:paraId="562F79D9" w14:textId="77777777" w:rsidTr="000F3ED6">
        <w:trPr>
          <w:trHeight w:val="453"/>
          <w:jc w:val="center"/>
        </w:trPr>
        <w:tc>
          <w:tcPr>
            <w:tcW w:w="4106" w:type="dxa"/>
            <w:gridSpan w:val="2"/>
            <w:tcBorders>
              <w:top w:val="single" w:sz="4" w:space="0" w:color="auto"/>
              <w:left w:val="nil"/>
              <w:bottom w:val="nil"/>
              <w:right w:val="nil"/>
            </w:tcBorders>
            <w:tcMar>
              <w:top w:w="15" w:type="dxa"/>
              <w:left w:w="15" w:type="dxa"/>
              <w:bottom w:w="15" w:type="dxa"/>
              <w:right w:w="15" w:type="dxa"/>
            </w:tcMar>
            <w:hideMark/>
          </w:tcPr>
          <w:p w14:paraId="2D0FE777" w14:textId="77777777" w:rsidR="000F3ED6" w:rsidRDefault="000F3ED6" w:rsidP="000F3ED6">
            <w:pPr>
              <w:rPr>
                <w:rFonts w:ascii="Calibri" w:hAnsi="Calibri" w:cs="Times New Roman"/>
                <w:sz w:val="24"/>
                <w:szCs w:val="24"/>
              </w:rPr>
            </w:pPr>
            <w:proofErr w:type="spellStart"/>
            <w:r>
              <w:rPr>
                <w:b/>
                <w:bCs/>
              </w:rPr>
              <w:t>Fokus</w:t>
            </w:r>
            <w:proofErr w:type="spellEnd"/>
            <w:r>
              <w:rPr>
                <w:b/>
                <w:bCs/>
              </w:rPr>
              <w:t xml:space="preserve"> Artificial </w:t>
            </w:r>
            <w:proofErr w:type="spellStart"/>
            <w:r>
              <w:rPr>
                <w:b/>
                <w:bCs/>
              </w:rPr>
              <w:t>Inteligence</w:t>
            </w:r>
            <w:proofErr w:type="spellEnd"/>
          </w:p>
        </w:tc>
      </w:tr>
      <w:tr w:rsidR="000F3ED6" w14:paraId="002096D7" w14:textId="77777777" w:rsidTr="000F3ED6">
        <w:trPr>
          <w:trHeight w:val="438"/>
          <w:jc w:val="center"/>
        </w:trPr>
        <w:tc>
          <w:tcPr>
            <w:tcW w:w="871" w:type="dxa"/>
            <w:tcBorders>
              <w:top w:val="single" w:sz="4" w:space="0" w:color="auto"/>
              <w:left w:val="nil"/>
              <w:bottom w:val="nil"/>
              <w:right w:val="nil"/>
            </w:tcBorders>
            <w:tcMar>
              <w:top w:w="15" w:type="dxa"/>
              <w:left w:w="15" w:type="dxa"/>
              <w:bottom w:w="15" w:type="dxa"/>
              <w:right w:w="15" w:type="dxa"/>
            </w:tcMar>
            <w:hideMark/>
          </w:tcPr>
          <w:p w14:paraId="76626DD1" w14:textId="77777777" w:rsidR="000F3ED6" w:rsidRDefault="000F3ED6">
            <w:pPr>
              <w:rPr>
                <w:rFonts w:ascii="Liberation Serif" w:eastAsia="Liberation Serif" w:hAnsi="Liberation Serif" w:cs="Liberation Serif"/>
              </w:rPr>
            </w:pPr>
            <w:r>
              <w:t>1</w:t>
            </w:r>
          </w:p>
        </w:tc>
        <w:tc>
          <w:tcPr>
            <w:tcW w:w="3234" w:type="dxa"/>
            <w:tcBorders>
              <w:top w:val="single" w:sz="4" w:space="0" w:color="auto"/>
              <w:left w:val="nil"/>
              <w:bottom w:val="nil"/>
              <w:right w:val="nil"/>
            </w:tcBorders>
            <w:tcMar>
              <w:top w:w="15" w:type="dxa"/>
              <w:left w:w="15" w:type="dxa"/>
              <w:bottom w:w="15" w:type="dxa"/>
              <w:right w:w="15" w:type="dxa"/>
            </w:tcMar>
            <w:hideMark/>
          </w:tcPr>
          <w:p w14:paraId="391BF206" w14:textId="77777777" w:rsidR="000F3ED6" w:rsidRDefault="000F3ED6">
            <w:r>
              <w:fldChar w:fldCharType="begin" w:fldLock="1"/>
            </w:r>
            <w:r>
              <w:instrText>ADDIN CSL_CITATION {"citationItems":[{"id":"ITEM-1","itemData":{"DOI":"10.24036/00411za0002","ISSN":"2620-5750","abstract":"The graduation rate of engineering education students on time dramatically affects the quality of learning. The purpose of this study is to predict the graduation rate of engineering education students. The method uses an artificial neural network algorithm combined with particle swarm optimization and forward selection, with 234 samples. The test results with Artificial Neural Network obtained 82.61% accuracy with predictions on time 149 and not on time 62. Artificial Neural Network with Particle Swarm Optimization obtained 91.30% accuracy with predictions on time 165, not on time 69. Furthermore, Artificial Neural Network with Particle Swarm Optimization and reduced by forwarding selection obtained 95.65% accuracy with predictions of the number of graduations on time 165 and not on time 69. Thus, the combination of the three algorithms can predict the graduation rate of engineering education students with high accuracy.","author":[{"dropping-particle":"","family":"Anwar","given":"Muhammad","non-dropping-particle":"","parse-names":false,"suffix":""}],"container-title":"International Journal of Research in Counseling and Education","id":"ITEM-1","issue":"1","issued":{"date-parts":[["2021"]]},"page":"15","title":"Prediction of the graduation rate of engineering education students using Artificial Neural Network Algorithms","type":"article-journal","volume":"5"},"uris":["http://www.mendeley.com/documents/?uuid=c96e0747-42dd-4dc7-b419-882669d21b2c"]}],"mendeley":{"formattedCitation":"(Anwar, 2021b)","plainTextFormattedCitation":"(Anwar, 2021b)","previouslyFormattedCitation":"(Anwar, 2021b)"},"properties":{"noteIndex":0},"schema":"https://github.com/citation-style-language/schema/raw/master/csl-citation.json"}</w:instrText>
            </w:r>
            <w:r>
              <w:fldChar w:fldCharType="separate"/>
            </w:r>
            <w:r>
              <w:rPr>
                <w:noProof/>
              </w:rPr>
              <w:t>(Anwar, 2021b)</w:t>
            </w:r>
            <w:r>
              <w:fldChar w:fldCharType="end"/>
            </w:r>
          </w:p>
        </w:tc>
      </w:tr>
      <w:tr w:rsidR="000F3ED6" w14:paraId="6D735040" w14:textId="77777777" w:rsidTr="000F3ED6">
        <w:trPr>
          <w:trHeight w:val="453"/>
          <w:jc w:val="center"/>
        </w:trPr>
        <w:tc>
          <w:tcPr>
            <w:tcW w:w="871" w:type="dxa"/>
            <w:tcMar>
              <w:top w:w="15" w:type="dxa"/>
              <w:left w:w="15" w:type="dxa"/>
              <w:bottom w:w="15" w:type="dxa"/>
              <w:right w:w="15" w:type="dxa"/>
            </w:tcMar>
            <w:hideMark/>
          </w:tcPr>
          <w:p w14:paraId="7D477498" w14:textId="77777777" w:rsidR="000F3ED6" w:rsidRDefault="000F3ED6">
            <w:r>
              <w:t>2</w:t>
            </w:r>
          </w:p>
        </w:tc>
        <w:tc>
          <w:tcPr>
            <w:tcW w:w="3234" w:type="dxa"/>
            <w:tcMar>
              <w:top w:w="15" w:type="dxa"/>
              <w:left w:w="15" w:type="dxa"/>
              <w:bottom w:w="15" w:type="dxa"/>
              <w:right w:w="15" w:type="dxa"/>
            </w:tcMar>
            <w:hideMark/>
          </w:tcPr>
          <w:p w14:paraId="3950D7CB" w14:textId="77777777" w:rsidR="000F3ED6" w:rsidRDefault="000F3ED6">
            <w:r>
              <w:fldChar w:fldCharType="begin" w:fldLock="1"/>
            </w:r>
            <w:r>
              <w:instrText>ADDIN CSL_CITATION {"citationItems":[{"id":"ITEM-1","itemData":{"ISBN":"9781728144498","author":[{"dropping-particle":"","family":"Muhammad","given":"Aliv Faizal","non-dropping-particle":"","parse-names":false,"suffix":""}],"container-title":"2019 International Electronics Symposium (IES)","id":"ITEM-1","issued":{"date-parts":[["2019"]]},"page":"571-576","publisher":"IEEE","title":"Development Of Web Based Application With Speech Recognition As English Learning Conversation Training Media","type":"article-journal"},"uris":["http://www.mendeley.com/documents/?uuid=91a3e06c-73df-4019-aca7-e28426936ca0"]}],"mendeley":{"formattedCitation":"(Muhammad, 2019)","plainTextFormattedCitation":"(Muhammad, 2019)","previouslyFormattedCitation":"(Muhammad, 2019)"},"properties":{"noteIndex":0},"schema":"https://github.com/citation-style-language/schema/raw/master/csl-citation.json"}</w:instrText>
            </w:r>
            <w:r>
              <w:fldChar w:fldCharType="separate"/>
            </w:r>
            <w:r>
              <w:rPr>
                <w:noProof/>
              </w:rPr>
              <w:t>(Muhammad, 2019)</w:t>
            </w:r>
            <w:r>
              <w:fldChar w:fldCharType="end"/>
            </w:r>
          </w:p>
        </w:tc>
      </w:tr>
      <w:tr w:rsidR="000F3ED6" w14:paraId="71890266" w14:textId="77777777" w:rsidTr="000F3ED6">
        <w:trPr>
          <w:trHeight w:val="453"/>
          <w:jc w:val="center"/>
        </w:trPr>
        <w:tc>
          <w:tcPr>
            <w:tcW w:w="871" w:type="dxa"/>
            <w:tcMar>
              <w:top w:w="15" w:type="dxa"/>
              <w:left w:w="15" w:type="dxa"/>
              <w:bottom w:w="15" w:type="dxa"/>
              <w:right w:w="15" w:type="dxa"/>
            </w:tcMar>
            <w:hideMark/>
          </w:tcPr>
          <w:p w14:paraId="7BDA885B" w14:textId="77777777" w:rsidR="000F3ED6" w:rsidRDefault="000F3ED6">
            <w:r>
              <w:t>3</w:t>
            </w:r>
          </w:p>
        </w:tc>
        <w:tc>
          <w:tcPr>
            <w:tcW w:w="3234" w:type="dxa"/>
            <w:tcMar>
              <w:top w:w="15" w:type="dxa"/>
              <w:left w:w="15" w:type="dxa"/>
              <w:bottom w:w="15" w:type="dxa"/>
              <w:right w:w="15" w:type="dxa"/>
            </w:tcMar>
            <w:hideMark/>
          </w:tcPr>
          <w:p w14:paraId="09ADF47D" w14:textId="77777777" w:rsidR="000F3ED6" w:rsidRDefault="000F3ED6">
            <w:r>
              <w:fldChar w:fldCharType="begin" w:fldLock="1"/>
            </w:r>
            <w:r>
              <w:instrText>ADDIN CSL_CITATION {"citationItems":[{"id":"ITEM-1","itemData":{"DOI":"10.1088/1742-6596/1402/6/066031","ISSN":"17426596","abstract":"The use of information technology and communication (ICT) is widely applied in student career guidance services. In addition to increasing student accessibility in obtaining career information, the use of ICT can also be used as a reference system in decision making known as expert systems. The focus of the research in this paper is to analyze the results of research related to the impact of the application of expert systems in student guidance on aspects of educational guidance, educational evaluation and aspects of academic career guidance and work guidance. Overall, review findings on the topics and sub-topics analyzed show that the application of expert systems in educational guidance greatly helps students achieve: learning success, specialization in education and training, student performance, achievement and self evaluation. Given the lack of development of expert systems in the field of student career guidance, it is very necessary for continuous development, especially in aspects of uncertainty arising from application and user factors.","author":[{"dropping-particle":"","family":"Supriyanto","given":"G.","non-dropping-particle":"","parse-names":false,"suffix":""},{"dropping-particle":"","family":"Widiaty","given":"I.","non-dropping-particle":"","parse-names":false,"suffix":""},{"dropping-particle":"","family":"Abdullah","given":"A. G.","non-dropping-particle":"","parse-names":false,"suffix":""},{"dropping-particle":"","family":"Yustiana","given":"Y. R.","non-dropping-particle":"","parse-names":false,"suffix":""}],"container-title":"Journal of Physics: Conference Series","id":"ITEM-1","issue":"6","issued":{"date-parts":[["2019"]]},"title":"Application expert system career guidance for students","type":"article-journal","volume":"1402"},"uris":["http://www.mendeley.com/documents/?uuid=7007e117-7508-4a68-a997-aa8952e5db77"]}],"mendeley":{"formattedCitation":"(Supriyanto et al., 2019)","plainTextFormattedCitation":"(Supriyanto et al., 2019)","previouslyFormattedCitation":"(Supriyanto et al., 2019)"},"properties":{"noteIndex":0},"schema":"https://github.com/citation-style-language/schema/raw/master/csl-citation.json"}</w:instrText>
            </w:r>
            <w:r>
              <w:fldChar w:fldCharType="separate"/>
            </w:r>
            <w:r>
              <w:rPr>
                <w:noProof/>
              </w:rPr>
              <w:t>(Supriyanto et al., 2019)</w:t>
            </w:r>
            <w:r>
              <w:fldChar w:fldCharType="end"/>
            </w:r>
          </w:p>
        </w:tc>
      </w:tr>
      <w:tr w:rsidR="000F3ED6" w14:paraId="0425C52C" w14:textId="77777777" w:rsidTr="000F3ED6">
        <w:trPr>
          <w:trHeight w:val="453"/>
          <w:jc w:val="center"/>
        </w:trPr>
        <w:tc>
          <w:tcPr>
            <w:tcW w:w="871" w:type="dxa"/>
            <w:tcMar>
              <w:top w:w="15" w:type="dxa"/>
              <w:left w:w="15" w:type="dxa"/>
              <w:bottom w:w="15" w:type="dxa"/>
              <w:right w:w="15" w:type="dxa"/>
            </w:tcMar>
            <w:hideMark/>
          </w:tcPr>
          <w:p w14:paraId="302DFC97" w14:textId="77777777" w:rsidR="000F3ED6" w:rsidRDefault="000F3ED6">
            <w:r>
              <w:t>4</w:t>
            </w:r>
          </w:p>
        </w:tc>
        <w:tc>
          <w:tcPr>
            <w:tcW w:w="3234" w:type="dxa"/>
            <w:tcMar>
              <w:top w:w="15" w:type="dxa"/>
              <w:left w:w="15" w:type="dxa"/>
              <w:bottom w:w="15" w:type="dxa"/>
              <w:right w:w="15" w:type="dxa"/>
            </w:tcMar>
            <w:hideMark/>
          </w:tcPr>
          <w:p w14:paraId="6F3FF84E" w14:textId="77777777" w:rsidR="000F3ED6" w:rsidRDefault="000F3ED6">
            <w:r>
              <w:fldChar w:fldCharType="begin" w:fldLock="1"/>
            </w:r>
            <w:r>
              <w:instrText>ADDIN CSL_CITATION {"citationItems":[{"id":"ITEM-1","itemData":{"DOI":"10.1016/j.engappai.2020.104108","ISSN":"0952-1976","author":[{"dropping-particle":"","family":"Liu","given":"Jinpei","non-dropping-particle":"","parse-names":false,"suffix":""},{"dropping-particle":"","family":"Zheng","given":"Yun","non-dropping-particle":"","parse-names":false,"suffix":""},{"dropping-particle":"","family":"Zhou","given":"Ligang","non-dropping-particle":"","parse-names":false,"suffix":""},{"dropping-particle":"","family":"Jin","given":"Feifei","non-dropping-particle":"","parse-names":false,"suffix":""},{"dropping-particle":"","family":"Chen","given":"Huayou","non-dropping-particle":"","parse-names":false,"suffix":""}],"container-title":"Engineering Applications of Artificial Intelligence","id":"ITEM-1","issue":"111","issued":{"date-parts":[["2021"]]},"page":"104108","publisher":"Elsevier Ltd","title":"Engineering Applications of Artificial Intelligence A novel probabilistic linguistic decision-making method with consistency improvement algorithm and DEA cross-efficiency","type":"article-journal","volume":"99"},"uris":["http://www.mendeley.com/documents/?uuid=146e7faf-c584-47ae-8e06-b5e8d7b2f340"]}],"mendeley":{"formattedCitation":"(J. Liu et al., 2021)","plainTextFormattedCitation":"(J. Liu et al., 2021)","previouslyFormattedCitation":"(J. Liu et al., 2021)"},"properties":{"noteIndex":0},"schema":"https://github.com/citation-style-language/schema/raw/master/csl-citation.json"}</w:instrText>
            </w:r>
            <w:r>
              <w:fldChar w:fldCharType="separate"/>
            </w:r>
            <w:r>
              <w:rPr>
                <w:noProof/>
              </w:rPr>
              <w:t>(J. Liu et al., 2021)</w:t>
            </w:r>
            <w:r>
              <w:fldChar w:fldCharType="end"/>
            </w:r>
          </w:p>
        </w:tc>
      </w:tr>
      <w:tr w:rsidR="000F3ED6" w14:paraId="7976B0F3" w14:textId="77777777" w:rsidTr="000F3ED6">
        <w:trPr>
          <w:trHeight w:val="453"/>
          <w:jc w:val="center"/>
        </w:trPr>
        <w:tc>
          <w:tcPr>
            <w:tcW w:w="871" w:type="dxa"/>
            <w:tcMar>
              <w:top w:w="15" w:type="dxa"/>
              <w:left w:w="15" w:type="dxa"/>
              <w:bottom w:w="15" w:type="dxa"/>
              <w:right w:w="15" w:type="dxa"/>
            </w:tcMar>
            <w:hideMark/>
          </w:tcPr>
          <w:p w14:paraId="3809CDC6" w14:textId="77777777" w:rsidR="000F3ED6" w:rsidRDefault="000F3ED6">
            <w:r>
              <w:t>5</w:t>
            </w:r>
          </w:p>
        </w:tc>
        <w:tc>
          <w:tcPr>
            <w:tcW w:w="3234" w:type="dxa"/>
            <w:tcMar>
              <w:top w:w="15" w:type="dxa"/>
              <w:left w:w="15" w:type="dxa"/>
              <w:bottom w:w="15" w:type="dxa"/>
              <w:right w:w="15" w:type="dxa"/>
            </w:tcMar>
            <w:hideMark/>
          </w:tcPr>
          <w:p w14:paraId="6B2805E2" w14:textId="77777777" w:rsidR="000F3ED6" w:rsidRDefault="000F3ED6">
            <w:r>
              <w:fldChar w:fldCharType="begin" w:fldLock="1"/>
            </w:r>
            <w:r>
              <w:instrText>ADDIN CSL_CITATION {"citationItems":[{"id":"ITEM-1","itemData":{"DOI":"10.18860/ua.v9i2.6218","ISSN":"1858-4349","abstract":"The computer technology has incredibly increased. Computer software and hardware compete to meet the customer's needs. The research intends to spread the knowledge of information technology, specifically, on the artificial intelligence. The concept of artificial intelligence is adopting and imitating human form, character, and habit which to be implemented on the computer. Using natural approach, the research aims to investigate whether artificial intelligence (AI) will produce the duplication of God's creation. Another important reason of other reseaches on AI is to create a computer which is smart and able to understand human brain working system. Hence, AI has been designed into more practical with faster CPU, cheaper mass memory, and sophisticated software tool. The concept of integrating AI science or collaborative art among sub-fields of technology will stimulate and lead to further AI researches, and it will be an interesting topic for AI researchers for developing AI technology in the future.","author":[{"dropping-particle":"","family":"Kusumawati","given":"Ririen","non-dropping-particle":"","parse-names":false,"suffix":""}],"container-title":"ULUL ALBAB Jurnal Studi Islam","id":"ITEM-1","issue":"2","issued":{"date-parts":[["2018"]]},"page":"257-274","title":"Kecerdasan Buatan Manusia (Artificial Intelligence); Teknologi Impian Masa Depan","type":"article-journal","volume":"9"},"uris":["http://www.mendeley.com/documents/?uuid=45629e4a-c843-4527-9f50-ce4823ff7f4b"]}],"mendeley":{"formattedCitation":"(Kusumawati, 2018)","plainTextFormattedCitation":"(Kusumawati, 2018)","previouslyFormattedCitation":"(Kusumawati, 2018)"},"properties":{"noteIndex":0},"schema":"https://github.com/citation-style-language/schema/raw/master/csl-citation.json"}</w:instrText>
            </w:r>
            <w:r>
              <w:fldChar w:fldCharType="separate"/>
            </w:r>
            <w:r>
              <w:rPr>
                <w:noProof/>
              </w:rPr>
              <w:t>(Kusumawati, 2018)</w:t>
            </w:r>
            <w:r>
              <w:fldChar w:fldCharType="end"/>
            </w:r>
          </w:p>
        </w:tc>
      </w:tr>
      <w:tr w:rsidR="000F3ED6" w14:paraId="4A95C658" w14:textId="77777777" w:rsidTr="000F3ED6">
        <w:trPr>
          <w:trHeight w:val="453"/>
          <w:jc w:val="center"/>
        </w:trPr>
        <w:tc>
          <w:tcPr>
            <w:tcW w:w="871" w:type="dxa"/>
            <w:tcMar>
              <w:top w:w="15" w:type="dxa"/>
              <w:left w:w="15" w:type="dxa"/>
              <w:bottom w:w="15" w:type="dxa"/>
              <w:right w:w="15" w:type="dxa"/>
            </w:tcMar>
            <w:hideMark/>
          </w:tcPr>
          <w:p w14:paraId="596F523C" w14:textId="77777777" w:rsidR="000F3ED6" w:rsidRDefault="000F3ED6">
            <w:r>
              <w:t>6</w:t>
            </w:r>
          </w:p>
        </w:tc>
        <w:tc>
          <w:tcPr>
            <w:tcW w:w="3234" w:type="dxa"/>
            <w:tcMar>
              <w:top w:w="15" w:type="dxa"/>
              <w:left w:w="15" w:type="dxa"/>
              <w:bottom w:w="15" w:type="dxa"/>
              <w:right w:w="15" w:type="dxa"/>
            </w:tcMar>
            <w:hideMark/>
          </w:tcPr>
          <w:p w14:paraId="1EB2C0A9" w14:textId="77777777" w:rsidR="000F3ED6" w:rsidRDefault="000F3ED6">
            <w:r>
              <w:fldChar w:fldCharType="begin" w:fldLock="1"/>
            </w:r>
            <w:r>
              <w:instrText>ADDIN CSL_CITATION {"citationItems":[{"id":"ITEM-1","itemData":{"DOI":"10.1016/j.caeai.2022.100114","author":[{"dropping-particle":"","family":"Carolus","given":"Astrid","non-dropping-particle":"","parse-names":false,"suffix":""},{"dropping-particle":"","family":"Augustin","given":"Yannik","non-dropping-particle":"","parse-names":false,"suffix":""},{"dropping-particle":"","family":"Wienrich","given":"Carolin","non-dropping-particle":"","parse-names":false,"suffix":""}],"id":"ITEM-1","issue":"November 2022","issued":{"date-parts":[["2023"]]},"title":"Computers and Education : Artificial Intelligence Digital interaction literacy model – Conceptualizing competencies for literate interactions with voice-based AI systems","type":"article-journal","volume":"4"},"uris":["http://www.mendeley.com/documents/?uuid=b7b93c54-a67b-4354-bb11-c03e5652d854"]}],"mendeley":{"formattedCitation":"(Carolus et al., 2023)","plainTextFormattedCitation":"(Carolus et al., 2023)","previouslyFormattedCitation":"(Carolus et al., 2023)"},"properties":{"noteIndex":0},"schema":"https://github.com/citation-style-language/schema/raw/master/csl-citation.json"}</w:instrText>
            </w:r>
            <w:r>
              <w:fldChar w:fldCharType="separate"/>
            </w:r>
            <w:r>
              <w:rPr>
                <w:noProof/>
              </w:rPr>
              <w:t>(Carolus et al., 2023)</w:t>
            </w:r>
            <w:r>
              <w:fldChar w:fldCharType="end"/>
            </w:r>
          </w:p>
        </w:tc>
      </w:tr>
      <w:tr w:rsidR="000F3ED6" w14:paraId="152F24B0" w14:textId="77777777" w:rsidTr="000F3ED6">
        <w:trPr>
          <w:trHeight w:val="453"/>
          <w:jc w:val="center"/>
        </w:trPr>
        <w:tc>
          <w:tcPr>
            <w:tcW w:w="871" w:type="dxa"/>
            <w:tcMar>
              <w:top w:w="15" w:type="dxa"/>
              <w:left w:w="15" w:type="dxa"/>
              <w:bottom w:w="15" w:type="dxa"/>
              <w:right w:w="15" w:type="dxa"/>
            </w:tcMar>
            <w:hideMark/>
          </w:tcPr>
          <w:p w14:paraId="6EE70B96" w14:textId="77777777" w:rsidR="000F3ED6" w:rsidRDefault="000F3ED6">
            <w:r>
              <w:t>7</w:t>
            </w:r>
          </w:p>
        </w:tc>
        <w:tc>
          <w:tcPr>
            <w:tcW w:w="3234" w:type="dxa"/>
            <w:tcMar>
              <w:top w:w="15" w:type="dxa"/>
              <w:left w:w="15" w:type="dxa"/>
              <w:bottom w:w="15" w:type="dxa"/>
              <w:right w:w="15" w:type="dxa"/>
            </w:tcMar>
            <w:hideMark/>
          </w:tcPr>
          <w:p w14:paraId="30B46FBB" w14:textId="77777777" w:rsidR="000F3ED6" w:rsidRDefault="000F3ED6">
            <w:r>
              <w:fldChar w:fldCharType="begin" w:fldLock="1"/>
            </w:r>
            <w:r>
              <w:instrText>ADDIN CSL_CITATION {"citationItems":[{"id":"ITEM-1","itemData":{"abstract":"Kehadiran revolusi industri 4.0 memang menghadirkan lini usaha baru, lapangan kerja baru, profesi baru yang tak terpikirkan sebelumnya. Namun pada saat yang sama ada pula lini usaha yang terancam, profesi dan lapangan kerja yang tergantikan oleh mesin kecerdasan buatan dan robot. Revolusi digital dan era disrupsi teknologi adalah istilah lain dari industri 4.0. Disebut revolusi digital karena terjadinya proliferasi komputer dan otomatisasi pencatatan di semua bidang. Industri 4.0 dikatakan era disrupsi teknologi karena otomatisasi dan konektivitas di sebuah bidang akan membuat pergerakan dunia industri dan persaingan kerja menjadi tidak linear. Salah satu karakteristik unik dari industri 4.0 adalah pengaplikasian kecerdasan buatan atau artificial intelligence (Tjandrawinata, 2016). Salah satu bentuk pengaplikasian tersebut adalah penggunaan robot untuk menggantikan tenaga manusia sehingga lebih murah, efektif, dan efisien. Industri 4.0 sebagai fase revolusi teknologi mengubah cara beraktifitas manusia dalam skala, ruang lingkup, kompleksitas, dan transformasi dari pengalaman hidup sebelumnya. Manusia bahkan akan hidup dalam ketidakpastian (uncertainty) global, oleh karena itu manusia harus memiliki kemampuan untuk memprediksi masa depan yang berubah sangat cepat. Tiap negara harus merespon perubahan tersebut secara terintegrasi dan komprehensif. Respon tersebut dengan melibatkan seluruh pemangku kepentingan politik global, mulai dari sektor publik, swasta, akademisi, hingga masyarakat sipil sehingga tantangan industri 4.0 dapat dikelola menjadi peluang. Kata","author":[{"dropping-particle":"","family":"Ghufron","given":"M.A","non-dropping-particle":"","parse-names":false,"suffix":""}],"container-title":"Seminar Nasional dan Diskusi Panel Multidisiplin Hasil Penelitian dan Pengabdian Kepada Masyarakat 2018","id":"ITEM-1","issue":"1","issued":{"date-parts":[["2018"]]},"page":"332-337","title":"Revolusi Industri 4.0: Tantangan, Peluang, Dan Solusi Bagi Dunia Pendidikan","type":"article-journal","volume":"1"},"uris":["http://www.mendeley.com/documents/?uuid=aaa5a8b9-e4b3-4eb4-9ece-7c8a0dc2b3cc"]}],"mendeley":{"formattedCitation":"(Ghufron, 2018)","plainTextFormattedCitation":"(Ghufron, 2018)","previouslyFormattedCitation":"(Ghufron, 2018)"},"properties":{"noteIndex":0},"schema":"https://github.com/citation-style-language/schema/raw/master/csl-citation.json"}</w:instrText>
            </w:r>
            <w:r>
              <w:fldChar w:fldCharType="separate"/>
            </w:r>
            <w:r>
              <w:rPr>
                <w:noProof/>
              </w:rPr>
              <w:t>(Ghufron, 2018)</w:t>
            </w:r>
            <w:r>
              <w:fldChar w:fldCharType="end"/>
            </w:r>
          </w:p>
        </w:tc>
      </w:tr>
      <w:tr w:rsidR="000F3ED6" w14:paraId="54EB0359" w14:textId="77777777" w:rsidTr="000F3ED6">
        <w:trPr>
          <w:trHeight w:val="453"/>
          <w:jc w:val="center"/>
        </w:trPr>
        <w:tc>
          <w:tcPr>
            <w:tcW w:w="871" w:type="dxa"/>
            <w:tcMar>
              <w:top w:w="15" w:type="dxa"/>
              <w:left w:w="15" w:type="dxa"/>
              <w:bottom w:w="15" w:type="dxa"/>
              <w:right w:w="15" w:type="dxa"/>
            </w:tcMar>
            <w:hideMark/>
          </w:tcPr>
          <w:p w14:paraId="4C9F3FEA" w14:textId="77777777" w:rsidR="000F3ED6" w:rsidRDefault="000F3ED6">
            <w:r>
              <w:t>8</w:t>
            </w:r>
          </w:p>
        </w:tc>
        <w:tc>
          <w:tcPr>
            <w:tcW w:w="3234" w:type="dxa"/>
            <w:tcMar>
              <w:top w:w="15" w:type="dxa"/>
              <w:left w:w="15" w:type="dxa"/>
              <w:bottom w:w="15" w:type="dxa"/>
              <w:right w:w="15" w:type="dxa"/>
            </w:tcMar>
            <w:hideMark/>
          </w:tcPr>
          <w:p w14:paraId="1463D4E5" w14:textId="77777777" w:rsidR="000F3ED6" w:rsidRDefault="000F3ED6">
            <w:r>
              <w:fldChar w:fldCharType="begin" w:fldLock="1"/>
            </w:r>
            <w:r>
              <w:instrText>ADDIN CSL_CITATION {"citationItems":[{"id":"ITEM-1","itemData":{"DOI":"10.14445/22312803/IJCTT-V52P101","author":[{"dropping-particle":"","family":"Dasgupta","given":"Poorna Banerjee","non-dropping-particle":"","parse-names":false,"suffix":""}],"id":"ITEM-1","issue":"October","issued":{"date-parts":[["2018"]]},"page":"2-5","title":"Detection and Analysis of Human Emotions through Voice and Speech Pattern Processing","type":"article-journal"},"uris":["http://www.mendeley.com/documents/?uuid=80ffcb01-51bf-4360-b0f6-0249c2f0ded0"]}],"mendeley":{"formattedCitation":"(Dasgupta, 2018)","plainTextFormattedCitation":"(Dasgupta, 2018)","previouslyFormattedCitation":"(Dasgupta, 2018)"},"properties":{"noteIndex":0},"schema":"https://github.com/citation-style-language/schema/raw/master/csl-citation.json"}</w:instrText>
            </w:r>
            <w:r>
              <w:fldChar w:fldCharType="separate"/>
            </w:r>
            <w:r>
              <w:rPr>
                <w:noProof/>
              </w:rPr>
              <w:t>(Dasgupta, 2018)</w:t>
            </w:r>
            <w:r>
              <w:fldChar w:fldCharType="end"/>
            </w:r>
          </w:p>
        </w:tc>
      </w:tr>
      <w:tr w:rsidR="000F3ED6" w14:paraId="5C50C08B" w14:textId="77777777" w:rsidTr="000F3ED6">
        <w:trPr>
          <w:trHeight w:val="453"/>
          <w:jc w:val="center"/>
        </w:trPr>
        <w:tc>
          <w:tcPr>
            <w:tcW w:w="871" w:type="dxa"/>
            <w:tcMar>
              <w:top w:w="15" w:type="dxa"/>
              <w:left w:w="15" w:type="dxa"/>
              <w:bottom w:w="15" w:type="dxa"/>
              <w:right w:w="15" w:type="dxa"/>
            </w:tcMar>
            <w:hideMark/>
          </w:tcPr>
          <w:p w14:paraId="56EC42F9" w14:textId="77777777" w:rsidR="000F3ED6" w:rsidRDefault="000F3ED6">
            <w:r>
              <w:t>9</w:t>
            </w:r>
          </w:p>
        </w:tc>
        <w:tc>
          <w:tcPr>
            <w:tcW w:w="3234" w:type="dxa"/>
            <w:tcMar>
              <w:top w:w="15" w:type="dxa"/>
              <w:left w:w="15" w:type="dxa"/>
              <w:bottom w:w="15" w:type="dxa"/>
              <w:right w:w="15" w:type="dxa"/>
            </w:tcMar>
            <w:hideMark/>
          </w:tcPr>
          <w:p w14:paraId="40D23BE6" w14:textId="77777777" w:rsidR="000F3ED6" w:rsidRDefault="000F3ED6">
            <w:r>
              <w:fldChar w:fldCharType="begin" w:fldLock="1"/>
            </w:r>
            <w:r>
              <w:instrText>ADDIN CSL_CITATION {"citationItems":[{"id":"ITEM-1","itemData":{"DOI":"10.29210/159000","ISSN":"2337-6740","abstract":"Engineering education prepares its graduates able to work in the community and entrepreneurship, the quality of graduates is highly determined by the quality of the learning process is no exception for student learning styles. The purpose of this study was to describe the design of the expert system to determine the student learning style, the method used was forward chaining. The results of the design of this application have been able to diagnose student learning styles efficiently and provide the best solutions for their learning.","author":[{"dropping-particle":"","family":"Anwar","given":"Muhammad","non-dropping-particle":"","parse-names":false,"suffix":""}],"container-title":"Jurnal Konseling dan Pendidikan","id":"ITEM-1","issue":"1","issued":{"date-parts":[["2021"]]},"page":"93","title":"Designing an expert system for determining student learning styles using forward chaining in engineering education","type":"article-journal","volume":"9"},"uris":["http://www.mendeley.com/documents/?uuid=2ac44aed-ea2c-42ad-963c-aecd2e165b3b"]}],"mendeley":{"formattedCitation":"(Anwar, 2021a)","plainTextFormattedCitation":"(Anwar, 2021a)","previouslyFormattedCitation":"(Anwar, 2021a)"},"properties":{"noteIndex":0},"schema":"https://github.com/citation-style-language/schema/raw/master/csl-citation.json"}</w:instrText>
            </w:r>
            <w:r>
              <w:fldChar w:fldCharType="separate"/>
            </w:r>
            <w:r>
              <w:rPr>
                <w:noProof/>
              </w:rPr>
              <w:t>(Anwar, 2021a)</w:t>
            </w:r>
            <w:r>
              <w:fldChar w:fldCharType="end"/>
            </w:r>
          </w:p>
        </w:tc>
      </w:tr>
      <w:tr w:rsidR="000F3ED6" w14:paraId="0FE785FB" w14:textId="77777777" w:rsidTr="000F3ED6">
        <w:trPr>
          <w:trHeight w:val="453"/>
          <w:jc w:val="center"/>
        </w:trPr>
        <w:tc>
          <w:tcPr>
            <w:tcW w:w="871" w:type="dxa"/>
            <w:tcMar>
              <w:top w:w="15" w:type="dxa"/>
              <w:left w:w="15" w:type="dxa"/>
              <w:bottom w:w="15" w:type="dxa"/>
              <w:right w:w="15" w:type="dxa"/>
            </w:tcMar>
            <w:hideMark/>
          </w:tcPr>
          <w:p w14:paraId="20F7741B" w14:textId="77777777" w:rsidR="000F3ED6" w:rsidRDefault="000F3ED6">
            <w:r>
              <w:t>10</w:t>
            </w:r>
          </w:p>
        </w:tc>
        <w:tc>
          <w:tcPr>
            <w:tcW w:w="3234" w:type="dxa"/>
            <w:tcMar>
              <w:top w:w="15" w:type="dxa"/>
              <w:left w:w="15" w:type="dxa"/>
              <w:bottom w:w="15" w:type="dxa"/>
              <w:right w:w="15" w:type="dxa"/>
            </w:tcMar>
            <w:hideMark/>
          </w:tcPr>
          <w:p w14:paraId="502E00F5" w14:textId="77777777" w:rsidR="000F3ED6" w:rsidRDefault="000F3ED6">
            <w:r>
              <w:fldChar w:fldCharType="begin" w:fldLock="1"/>
            </w:r>
            <w:r>
              <w:instrText>ADDIN CSL_CITATION {"citationItems":[{"id":"ITEM-1","itemData":{"DOI":"10.3390/math9222838","ISSN":"22277390","abstract":"A fuzzy logical algebra has diverse applications in various domains such as engineering, economics, environment, medicine, and so on. However, the existing techniques in algebra do not apply to delta-algebra. Therefore, the purpose of this paper was to investigate new types of cubic soft algebras and study their applications, the representation of cubic soft sets with δ-algebras, and new types of cubic soft algebras, such as cubic soft δ-subalgebra based on the parameter λ (λ-CSδ-SA) and cubic soft δ-subalgebra (CSδ-SA) over η. This study explains why the P-union is not really a soft cubic δ-subalgebra of two soft cubic δ-subalgebras. We also reveal that any R/P-cubic soft subsets of (CSδ-SA) is not necessarily (CSδ-SA). Furthermore, we present the required conditions to prove that the R-union of two members is (CSδ-SA) if each one of them is (CSδ-SA). To illustrate our assumptions, the proposed (CSδ-SA) is applied to study the effectiveness of medications for COVID-19 using the python program.","author":[{"dropping-particle":"","family":"Khalil","given":"Shuker","non-dropping-particle":"","parse-names":false,"suffix":""},{"dropping-particle":"","family":"Hassan","given":"Ahmed","non-dropping-particle":"","parse-names":false,"suffix":""},{"dropping-particle":"","family":"Alaskar","given":"Haya","non-dropping-particle":"","parse-names":false,"suffix":""},{"dropping-particle":"","family":"Khan","given":"Wasiq","non-dropping-particle":"","parse-names":false,"suffix":""},{"dropping-particle":"","family":"Hussain","given":"Abir","non-dropping-particle":"","parse-names":false,"suffix":""}],"container-title":"Mathematics","id":"ITEM-1","issue":"22","issued":{"date-parts":[["2021"]]},"page":"1-12","title":"Fuzzy logical algebra and study of the effectiveness of medications for COVID-19","type":"article-journal","volume":"9"},"uris":["http://www.mendeley.com/documents/?uuid=6ea73d65-866b-4253-beb4-aca3db0ab35a"]}],"mendeley":{"formattedCitation":"(Khalil et al., 2021)","plainTextFormattedCitation":"(Khalil et al., 2021)","previouslyFormattedCitation":"(Khalil et al., 2021)"},"properties":{"noteIndex":0},"schema":"https://github.com/citation-style-language/schema/raw/master/csl-citation.json"}</w:instrText>
            </w:r>
            <w:r>
              <w:fldChar w:fldCharType="separate"/>
            </w:r>
            <w:r>
              <w:rPr>
                <w:noProof/>
              </w:rPr>
              <w:t>(Khalil et al., 2021)</w:t>
            </w:r>
            <w:r>
              <w:fldChar w:fldCharType="end"/>
            </w:r>
          </w:p>
        </w:tc>
      </w:tr>
      <w:tr w:rsidR="000F3ED6" w14:paraId="32AA626B" w14:textId="77777777" w:rsidTr="000F3ED6">
        <w:trPr>
          <w:trHeight w:val="453"/>
          <w:jc w:val="center"/>
        </w:trPr>
        <w:tc>
          <w:tcPr>
            <w:tcW w:w="871" w:type="dxa"/>
            <w:tcMar>
              <w:top w:w="15" w:type="dxa"/>
              <w:left w:w="15" w:type="dxa"/>
              <w:bottom w:w="15" w:type="dxa"/>
              <w:right w:w="15" w:type="dxa"/>
            </w:tcMar>
            <w:hideMark/>
          </w:tcPr>
          <w:p w14:paraId="400BB2E5" w14:textId="77777777" w:rsidR="000F3ED6" w:rsidRDefault="000F3ED6">
            <w:r>
              <w:t>11</w:t>
            </w:r>
          </w:p>
        </w:tc>
        <w:tc>
          <w:tcPr>
            <w:tcW w:w="3234" w:type="dxa"/>
            <w:tcMar>
              <w:top w:w="15" w:type="dxa"/>
              <w:left w:w="15" w:type="dxa"/>
              <w:bottom w:w="15" w:type="dxa"/>
              <w:right w:w="15" w:type="dxa"/>
            </w:tcMar>
            <w:hideMark/>
          </w:tcPr>
          <w:p w14:paraId="1BDAC453" w14:textId="77777777" w:rsidR="000F3ED6" w:rsidRDefault="000F3ED6">
            <w:r>
              <w:fldChar w:fldCharType="begin" w:fldLock="1"/>
            </w:r>
            <w:r>
              <w:instrText>ADDIN CSL_CITATION {"citationItems":[{"id":"ITEM-1","itemData":{"DOI":"10.3991/ijoe.v17i09.25679","ISSN":"26268493","abstract":"This study aims to analyze the challenges of industrial work in the industrial revolution 5.0 towards the grade point average (GPA) for electronic engineering education students. This study was conducted in accordance with the development of the industrial world with the entry of the 5.0 industrial revolution and the demands of the world of education that must be met to improve the quality of graduates. The research objects are Electronics Engineering Students'. Sampling in this study uses the Slovin formula. A total of 75 students were involved in this study, with a sample of 43 people. To analyze the research data uses SPSS Version 20. The result shows that (1) industrial work motivation has a positive and significant on students' grade point average (GPA) of electronics engineering students' (2) work readiness in the industry has a positive and significant on students' grade point average (GPA) of electronics engineering students' (3) industrial work motivation and work readiness in the industry together have a significant on students' grade point average (GPA) of electronics engineering students'.","author":[{"dropping-particle":"","family":"Hidayat","given":"Hendra","non-dropping-particle":"","parse-names":false,"suffix":""},{"dropping-particle":"","family":"Tasrif","given":"Elfi","non-dropping-particle":"","parse-names":false,"suffix":""},{"dropping-particle":"","family":"Jaya","given":"Putra","non-dropping-particle":"","parse-names":false,"suffix":""},{"dropping-particle":"","family":"Anwar","given":"Muhammad","non-dropping-particle":"","parse-names":false,"suffix":""},{"dropping-particle":"","family":"Thamrin","given":"","non-dropping-particle":"","parse-names":false,"suffix":""},{"dropping-particle":"","family":"Zulwisli","given":"","non-dropping-particle":"","parse-names":false,"suffix":""},{"dropping-particle":"","family":"Hadi","given":"Ahmaddul","non-dropping-particle":"","parse-names":false,"suffix":""},{"dropping-particle":"","family":"Budayawan","given":"Khairi","non-dropping-particle":"","parse-names":false,"suffix":""},{"dropping-particle":"","family":"Husin","given":"Muhammad","non-dropping-particle":"","parse-names":false,"suffix":""},{"dropping-particle":"","family":"Asmara","given":"Delvi","non-dropping-particle":"","parse-names":false,"suffix":""}],"container-title":"International journal of online and biomedical engineering","id":"ITEM-1","issue":"9","issued":{"date-parts":[["2021"]]},"page":"21-34","title":"The Empirical Analysis of Industrial Work Challenges in the Industrial Revolution 5.0 Towards a Grade Point Average (GPA) for Electronic Engineering Education Students","type":"article-journal","volume":"17"},"uris":["http://www.mendeley.com/documents/?uuid=a1966014-3e14-4047-9920-c108389be9ea"]}],"mendeley":{"formattedCitation":"(Hidayat et al., 2021)","plainTextFormattedCitation":"(Hidayat et al., 2021)","previouslyFormattedCitation":"(Hidayat et al., 2021)"},"properties":{"noteIndex":0},"schema":"https://github.com/citation-style-language/schema/raw/master/csl-citation.json"}</w:instrText>
            </w:r>
            <w:r>
              <w:fldChar w:fldCharType="separate"/>
            </w:r>
            <w:r>
              <w:rPr>
                <w:noProof/>
              </w:rPr>
              <w:t>(Hidayat et al., 2021)</w:t>
            </w:r>
            <w:r>
              <w:fldChar w:fldCharType="end"/>
            </w:r>
          </w:p>
        </w:tc>
      </w:tr>
      <w:tr w:rsidR="000F3ED6" w14:paraId="0896D6F2" w14:textId="77777777" w:rsidTr="000F3ED6">
        <w:trPr>
          <w:trHeight w:val="453"/>
          <w:jc w:val="center"/>
        </w:trPr>
        <w:tc>
          <w:tcPr>
            <w:tcW w:w="871" w:type="dxa"/>
            <w:tcMar>
              <w:top w:w="15" w:type="dxa"/>
              <w:left w:w="15" w:type="dxa"/>
              <w:bottom w:w="15" w:type="dxa"/>
              <w:right w:w="15" w:type="dxa"/>
            </w:tcMar>
            <w:hideMark/>
          </w:tcPr>
          <w:p w14:paraId="4D8E7A89" w14:textId="77777777" w:rsidR="000F3ED6" w:rsidRDefault="000F3ED6">
            <w:r>
              <w:lastRenderedPageBreak/>
              <w:t>12</w:t>
            </w:r>
          </w:p>
        </w:tc>
        <w:tc>
          <w:tcPr>
            <w:tcW w:w="3234" w:type="dxa"/>
            <w:tcMar>
              <w:top w:w="15" w:type="dxa"/>
              <w:left w:w="15" w:type="dxa"/>
              <w:bottom w:w="15" w:type="dxa"/>
              <w:right w:w="15" w:type="dxa"/>
            </w:tcMar>
            <w:hideMark/>
          </w:tcPr>
          <w:p w14:paraId="6DFFC789" w14:textId="77777777" w:rsidR="000F3ED6" w:rsidRDefault="000F3ED6">
            <w:r>
              <w:fldChar w:fldCharType="begin" w:fldLock="1"/>
            </w:r>
            <w:r>
              <w:instrText>ADDIN CSL_CITATION {"citationItems":[{"id":"ITEM-1","itemData":{"DOI":"10.1007/s41066-019-00199-x","ISBN":"0123456789","ISSN":"23644974","abstract":"Computational models of various linguistic term sets whose evaluation scales are the identity functions have been extensively investigated. Among these models, although the virtual linguistic model is the most straightforward and convenient for the calculations, the operations are not closed on the given scales. In this paper, we develop the fuzzy logical algebras-based virtual linguistic model. We propose the generalized linguistic term sets based on general strictly increasing functions with the existing linguistic term sets as special cases, and define some novel operational laws and measures such as similarity measures, distance measures and entropy measures for them. Then we provide some linguistic aggregation operators for the generalized linguistic term sets in multi-attribute decision making. Particularly, when these operators are reduced to the existing ones, it is shown that the proposed operational laws can be considered as a modification of the existing ones in related literature. Based on the proposed operators, a multi-attribute decision-making model is built, and a method for determining the objective–subjective weight vector in generalized linguistic term sets are put forward. Finally, an illustrative example is presented for verifying our models and methods and a comparative analysis with the existing methods is made.","author":[{"dropping-particle":"","family":"Ma","given":"Zhen Ming","non-dropping-particle":"","parse-names":false,"suffix":""},{"dropping-particle":"","family":"Xu","given":"Ze Shui","non-dropping-particle":"","parse-names":false,"suffix":""}],"container-title":"Granular Computing","id":"ITEM-1","issue":"1","issued":{"date-parts":[["2020"]]},"page":"17-28","publisher":"Springer International Publishing","title":"Computation of generalized linguistic term sets based on fuzzy logical algebras for multi-attribute decision making","type":"article-journal","volume":"5"},"uris":["http://www.mendeley.com/documents/?uuid=d06a3a2f-ab53-4214-b0ca-3ee334e28995"]}],"mendeley":{"formattedCitation":"(Ma &amp; Xu, 2020)","plainTextFormattedCitation":"(Ma &amp; Xu, 2020)","previouslyFormattedCitation":"(Ma &amp; Xu, 2020)"},"properties":{"noteIndex":0},"schema":"https://github.com/citation-style-language/schema/raw/master/csl-citation.json"}</w:instrText>
            </w:r>
            <w:r>
              <w:fldChar w:fldCharType="separate"/>
            </w:r>
            <w:r>
              <w:rPr>
                <w:noProof/>
              </w:rPr>
              <w:t>(Ma &amp; Xu, 2020)</w:t>
            </w:r>
            <w:r>
              <w:fldChar w:fldCharType="end"/>
            </w:r>
          </w:p>
        </w:tc>
      </w:tr>
      <w:tr w:rsidR="000F3ED6" w14:paraId="13F97D37" w14:textId="77777777" w:rsidTr="000F3ED6">
        <w:trPr>
          <w:trHeight w:val="453"/>
          <w:jc w:val="center"/>
        </w:trPr>
        <w:tc>
          <w:tcPr>
            <w:tcW w:w="871" w:type="dxa"/>
            <w:tcMar>
              <w:top w:w="15" w:type="dxa"/>
              <w:left w:w="15" w:type="dxa"/>
              <w:bottom w:w="15" w:type="dxa"/>
              <w:right w:w="15" w:type="dxa"/>
            </w:tcMar>
            <w:hideMark/>
          </w:tcPr>
          <w:p w14:paraId="1DC0C547" w14:textId="77777777" w:rsidR="000F3ED6" w:rsidRDefault="000F3ED6">
            <w:r>
              <w:t>13</w:t>
            </w:r>
          </w:p>
        </w:tc>
        <w:tc>
          <w:tcPr>
            <w:tcW w:w="3234" w:type="dxa"/>
            <w:tcMar>
              <w:top w:w="15" w:type="dxa"/>
              <w:left w:w="15" w:type="dxa"/>
              <w:bottom w:w="15" w:type="dxa"/>
              <w:right w:w="15" w:type="dxa"/>
            </w:tcMar>
            <w:hideMark/>
          </w:tcPr>
          <w:p w14:paraId="075CF396" w14:textId="77777777" w:rsidR="000F3ED6" w:rsidRDefault="000F3ED6">
            <w:r>
              <w:fldChar w:fldCharType="begin" w:fldLock="1"/>
            </w:r>
            <w:r>
              <w:instrText>ADDIN CSL_CITATION {"citationItems":[{"id":"ITEM-1","itemData":{"DOI":"10.1108/OTH-10-2022-0064","author":[{"dropping-particle":"","family":"Callejas","given":"Zoraida","non-dropping-particle":"","parse-names":false,"suffix":""},{"dropping-particle":"","family":"Albacete-maza","given":"Juan","non-dropping-particle":"","parse-names":false,"suffix":""},{"dropping-particle":"","family":"Fern","given":"Antonio","non-dropping-particle":"","parse-names":false,"suffix":""}],"id":"ITEM-1","issue":"3","issued":{"date-parts":[["2023"]]},"page":"133-146","title":"Exploring folk songs to educate for resilience","type":"article-journal","volume":"31"},"uris":["http://www.mendeley.com/documents/?uuid=bd066148-9405-48d7-a0ce-72c0d69ca075"]}],"mendeley":{"formattedCitation":"(Callejas et al., 2023)","plainTextFormattedCitation":"(Callejas et al., 2023)","previouslyFormattedCitation":"(Callejas et al., 2023)"},"properties":{"noteIndex":0},"schema":"https://github.com/citation-style-language/schema/raw/master/csl-citation.json"}</w:instrText>
            </w:r>
            <w:r>
              <w:fldChar w:fldCharType="separate"/>
            </w:r>
            <w:r>
              <w:rPr>
                <w:noProof/>
              </w:rPr>
              <w:t>(Callejas et al., 2023)</w:t>
            </w:r>
            <w:r>
              <w:fldChar w:fldCharType="end"/>
            </w:r>
          </w:p>
        </w:tc>
      </w:tr>
      <w:tr w:rsidR="000F3ED6" w14:paraId="10A0BAC0" w14:textId="77777777" w:rsidTr="000F3ED6">
        <w:trPr>
          <w:trHeight w:val="453"/>
          <w:jc w:val="center"/>
        </w:trPr>
        <w:tc>
          <w:tcPr>
            <w:tcW w:w="871" w:type="dxa"/>
            <w:tcMar>
              <w:top w:w="15" w:type="dxa"/>
              <w:left w:w="15" w:type="dxa"/>
              <w:bottom w:w="15" w:type="dxa"/>
              <w:right w:w="15" w:type="dxa"/>
            </w:tcMar>
            <w:hideMark/>
          </w:tcPr>
          <w:p w14:paraId="6545518A" w14:textId="77777777" w:rsidR="000F3ED6" w:rsidRDefault="000F3ED6">
            <w:r>
              <w:t>14</w:t>
            </w:r>
          </w:p>
        </w:tc>
        <w:tc>
          <w:tcPr>
            <w:tcW w:w="3234" w:type="dxa"/>
            <w:tcMar>
              <w:top w:w="15" w:type="dxa"/>
              <w:left w:w="15" w:type="dxa"/>
              <w:bottom w:w="15" w:type="dxa"/>
              <w:right w:w="15" w:type="dxa"/>
            </w:tcMar>
            <w:hideMark/>
          </w:tcPr>
          <w:p w14:paraId="2F55FB91" w14:textId="77777777" w:rsidR="000F3ED6" w:rsidRDefault="000F3ED6">
            <w:r>
              <w:fldChar w:fldCharType="begin" w:fldLock="1"/>
            </w:r>
            <w:r>
              <w:instrText>ADDIN CSL_CITATION {"citationItems":[{"id":"ITEM-1","itemData":{"author":[{"dropping-particle":"","family":"Adnan","given":"Muhammad","non-dropping-particle":"","parse-names":false,"suffix":""},{"dropping-particle":"","family":"Anwar","given":"Kainat","non-dropping-particle":"","parse-names":false,"suffix":""}],"id":"ITEM-1","issue":"1","issued":{"date-parts":[["2020"]]},"page":"2-8","title":"Online learning amid the COVID-19 pandemic : Students ' perspectives","type":"article-journal","volume":"2"},"uris":["http://www.mendeley.com/documents/?uuid=9bda7107-41d6-4a5f-b40b-e78c76992ae7"]}],"mendeley":{"formattedCitation":"(Adnan &amp; Anwar, 2020)","plainTextFormattedCitation":"(Adnan &amp; Anwar, 2020)","previouslyFormattedCitation":"(Adnan &amp; Anwar, 2020)"},"properties":{"noteIndex":0},"schema":"https://github.com/citation-style-language/schema/raw/master/csl-citation.json"}</w:instrText>
            </w:r>
            <w:r>
              <w:fldChar w:fldCharType="separate"/>
            </w:r>
            <w:r>
              <w:rPr>
                <w:noProof/>
              </w:rPr>
              <w:t>(Adnan &amp; Anwar, 2020)</w:t>
            </w:r>
            <w:r>
              <w:fldChar w:fldCharType="end"/>
            </w:r>
          </w:p>
        </w:tc>
      </w:tr>
      <w:tr w:rsidR="000F3ED6" w14:paraId="15FB8575" w14:textId="77777777" w:rsidTr="000F3ED6">
        <w:trPr>
          <w:trHeight w:val="453"/>
          <w:jc w:val="center"/>
        </w:trPr>
        <w:tc>
          <w:tcPr>
            <w:tcW w:w="871" w:type="dxa"/>
            <w:tcMar>
              <w:top w:w="15" w:type="dxa"/>
              <w:left w:w="15" w:type="dxa"/>
              <w:bottom w:w="15" w:type="dxa"/>
              <w:right w:w="15" w:type="dxa"/>
            </w:tcMar>
            <w:hideMark/>
          </w:tcPr>
          <w:p w14:paraId="01291FC3" w14:textId="77777777" w:rsidR="000F3ED6" w:rsidRDefault="000F3ED6">
            <w:r>
              <w:t>15</w:t>
            </w:r>
          </w:p>
        </w:tc>
        <w:tc>
          <w:tcPr>
            <w:tcW w:w="3234" w:type="dxa"/>
            <w:tcMar>
              <w:top w:w="15" w:type="dxa"/>
              <w:left w:w="15" w:type="dxa"/>
              <w:bottom w:w="15" w:type="dxa"/>
              <w:right w:w="15" w:type="dxa"/>
            </w:tcMar>
            <w:hideMark/>
          </w:tcPr>
          <w:p w14:paraId="21B41E4F" w14:textId="77777777" w:rsidR="000F3ED6" w:rsidRDefault="000F3ED6">
            <w:r>
              <w:fldChar w:fldCharType="begin" w:fldLock="1"/>
            </w:r>
            <w:r>
              <w:instrText>ADDIN CSL_CITATION {"citationItems":[{"id":"ITEM-1","itemData":{"DOI":"10.1007/s10639-019-09886-3","ISSN":"15737608","abstract":"Education is a complex system that requires multiple perspectives and levels of analysis to understand its contexts, dynamics, and actors’ interactions, particularly concerning technological innovations. This paper aims to identify some of the most promising trends in blended learning implementations in higher education, the capabilities provided by the technology (e.g., datafication), and the contexts of use of these capabilities. This literature review selected and analyzed forty-five peer-reviewed journal articles. The findings highlight some common capabilities among digital educational technologies. In particular, digital tools or platforms with human-to-machine interaction capabilities may enhance automated processes for blended learning delivery modes. In this context, digital technologies such as video capsules and intelligent tutoring systems may improve learning-teaching activities. First, by providing access to more students and facilitating self-paced online learning activities. Second, by offering an individual path of learning for each student, thus improving out-of-class activities and feedback. Educational technology capabilities (ETC) provide complementary insights to identify the best approach when aligning learning goals in technology-based implementations. Further research will be required to empirically validate these results.","author":[{"dropping-particle":"","family":"Castro","given":"Robin","non-dropping-particle":"","parse-names":false,"suffix":""}],"container-title":"Education and Information Technologies","id":"ITEM-1","issue":"4","issued":{"date-parts":[["2019"]]},"page":"2523-2546","title":"Blended learning in higher education: Trends and capabilities","type":"article-journal","volume":"24"},"uris":["http://www.mendeley.com/documents/?uuid=6dc6b3e1-6b6a-443a-9b13-cce582168535"]}],"mendeley":{"formattedCitation":"(Castro, 2019)","plainTextFormattedCitation":"(Castro, 2019)","previouslyFormattedCitation":"(Castro, 2019)"},"properties":{"noteIndex":0},"schema":"https://github.com/citation-style-language/schema/raw/master/csl-citation.json"}</w:instrText>
            </w:r>
            <w:r>
              <w:fldChar w:fldCharType="separate"/>
            </w:r>
            <w:r>
              <w:rPr>
                <w:noProof/>
              </w:rPr>
              <w:t>(Castro, 2019)</w:t>
            </w:r>
            <w:r>
              <w:fldChar w:fldCharType="end"/>
            </w:r>
          </w:p>
        </w:tc>
      </w:tr>
      <w:tr w:rsidR="000F3ED6" w14:paraId="0CB20C66" w14:textId="77777777" w:rsidTr="000F3ED6">
        <w:trPr>
          <w:trHeight w:val="453"/>
          <w:jc w:val="center"/>
        </w:trPr>
        <w:tc>
          <w:tcPr>
            <w:tcW w:w="871" w:type="dxa"/>
            <w:tcMar>
              <w:top w:w="15" w:type="dxa"/>
              <w:left w:w="15" w:type="dxa"/>
              <w:bottom w:w="15" w:type="dxa"/>
              <w:right w:w="15" w:type="dxa"/>
            </w:tcMar>
            <w:hideMark/>
          </w:tcPr>
          <w:p w14:paraId="6D3BA6CA" w14:textId="77777777" w:rsidR="000F3ED6" w:rsidRDefault="000F3ED6">
            <w:r>
              <w:t>16</w:t>
            </w:r>
          </w:p>
        </w:tc>
        <w:tc>
          <w:tcPr>
            <w:tcW w:w="3234" w:type="dxa"/>
            <w:tcMar>
              <w:top w:w="15" w:type="dxa"/>
              <w:left w:w="15" w:type="dxa"/>
              <w:bottom w:w="15" w:type="dxa"/>
              <w:right w:w="15" w:type="dxa"/>
            </w:tcMar>
            <w:hideMark/>
          </w:tcPr>
          <w:p w14:paraId="247A8E4E" w14:textId="77777777" w:rsidR="000F3ED6" w:rsidRDefault="000F3ED6">
            <w:r>
              <w:fldChar w:fldCharType="begin" w:fldLock="1"/>
            </w:r>
            <w:r>
              <w:instrText>ADDIN CSL_CITATION {"citationItems":[{"id":"ITEM-1","itemData":{"author":[{"dropping-particle":"","family":"Medan","given":"Ignatius","non-dropping-particle":"","parse-names":false,"suffix":""},{"dropping-particle":"","family":"Napitupulu","given":"Parulian","non-dropping-particle":"","parse-names":false,"suffix":""},{"dropping-particle":"","family":"Surbakti","given":"Adnan","non-dropping-particle":"","parse-names":false,"suffix":""}],"id":"ITEM-1","issued":{"date-parts":[["2018"]]},"title":"Design of Decision Support System Providing Scholarship with Analytical Hierarchy Process ( AHP ) Method on Yayasan Seri Amal St . Design of Decision Support System Providing Scholarship with Analytical Hierarchy Process ( AHP ) Method on Yayasan Seri Ama","type":"article-journal"},"uris":["http://www.mendeley.com/documents/?uuid=9940e30c-89e4-4d24-b09f-7117e9b9e0d0"]}],"mendeley":{"formattedCitation":"(Medan et al., 2018)","plainTextFormattedCitation":"(Medan et al., 2018)","previouslyFormattedCitation":"(Medan et al., 2018)"},"properties":{"noteIndex":0},"schema":"https://github.com/citation-style-language/schema/raw/master/csl-citation.json"}</w:instrText>
            </w:r>
            <w:r>
              <w:fldChar w:fldCharType="separate"/>
            </w:r>
            <w:r>
              <w:rPr>
                <w:noProof/>
              </w:rPr>
              <w:t>(Medan et al., 2018)</w:t>
            </w:r>
            <w:r>
              <w:fldChar w:fldCharType="end"/>
            </w:r>
          </w:p>
        </w:tc>
      </w:tr>
      <w:tr w:rsidR="000F3ED6" w14:paraId="792F4EF2" w14:textId="77777777" w:rsidTr="000F3ED6">
        <w:trPr>
          <w:trHeight w:val="453"/>
          <w:jc w:val="center"/>
        </w:trPr>
        <w:tc>
          <w:tcPr>
            <w:tcW w:w="871" w:type="dxa"/>
            <w:tcMar>
              <w:top w:w="15" w:type="dxa"/>
              <w:left w:w="15" w:type="dxa"/>
              <w:bottom w:w="15" w:type="dxa"/>
              <w:right w:w="15" w:type="dxa"/>
            </w:tcMar>
            <w:hideMark/>
          </w:tcPr>
          <w:p w14:paraId="2592522A" w14:textId="77777777" w:rsidR="000F3ED6" w:rsidRDefault="000F3ED6">
            <w:r>
              <w:t>17</w:t>
            </w:r>
          </w:p>
        </w:tc>
        <w:tc>
          <w:tcPr>
            <w:tcW w:w="3234" w:type="dxa"/>
            <w:tcMar>
              <w:top w:w="15" w:type="dxa"/>
              <w:left w:w="15" w:type="dxa"/>
              <w:bottom w:w="15" w:type="dxa"/>
              <w:right w:w="15" w:type="dxa"/>
            </w:tcMar>
            <w:hideMark/>
          </w:tcPr>
          <w:p w14:paraId="7966D611" w14:textId="77777777" w:rsidR="000F3ED6" w:rsidRDefault="000F3ED6">
            <w:r>
              <w:fldChar w:fldCharType="begin" w:fldLock="1"/>
            </w:r>
            <w:r>
              <w:instrText>ADDIN CSL_CITATION {"citationItems":[{"id":"ITEM-1","itemData":{"DOI":"10.33322/petir.v14i2.996","ISSN":"1978-9262","abstract":"The determination of the student's single tuition fee grade at XYZ University still faces problems, one of which is the inconsistency of supporting variables which change each year based on the number of students and the level of student welfare. Determination of the class of student's single tuition fee based on the web that applies the backpropagation algorithm is designed to produce an adaptive decision-making system for changing variable determinants so that every year it is not necessary to adjust the weight in determining the student's single tuition fee group. In building a decision support system to determine the student's single tuition fee group, there are several stages including data collection, data processing, backpropagation implementation, evaluation and presentation of the model, and implementation of a web-based decision support system. During the evaluation and presentation of the model, several experiments were carried out by considering various parameters to get the best accuracy results. The accuracy of the best model produced in this study reached 86% with output in the form of a web-based decision support system that is ready to be managed by the Center for Information and Computer Technology (PUSTIKOM) of XYZ University for use by new students.","author":[{"dropping-particle":"","family":"Firzatullah","given":"Raden Muhamad","non-dropping-particle":"","parse-names":false,"suffix":""}],"container-title":"Petir","id":"ITEM-1","issue":"2","issued":{"date-parts":[["2021"]]},"page":"170-180","title":"Menggunakan Sistem Pendukung Keputusan Penentuan Uang Kuliah Tunggal Universitas XYZ Menggunakan Algoritma Backpropagation","type":"article-journal","volume":"14"},"uris":["http://www.mendeley.com/documents/?uuid=940640bc-474c-4384-b42f-6ae8a7269fcb"]}],"mendeley":{"formattedCitation":"(Firzatullah, 2021)","plainTextFormattedCitation":"(Firzatullah, 2021)","previouslyFormattedCitation":"(Firzatullah, 2021)"},"properties":{"noteIndex":0},"schema":"https://github.com/citation-style-language/schema/raw/master/csl-citation.json"}</w:instrText>
            </w:r>
            <w:r>
              <w:fldChar w:fldCharType="separate"/>
            </w:r>
            <w:r>
              <w:rPr>
                <w:noProof/>
              </w:rPr>
              <w:t>(Firzatullah, 2021)</w:t>
            </w:r>
            <w:r>
              <w:fldChar w:fldCharType="end"/>
            </w:r>
          </w:p>
        </w:tc>
      </w:tr>
      <w:tr w:rsidR="000F3ED6" w14:paraId="495A73BC" w14:textId="77777777" w:rsidTr="000F3ED6">
        <w:trPr>
          <w:trHeight w:val="453"/>
          <w:jc w:val="center"/>
        </w:trPr>
        <w:tc>
          <w:tcPr>
            <w:tcW w:w="871" w:type="dxa"/>
            <w:tcMar>
              <w:top w:w="15" w:type="dxa"/>
              <w:left w:w="15" w:type="dxa"/>
              <w:bottom w:w="15" w:type="dxa"/>
              <w:right w:w="15" w:type="dxa"/>
            </w:tcMar>
            <w:hideMark/>
          </w:tcPr>
          <w:p w14:paraId="26F49506" w14:textId="77777777" w:rsidR="000F3ED6" w:rsidRDefault="000F3ED6">
            <w:r>
              <w:t>18</w:t>
            </w:r>
          </w:p>
        </w:tc>
        <w:tc>
          <w:tcPr>
            <w:tcW w:w="3234" w:type="dxa"/>
            <w:tcMar>
              <w:top w:w="15" w:type="dxa"/>
              <w:left w:w="15" w:type="dxa"/>
              <w:bottom w:w="15" w:type="dxa"/>
              <w:right w:w="15" w:type="dxa"/>
            </w:tcMar>
            <w:hideMark/>
          </w:tcPr>
          <w:p w14:paraId="1005CB71" w14:textId="77777777" w:rsidR="000F3ED6" w:rsidRDefault="000F3ED6">
            <w:r>
              <w:fldChar w:fldCharType="begin" w:fldLock="1"/>
            </w:r>
            <w:r>
              <w:instrText>ADDIN CSL_CITATION {"citationItems":[{"id":"ITEM-1","itemData":{"DOI":"10.1088/1742-6596/1402/6/066031","ISSN":"17426596","abstract":"The use of information technology and communication (ICT) is widely applied in student career guidance services. In addition to increasing student accessibility in obtaining career information, the use of ICT can also be used as a reference system in decision making known as expert systems. The focus of the research in this paper is to analyze the results of research related to the impact of the application of expert systems in student guidance on aspects of educational guidance, educational evaluation and aspects of academic career guidance and work guidance. Overall, review findings on the topics and sub-topics analyzed show that the application of expert systems in educational guidance greatly helps students achieve: learning success, specialization in education and training, student performance, achievement and self evaluation. Given the lack of development of expert systems in the field of student career guidance, it is very necessary for continuous development, especially in aspects of uncertainty arising from application and user factors.","author":[{"dropping-particle":"","family":"Supriyanto","given":"G.","non-dropping-particle":"","parse-names":false,"suffix":""},{"dropping-particle":"","family":"Widiaty","given":"I.","non-dropping-particle":"","parse-names":false,"suffix":""},{"dropping-particle":"","family":"Abdullah","given":"A. G.","non-dropping-particle":"","parse-names":false,"suffix":""},{"dropping-particle":"","family":"Yustiana","given":"Y. R.","non-dropping-particle":"","parse-names":false,"suffix":""}],"container-title":"Journal of Physics: Conference Series","id":"ITEM-1","issue":"6","issued":{"date-parts":[["2019"]]},"title":"Application expert system career guidance for students","type":"article-journal","volume":"1402"},"uris":["http://www.mendeley.com/documents/?uuid=7007e117-7508-4a68-a997-aa8952e5db77"]}],"mendeley":{"formattedCitation":"(Supriyanto et al., 2019)","plainTextFormattedCitation":"(Supriyanto et al., 2019)","previouslyFormattedCitation":"(Supriyanto et al., 2019)"},"properties":{"noteIndex":0},"schema":"https://github.com/citation-style-language/schema/raw/master/csl-citation.json"}</w:instrText>
            </w:r>
            <w:r>
              <w:fldChar w:fldCharType="separate"/>
            </w:r>
            <w:r>
              <w:rPr>
                <w:noProof/>
              </w:rPr>
              <w:t>(Supriyanto et al., 2019)</w:t>
            </w:r>
            <w:r>
              <w:fldChar w:fldCharType="end"/>
            </w:r>
          </w:p>
        </w:tc>
      </w:tr>
      <w:tr w:rsidR="000F3ED6" w14:paraId="38D7BC83" w14:textId="77777777" w:rsidTr="000F3ED6">
        <w:trPr>
          <w:trHeight w:val="453"/>
          <w:jc w:val="center"/>
        </w:trPr>
        <w:tc>
          <w:tcPr>
            <w:tcW w:w="871" w:type="dxa"/>
            <w:tcMar>
              <w:top w:w="15" w:type="dxa"/>
              <w:left w:w="15" w:type="dxa"/>
              <w:bottom w:w="15" w:type="dxa"/>
              <w:right w:w="15" w:type="dxa"/>
            </w:tcMar>
            <w:hideMark/>
          </w:tcPr>
          <w:p w14:paraId="2E16CA4A" w14:textId="77777777" w:rsidR="000F3ED6" w:rsidRDefault="000F3ED6">
            <w:r>
              <w:t>19</w:t>
            </w:r>
          </w:p>
        </w:tc>
        <w:tc>
          <w:tcPr>
            <w:tcW w:w="3234" w:type="dxa"/>
            <w:tcMar>
              <w:top w:w="15" w:type="dxa"/>
              <w:left w:w="15" w:type="dxa"/>
              <w:bottom w:w="15" w:type="dxa"/>
              <w:right w:w="15" w:type="dxa"/>
            </w:tcMar>
            <w:hideMark/>
          </w:tcPr>
          <w:p w14:paraId="3B5B4E4D" w14:textId="77777777" w:rsidR="000F3ED6" w:rsidRDefault="000F3ED6">
            <w:r>
              <w:fldChar w:fldCharType="begin" w:fldLock="1"/>
            </w:r>
            <w:r>
              <w:instrText>ADDIN CSL_CITATION {"citationItems":[{"id":"ITEM-1","itemData":{"DOI":"10.34148/teknika.v12i2.636","author":[{"dropping-particle":"","family":"Utami","given":"Gina Cahya","non-dropping-particle":"","parse-names":false,"suffix":""},{"dropping-particle":"","family":"Raras","given":"Chyntia","non-dropping-particle":"","parse-names":false,"suffix":""},{"dropping-particle":"","family":"Widiawati","given":"Ajeng","non-dropping-particle":"","parse-names":false,"suffix":""},{"dropping-particle":"","family":"Subarkah","given":"Pungkas","non-dropping-particle":"","parse-names":false,"suffix":""}],"id":"ITEM-1","issue":"2","issued":{"date-parts":[["2023"]]},"page":"158-165","title":"Detection of Indonesian Food to Estimate Nutritional Information Using YOLOv5","type":"article-journal","volume":"12"},"uris":["http://www.mendeley.com/documents/?uuid=df1cd8a0-6ecd-4c6c-89ed-5533e4c56a06"]}],"mendeley":{"formattedCitation":"(Utami et al., 2023)","plainTextFormattedCitation":"(Utami et al., 2023)","previouslyFormattedCitation":"(Utami et al., 2023)"},"properties":{"noteIndex":0},"schema":"https://github.com/citation-style-language/schema/raw/master/csl-citation.json"}</w:instrText>
            </w:r>
            <w:r>
              <w:fldChar w:fldCharType="separate"/>
            </w:r>
            <w:r>
              <w:rPr>
                <w:noProof/>
              </w:rPr>
              <w:t>(Utami et al., 2023)</w:t>
            </w:r>
            <w:r>
              <w:fldChar w:fldCharType="end"/>
            </w:r>
          </w:p>
        </w:tc>
      </w:tr>
      <w:tr w:rsidR="000F3ED6" w14:paraId="58B9A3F6" w14:textId="77777777" w:rsidTr="000F3ED6">
        <w:trPr>
          <w:trHeight w:val="453"/>
          <w:jc w:val="center"/>
        </w:trPr>
        <w:tc>
          <w:tcPr>
            <w:tcW w:w="871" w:type="dxa"/>
            <w:tcMar>
              <w:top w:w="15" w:type="dxa"/>
              <w:left w:w="15" w:type="dxa"/>
              <w:bottom w:w="15" w:type="dxa"/>
              <w:right w:w="15" w:type="dxa"/>
            </w:tcMar>
            <w:hideMark/>
          </w:tcPr>
          <w:p w14:paraId="4767AD94" w14:textId="77777777" w:rsidR="000F3ED6" w:rsidRDefault="000F3ED6">
            <w:r>
              <w:t>20</w:t>
            </w:r>
          </w:p>
        </w:tc>
        <w:tc>
          <w:tcPr>
            <w:tcW w:w="3234" w:type="dxa"/>
            <w:tcMar>
              <w:top w:w="15" w:type="dxa"/>
              <w:left w:w="15" w:type="dxa"/>
              <w:bottom w:w="15" w:type="dxa"/>
              <w:right w:w="15" w:type="dxa"/>
            </w:tcMar>
            <w:hideMark/>
          </w:tcPr>
          <w:p w14:paraId="6F7AE53F" w14:textId="77777777" w:rsidR="000F3ED6" w:rsidRDefault="000F3ED6">
            <w:r>
              <w:fldChar w:fldCharType="begin" w:fldLock="1"/>
            </w:r>
            <w:r>
              <w:instrText>ADDIN CSL_CITATION {"citationItems":[{"id":"ITEM-1","itemData":{"DOI":"10.3991/ijoe.v17i09.25679","ISSN":"26268493","abstract":"This study aims to analyze the challenges of industrial work in the industrial revolution 5.0 towards the grade point average (GPA) for electronic engineering education students. This study was conducted in accordance with the development of the industrial world with the entry of the 5.0 industrial revolution and the demands of the world of education that must be met to improve the quality of graduates. The research objects are Electronics Engineering Students'. Sampling in this study uses the Slovin formula. A total of 75 students were involved in this study, with a sample of 43 people. To analyze the research data uses SPSS Version 20. The result shows that (1) industrial work motivation has a positive and significant on students' grade point average (GPA) of electronics engineering students' (2) work readiness in the industry has a positive and significant on students' grade point average (GPA) of electronics engineering students' (3) industrial work motivation and work readiness in the industry together have a significant on students' grade point average (GPA) of electronics engineering students'.","author":[{"dropping-particle":"","family":"Hidayat","given":"Hendra","non-dropping-particle":"","parse-names":false,"suffix":""},{"dropping-particle":"","family":"Tasrif","given":"Elfi","non-dropping-particle":"","parse-names":false,"suffix":""},{"dropping-particle":"","family":"Jaya","given":"Putra","non-dropping-particle":"","parse-names":false,"suffix":""},{"dropping-particle":"","family":"Anwar","given":"Muhammad","non-dropping-particle":"","parse-names":false,"suffix":""},{"dropping-particle":"","family":"Thamrin","given":"","non-dropping-particle":"","parse-names":false,"suffix":""},{"dropping-particle":"","family":"Zulwisli","given":"","non-dropping-particle":"","parse-names":false,"suffix":""},{"dropping-particle":"","family":"Hadi","given":"Ahmaddul","non-dropping-particle":"","parse-names":false,"suffix":""},{"dropping-particle":"","family":"Budayawan","given":"Khairi","non-dropping-particle":"","parse-names":false,"suffix":""},{"dropping-particle":"","family":"Husin","given":"Muhammad","non-dropping-particle":"","parse-names":false,"suffix":""},{"dropping-particle":"","family":"Asmara","given":"Delvi","non-dropping-particle":"","parse-names":false,"suffix":""}],"container-title":"International journal of online and biomedical engineering","id":"ITEM-1","issue":"9","issued":{"date-parts":[["2021"]]},"page":"21-34","title":"The Empirical Analysis of Industrial Work Challenges in the Industrial Revolution 5.0 Towards a Grade Point Average (GPA) for Electronic Engineering Education Students","type":"article-journal","volume":"17"},"uris":["http://www.mendeley.com/documents/?uuid=a1966014-3e14-4047-9920-c108389be9ea"]}],"mendeley":{"formattedCitation":"(Hidayat et al., 2021)","plainTextFormattedCitation":"(Hidayat et al., 2021)","previouslyFormattedCitation":"(Hidayat et al., 2021)"},"properties":{"noteIndex":0},"schema":"https://github.com/citation-style-language/schema/raw/master/csl-citation.json"}</w:instrText>
            </w:r>
            <w:r>
              <w:fldChar w:fldCharType="separate"/>
            </w:r>
            <w:r>
              <w:rPr>
                <w:noProof/>
              </w:rPr>
              <w:t>(Hidayat et al., 2021)</w:t>
            </w:r>
            <w:r>
              <w:fldChar w:fldCharType="end"/>
            </w:r>
          </w:p>
        </w:tc>
      </w:tr>
      <w:tr w:rsidR="000F3ED6" w14:paraId="17D8331F" w14:textId="77777777" w:rsidTr="000F3ED6">
        <w:trPr>
          <w:trHeight w:val="453"/>
          <w:jc w:val="center"/>
        </w:trPr>
        <w:tc>
          <w:tcPr>
            <w:tcW w:w="871" w:type="dxa"/>
            <w:tcMar>
              <w:top w:w="15" w:type="dxa"/>
              <w:left w:w="15" w:type="dxa"/>
              <w:bottom w:w="15" w:type="dxa"/>
              <w:right w:w="15" w:type="dxa"/>
            </w:tcMar>
            <w:hideMark/>
          </w:tcPr>
          <w:p w14:paraId="64D3FACB" w14:textId="77777777" w:rsidR="000F3ED6" w:rsidRDefault="000F3ED6">
            <w:r>
              <w:t>21</w:t>
            </w:r>
          </w:p>
        </w:tc>
        <w:tc>
          <w:tcPr>
            <w:tcW w:w="3234" w:type="dxa"/>
            <w:tcMar>
              <w:top w:w="15" w:type="dxa"/>
              <w:left w:w="15" w:type="dxa"/>
              <w:bottom w:w="15" w:type="dxa"/>
              <w:right w:w="15" w:type="dxa"/>
            </w:tcMar>
            <w:hideMark/>
          </w:tcPr>
          <w:p w14:paraId="33492333" w14:textId="77777777" w:rsidR="000F3ED6" w:rsidRDefault="000F3ED6">
            <w:r>
              <w:fldChar w:fldCharType="begin" w:fldLock="1"/>
            </w:r>
            <w:r>
              <w:instrText>ADDIN CSL_CITATION {"citationItems":[{"id":"ITEM-1","itemData":{"DOI":"10.4324/9781351117548","ISBN":"9780815360780","abstract":"Merging the Instructional Design Process with Learner-Centered Theory brings together the innovations of two previously divided processes — learning","author":[{"dropping-particle":"","family":"Reigeluth","given":"Charles M.","non-dropping-particle":"","parse-names":false,"suffix":""},{"dropping-particle":"","family":"An","given":"Yunjo","non-dropping-particle":"","parse-names":false,"suffix":""}],"container-title":"Merging the Instructional Design Process with Learner-Centered Theory","id":"ITEM-1","issued":{"date-parts":[["2020"]]},"publisher":"Routledge","title":"Merging the Instructional Design Process with Learner-Centered Theory","type":"book"},"uris":["http://www.mendeley.com/documents/?uuid=c3c98b8b-531e-41ca-81f7-f83b7a5bce19"]}],"mendeley":{"formattedCitation":"(Reigeluth &amp; An, 2020)","plainTextFormattedCitation":"(Reigeluth &amp; An, 2020)","previouslyFormattedCitation":"(Reigeluth &amp; An, 2020)"},"properties":{"noteIndex":0},"schema":"https://github.com/citation-style-language/schema/raw/master/csl-citation.json"}</w:instrText>
            </w:r>
            <w:r>
              <w:fldChar w:fldCharType="separate"/>
            </w:r>
            <w:r>
              <w:rPr>
                <w:noProof/>
              </w:rPr>
              <w:t>(Reigeluth &amp; An, 2020)</w:t>
            </w:r>
            <w:r>
              <w:fldChar w:fldCharType="end"/>
            </w:r>
          </w:p>
        </w:tc>
      </w:tr>
      <w:tr w:rsidR="000F3ED6" w14:paraId="38A0505B" w14:textId="77777777" w:rsidTr="000F3ED6">
        <w:trPr>
          <w:trHeight w:val="453"/>
          <w:jc w:val="center"/>
        </w:trPr>
        <w:tc>
          <w:tcPr>
            <w:tcW w:w="871" w:type="dxa"/>
            <w:tcMar>
              <w:top w:w="15" w:type="dxa"/>
              <w:left w:w="15" w:type="dxa"/>
              <w:bottom w:w="15" w:type="dxa"/>
              <w:right w:w="15" w:type="dxa"/>
            </w:tcMar>
            <w:hideMark/>
          </w:tcPr>
          <w:p w14:paraId="5C2DECB3" w14:textId="77777777" w:rsidR="000F3ED6" w:rsidRDefault="000F3ED6">
            <w:r>
              <w:t>22</w:t>
            </w:r>
          </w:p>
        </w:tc>
        <w:tc>
          <w:tcPr>
            <w:tcW w:w="3234" w:type="dxa"/>
            <w:tcMar>
              <w:top w:w="15" w:type="dxa"/>
              <w:left w:w="15" w:type="dxa"/>
              <w:bottom w:w="15" w:type="dxa"/>
              <w:right w:w="15" w:type="dxa"/>
            </w:tcMar>
            <w:hideMark/>
          </w:tcPr>
          <w:p w14:paraId="68DE70F5" w14:textId="77777777" w:rsidR="000F3ED6" w:rsidRDefault="000F3ED6">
            <w:r>
              <w:fldChar w:fldCharType="begin" w:fldLock="1"/>
            </w:r>
            <w:r>
              <w:instrText>ADDIN CSL_CITATION {"citationItems":[{"id":"ITEM-1","itemData":{"DOI":"10.33395/sinkron.v5i1.10529","ISSN":"2541-044X","abstract":"Currently the purchases of drugs at Instalasi Farmasi RSU (IFRS) HKBP Balige are based on the examination of the amount of drugs usage. The purchases of drugs based on the examination of the amount of drugs usage cause frequent unplanned drugs purchases that must be hastened (cito) and purchases to other pharmacies. The purchases of cito and purchases to other pharmacies will inflict a financial loss to the patients, because when IFRS makes drugs purchases of cito or to other pharmacies, the cost of the drugs will be more expensive. Therefore, in this research, a prediction of drugs stock in IFRS HKBP Balige using Adaptive Neuro Fuzzy Inference System (ANFIS) will be carried out. ANFIS is a combination of Least Square Estimator (LSE) and Error Back Propagation (EBP) algorithms. ANFIS consists of forward pass and the backward pass learning. The sample data used to predict drugs stock in this research is data of drugs sales at the IFRS HKBP Balige from 2013 to 2015. From the results of drugs stock prediction research with ANFIS, obtained that number of errors of ANFIS model is 5.52%. Based on MAPE accuracy level evaluation, number of errors have an excellent rate so that it can be concluded that the predicted results of the drugs stock are good.","author":[{"dropping-particle":"","family":"Dharma","given":"Arie Satia","non-dropping-particle":"","parse-names":false,"suffix":""},{"dropping-particle":"","family":"Tampubolon","given":"Lily Andayani","non-dropping-particle":"","parse-names":false,"suffix":""},{"dropping-particle":"","family":"Purba","given":"Daniel Somanta","non-dropping-particle":"","parse-names":false,"suffix":""}],"container-title":"SinkrOn","id":"ITEM-1","issue":"1","issued":{"date-parts":[["2020"]]},"page":"26-34","title":"Drug Stock Prediction at Balige HKBP Hospital Using Adaptive Neuro-Fuzzy Inference System","type":"article-journal","volume":"5"},"uris":["http://www.mendeley.com/documents/?uuid=91408bcf-a8de-4a98-a472-c56ad6c95909"]}],"mendeley":{"formattedCitation":"(Dharma et al., 2020)","plainTextFormattedCitation":"(Dharma et al., 2020)","previouslyFormattedCitation":"(Dharma et al., 2020)"},"properties":{"noteIndex":0},"schema":"https://github.com/citation-style-language/schema/raw/master/csl-citation.json"}</w:instrText>
            </w:r>
            <w:r>
              <w:fldChar w:fldCharType="separate"/>
            </w:r>
            <w:r>
              <w:rPr>
                <w:noProof/>
              </w:rPr>
              <w:t>(Dharma et al., 2020)</w:t>
            </w:r>
            <w:r>
              <w:fldChar w:fldCharType="end"/>
            </w:r>
          </w:p>
        </w:tc>
      </w:tr>
      <w:tr w:rsidR="000F3ED6" w14:paraId="60B419CA" w14:textId="77777777" w:rsidTr="000F3ED6">
        <w:trPr>
          <w:trHeight w:val="453"/>
          <w:jc w:val="center"/>
        </w:trPr>
        <w:tc>
          <w:tcPr>
            <w:tcW w:w="871" w:type="dxa"/>
            <w:tcMar>
              <w:top w:w="15" w:type="dxa"/>
              <w:left w:w="15" w:type="dxa"/>
              <w:bottom w:w="15" w:type="dxa"/>
              <w:right w:w="15" w:type="dxa"/>
            </w:tcMar>
            <w:hideMark/>
          </w:tcPr>
          <w:p w14:paraId="7937755E" w14:textId="77777777" w:rsidR="000F3ED6" w:rsidRDefault="000F3ED6">
            <w:r>
              <w:t>23</w:t>
            </w:r>
          </w:p>
        </w:tc>
        <w:tc>
          <w:tcPr>
            <w:tcW w:w="3234" w:type="dxa"/>
            <w:tcMar>
              <w:top w:w="15" w:type="dxa"/>
              <w:left w:w="15" w:type="dxa"/>
              <w:bottom w:w="15" w:type="dxa"/>
              <w:right w:w="15" w:type="dxa"/>
            </w:tcMar>
            <w:hideMark/>
          </w:tcPr>
          <w:p w14:paraId="5F9E8DD5" w14:textId="77777777" w:rsidR="000F3ED6" w:rsidRDefault="000F3ED6">
            <w:r>
              <w:fldChar w:fldCharType="begin" w:fldLock="1"/>
            </w:r>
            <w:r>
              <w:instrText>ADDIN CSL_CITATION {"citationItems":[{"id":"ITEM-1","itemData":{"DOI":"10.9781/ijimai.2021.09.001","author":[{"dropping-particle":"","family":"Debnath","given":"Saswati","non-dropping-particle":"","parse-names":false,"suffix":""},{"dropping-particle":"","family":"Roy","given":"Pinki","non-dropping-particle":"","parse-names":false,"suffix":""}],"id":"ITEM-1","issued":{"date-parts":[["2021"]]},"page":"121-133","title":"Audio-Visual Automatic Speech Recognition Using PZM , MFCC and Statistical Analysis","type":"article-journal"},"uris":["http://www.mendeley.com/documents/?uuid=ca719600-aaed-45c0-8063-76508117ee95"]}],"mendeley":{"formattedCitation":"(Debnath &amp; Roy, 2021)","plainTextFormattedCitation":"(Debnath &amp; Roy, 2021)","previouslyFormattedCitation":"(Debnath &amp; Roy, 2021)"},"properties":{"noteIndex":0},"schema":"https://github.com/citation-style-language/schema/raw/master/csl-citation.json"}</w:instrText>
            </w:r>
            <w:r>
              <w:fldChar w:fldCharType="separate"/>
            </w:r>
            <w:r>
              <w:rPr>
                <w:noProof/>
              </w:rPr>
              <w:t>(Debnath &amp; Roy, 2021)</w:t>
            </w:r>
            <w:r>
              <w:fldChar w:fldCharType="end"/>
            </w:r>
          </w:p>
        </w:tc>
      </w:tr>
      <w:tr w:rsidR="000F3ED6" w14:paraId="3E283D63" w14:textId="77777777" w:rsidTr="000F3ED6">
        <w:trPr>
          <w:trHeight w:val="453"/>
          <w:jc w:val="center"/>
        </w:trPr>
        <w:tc>
          <w:tcPr>
            <w:tcW w:w="871" w:type="dxa"/>
            <w:tcMar>
              <w:top w:w="15" w:type="dxa"/>
              <w:left w:w="15" w:type="dxa"/>
              <w:bottom w:w="15" w:type="dxa"/>
              <w:right w:w="15" w:type="dxa"/>
            </w:tcMar>
            <w:hideMark/>
          </w:tcPr>
          <w:p w14:paraId="784E4C6C" w14:textId="77777777" w:rsidR="000F3ED6" w:rsidRDefault="000F3ED6">
            <w:r>
              <w:t>24</w:t>
            </w:r>
          </w:p>
        </w:tc>
        <w:tc>
          <w:tcPr>
            <w:tcW w:w="3234" w:type="dxa"/>
            <w:tcMar>
              <w:top w:w="15" w:type="dxa"/>
              <w:left w:w="15" w:type="dxa"/>
              <w:bottom w:w="15" w:type="dxa"/>
              <w:right w:w="15" w:type="dxa"/>
            </w:tcMar>
            <w:hideMark/>
          </w:tcPr>
          <w:p w14:paraId="6ED6B69B" w14:textId="77777777" w:rsidR="000F3ED6" w:rsidRDefault="000F3ED6">
            <w:r>
              <w:fldChar w:fldCharType="begin" w:fldLock="1"/>
            </w:r>
            <w:r>
              <w:instrText>ADDIN CSL_CITATION {"citationItems":[{"id":"ITEM-1","itemData":{"author":[{"dropping-particle":"","family":"Fricticarani","given":"Ade","non-dropping-particle":"","parse-names":false,"suffix":""},{"dropping-particle":"","family":"Hayati","given":"Amalia","non-dropping-particle":"","parse-names":false,"suffix":""},{"dropping-particle":"","family":"Hoirunisa","given":"Irva","non-dropping-particle":"","parse-names":false,"suffix":""},{"dropping-particle":"","family":"Rosdalina","given":"Gina Mutiara","non-dropping-particle":"","parse-names":false,"suffix":""},{"dropping-particle":"","family":"Bangsa","given":"Universitas Bina","non-dropping-particle":"","parse-names":false,"suffix":""}],"id":"ITEM-1","issue":"1","issued":{"date-parts":[["2023"]]},"page":"56-68","title":"Strategi pendidikan untuk sukses di era teknologi 5.0","type":"article-journal","volume":"4"},"uris":["http://www.mendeley.com/documents/?uuid=f4b088d4-a86e-4da2-a13a-2795c21ed81e"]}],"mendeley":{"formattedCitation":"(Fricticarani et al., 2023)","plainTextFormattedCitation":"(Fricticarani et al., 2023)","previouslyFormattedCitation":"(Fricticarani et al., 2023)"},"properties":{"noteIndex":0},"schema":"https://github.com/citation-style-language/schema/raw/master/csl-citation.json"}</w:instrText>
            </w:r>
            <w:r>
              <w:fldChar w:fldCharType="separate"/>
            </w:r>
            <w:r>
              <w:rPr>
                <w:noProof/>
              </w:rPr>
              <w:t>(Fricticarani et al., 2023)</w:t>
            </w:r>
            <w:r>
              <w:fldChar w:fldCharType="end"/>
            </w:r>
          </w:p>
        </w:tc>
      </w:tr>
      <w:tr w:rsidR="000F3ED6" w14:paraId="6E734EA5" w14:textId="77777777" w:rsidTr="000F3ED6">
        <w:trPr>
          <w:trHeight w:val="453"/>
          <w:jc w:val="center"/>
        </w:trPr>
        <w:tc>
          <w:tcPr>
            <w:tcW w:w="871" w:type="dxa"/>
            <w:tcMar>
              <w:top w:w="15" w:type="dxa"/>
              <w:left w:w="15" w:type="dxa"/>
              <w:bottom w:w="15" w:type="dxa"/>
              <w:right w:w="15" w:type="dxa"/>
            </w:tcMar>
            <w:hideMark/>
          </w:tcPr>
          <w:p w14:paraId="28C7DA28" w14:textId="77777777" w:rsidR="000F3ED6" w:rsidRDefault="000F3ED6">
            <w:r>
              <w:t>25</w:t>
            </w:r>
          </w:p>
        </w:tc>
        <w:tc>
          <w:tcPr>
            <w:tcW w:w="3234" w:type="dxa"/>
            <w:tcMar>
              <w:top w:w="15" w:type="dxa"/>
              <w:left w:w="15" w:type="dxa"/>
              <w:bottom w:w="15" w:type="dxa"/>
              <w:right w:w="15" w:type="dxa"/>
            </w:tcMar>
            <w:hideMark/>
          </w:tcPr>
          <w:p w14:paraId="1608E62F" w14:textId="77777777" w:rsidR="000F3ED6" w:rsidRDefault="000F3ED6">
            <w:r>
              <w:fldChar w:fldCharType="begin" w:fldLock="1"/>
            </w:r>
            <w:r>
              <w:instrText>ADDIN CSL_CITATION {"citationItems":[{"id":"ITEM-1","itemData":{"abstract":"The number of problems in learning activities such as the personality and behavior of students who are less good towards the teacher and there is still many students who are confused in their personality in deciding to continue their studies with a department in …","author":[{"dropping-particle":"","family":"Alfiah","given":"F","non-dropping-particle":"","parse-names":false,"suffix":""},{"dropping-particle":"","family":"Adnandi","given":"M A","non-dropping-particle":"","parse-names":false,"suffix":""},{"dropping-particle":"","family":"...","given":"","non-dropping-particle":"","parse-names":false,"suffix":""}],"container-title":"Jurnal Techno Nusa …","id":"ITEM-1","issue":"2","issued":{"date-parts":[["2019"]]},"page":"85-92","title":"Expert System To Identify Students Behavior and Personality in Smk Negeri 2 Tangerang","type":"article-journal","volume":"16"},"uris":["http://www.mendeley.com/documents/?uuid=75ba6321-856f-4ee0-be6c-afb4a5e5a0a9"]}],"mendeley":{"formattedCitation":"(Alfiah et al., 2019)","plainTextFormattedCitation":"(Alfiah et al., 2019)","previouslyFormattedCitation":"(Alfiah et al., 2019)"},"properties":{"noteIndex":0},"schema":"https://github.com/citation-style-language/schema/raw/master/csl-citation.json"}</w:instrText>
            </w:r>
            <w:r>
              <w:fldChar w:fldCharType="separate"/>
            </w:r>
            <w:r>
              <w:rPr>
                <w:noProof/>
              </w:rPr>
              <w:t>(Alfiah et al., 2019)</w:t>
            </w:r>
            <w:r>
              <w:fldChar w:fldCharType="end"/>
            </w:r>
          </w:p>
        </w:tc>
      </w:tr>
      <w:tr w:rsidR="000F3ED6" w14:paraId="22D167C6" w14:textId="77777777" w:rsidTr="000F3ED6">
        <w:trPr>
          <w:trHeight w:val="453"/>
          <w:jc w:val="center"/>
        </w:trPr>
        <w:tc>
          <w:tcPr>
            <w:tcW w:w="871" w:type="dxa"/>
            <w:tcBorders>
              <w:top w:val="nil"/>
              <w:left w:val="nil"/>
              <w:bottom w:val="single" w:sz="4" w:space="0" w:color="auto"/>
              <w:right w:val="nil"/>
            </w:tcBorders>
            <w:tcMar>
              <w:top w:w="15" w:type="dxa"/>
              <w:left w:w="15" w:type="dxa"/>
              <w:bottom w:w="15" w:type="dxa"/>
              <w:right w:w="15" w:type="dxa"/>
            </w:tcMar>
            <w:hideMark/>
          </w:tcPr>
          <w:p w14:paraId="589D0B46" w14:textId="77777777" w:rsidR="000F3ED6" w:rsidRDefault="000F3ED6">
            <w:r>
              <w:t>26</w:t>
            </w:r>
          </w:p>
        </w:tc>
        <w:tc>
          <w:tcPr>
            <w:tcW w:w="3234" w:type="dxa"/>
            <w:tcBorders>
              <w:top w:val="nil"/>
              <w:left w:val="nil"/>
              <w:bottom w:val="single" w:sz="4" w:space="0" w:color="auto"/>
              <w:right w:val="nil"/>
            </w:tcBorders>
            <w:tcMar>
              <w:top w:w="15" w:type="dxa"/>
              <w:left w:w="15" w:type="dxa"/>
              <w:bottom w:w="15" w:type="dxa"/>
              <w:right w:w="15" w:type="dxa"/>
            </w:tcMar>
            <w:hideMark/>
          </w:tcPr>
          <w:p w14:paraId="1BC655AC" w14:textId="77777777" w:rsidR="000F3ED6" w:rsidRDefault="000F3ED6">
            <w:r>
              <w:fldChar w:fldCharType="begin" w:fldLock="1"/>
            </w:r>
            <w:r>
              <w:instrText>ADDIN CSL_CITATION {"citationItems":[{"id":"ITEM-1","itemData":{"DOI":"10.18488/journal.61.2021.93.613.624","ISBN":"6285641587","author":[{"dropping-particle":"","family":"Widjanarko","given":"Dwi","non-dropping-particle":"","parse-names":false,"suffix":""},{"dropping-particle":"","family":"Setiadi","given":"Rizki","non-dropping-particle":"","parse-names":false,"suffix":""},{"dropping-particle":"","family":"Setiyawan","given":"Andri","non-dropping-particle":"","parse-names":false,"suffix":""}],"id":"ITEM-1","issue":"3","issued":{"date-parts":[["2021"]]},"page":"613-624","title":"EVALUATING THE IMPACT OF AUDIO-VISUAL MEDIA ON LEARNING OUTCOMES OF DRAWING ORTHOGRAPHIC PROJECTIONS Keyword s","type":"article-journal","volume":"9"},"uris":["http://www.mendeley.com/documents/?uuid=50d65275-a517-43da-b7a9-e48826a5c202"]}],"mendeley":{"formattedCitation":"(Widjanarko et al., 2021)","plainTextFormattedCitation":"(Widjanarko et al., 2021)","previouslyFormattedCitation":"(Widjanarko et al., 2021)"},"properties":{"noteIndex":0},"schema":"https://github.com/citation-style-language/schema/raw/master/csl-citation.json"}</w:instrText>
            </w:r>
            <w:r>
              <w:fldChar w:fldCharType="separate"/>
            </w:r>
            <w:r>
              <w:rPr>
                <w:noProof/>
              </w:rPr>
              <w:t>(Widjanarko et al., 2021)</w:t>
            </w:r>
            <w:r>
              <w:fldChar w:fldCharType="end"/>
            </w:r>
          </w:p>
        </w:tc>
      </w:tr>
      <w:tr w:rsidR="000F3ED6" w14:paraId="10EF5154" w14:textId="77777777" w:rsidTr="000F3ED6">
        <w:trPr>
          <w:trHeight w:val="453"/>
          <w:jc w:val="center"/>
        </w:trPr>
        <w:tc>
          <w:tcPr>
            <w:tcW w:w="4106" w:type="dxa"/>
            <w:gridSpan w:val="2"/>
            <w:tcMar>
              <w:top w:w="15" w:type="dxa"/>
              <w:left w:w="15" w:type="dxa"/>
              <w:bottom w:w="15" w:type="dxa"/>
              <w:right w:w="15" w:type="dxa"/>
            </w:tcMar>
            <w:hideMark/>
          </w:tcPr>
          <w:p w14:paraId="5686EAEC" w14:textId="77777777" w:rsidR="000F3ED6" w:rsidRDefault="000F3ED6">
            <w:proofErr w:type="spellStart"/>
            <w:r>
              <w:rPr>
                <w:b/>
                <w:bCs/>
              </w:rPr>
              <w:t>Fokus</w:t>
            </w:r>
            <w:proofErr w:type="spellEnd"/>
            <w:r>
              <w:rPr>
                <w:b/>
                <w:bCs/>
              </w:rPr>
              <w:t xml:space="preserve"> TVET</w:t>
            </w:r>
          </w:p>
        </w:tc>
      </w:tr>
      <w:tr w:rsidR="000F3ED6" w14:paraId="7D7C83BF" w14:textId="77777777" w:rsidTr="000F3ED6">
        <w:trPr>
          <w:trHeight w:val="438"/>
          <w:jc w:val="center"/>
        </w:trPr>
        <w:tc>
          <w:tcPr>
            <w:tcW w:w="871" w:type="dxa"/>
            <w:tcBorders>
              <w:top w:val="single" w:sz="4" w:space="0" w:color="auto"/>
              <w:left w:val="nil"/>
              <w:bottom w:val="nil"/>
              <w:right w:val="nil"/>
            </w:tcBorders>
            <w:tcMar>
              <w:top w:w="15" w:type="dxa"/>
              <w:left w:w="15" w:type="dxa"/>
              <w:bottom w:w="15" w:type="dxa"/>
              <w:right w:w="15" w:type="dxa"/>
            </w:tcMar>
            <w:hideMark/>
          </w:tcPr>
          <w:p w14:paraId="480FC514" w14:textId="77777777" w:rsidR="000F3ED6" w:rsidRDefault="000F3ED6">
            <w:r>
              <w:t>27</w:t>
            </w:r>
          </w:p>
        </w:tc>
        <w:tc>
          <w:tcPr>
            <w:tcW w:w="3234" w:type="dxa"/>
            <w:tcBorders>
              <w:top w:val="single" w:sz="4" w:space="0" w:color="auto"/>
              <w:left w:val="nil"/>
              <w:bottom w:val="nil"/>
              <w:right w:val="nil"/>
            </w:tcBorders>
            <w:tcMar>
              <w:top w:w="15" w:type="dxa"/>
              <w:left w:w="15" w:type="dxa"/>
              <w:bottom w:w="15" w:type="dxa"/>
              <w:right w:w="15" w:type="dxa"/>
            </w:tcMar>
            <w:hideMark/>
          </w:tcPr>
          <w:p w14:paraId="200867A2" w14:textId="77777777" w:rsidR="000F3ED6" w:rsidRDefault="000F3ED6">
            <w:r>
              <w:fldChar w:fldCharType="begin" w:fldLock="1"/>
            </w:r>
            <w:r>
              <w:instrText>ADDIN CSL_CITATION {"citationItems":[{"id":"ITEM-1","itemData":{"author":[{"dropping-particle":"","family":"Ratnaningtyas","given":"Endah Marendah","non-dropping-particle":"","parse-names":false,"suffix":""}],"id":"ITEM-1","issued":{"date-parts":[["2018"]]},"page":"3853-3864","title":"Principal Managerial Competencies : Implications for Vocational Secondary Education","type":"article-journal"},"uris":["http://www.mendeley.com/documents/?uuid=e97aba18-e3b9-4f24-8788-13d39705f3fb"]}],"mendeley":{"formattedCitation":"(Ratnaningtyas, 2018)","plainTextFormattedCitation":"(Ratnaningtyas, 2018)","previouslyFormattedCitation":"(Ratnaningtyas, 2018)"},"properties":{"noteIndex":0},"schema":"https://github.com/citation-style-language/schema/raw/master/csl-citation.json"}</w:instrText>
            </w:r>
            <w:r>
              <w:fldChar w:fldCharType="separate"/>
            </w:r>
            <w:r>
              <w:rPr>
                <w:noProof/>
              </w:rPr>
              <w:t>(Ratnaningtyas, 2018)</w:t>
            </w:r>
            <w:r>
              <w:fldChar w:fldCharType="end"/>
            </w:r>
          </w:p>
        </w:tc>
      </w:tr>
      <w:tr w:rsidR="000F3ED6" w14:paraId="28080891" w14:textId="77777777" w:rsidTr="000F3ED6">
        <w:trPr>
          <w:trHeight w:val="453"/>
          <w:jc w:val="center"/>
        </w:trPr>
        <w:tc>
          <w:tcPr>
            <w:tcW w:w="871" w:type="dxa"/>
            <w:tcMar>
              <w:top w:w="15" w:type="dxa"/>
              <w:left w:w="15" w:type="dxa"/>
              <w:bottom w:w="15" w:type="dxa"/>
              <w:right w:w="15" w:type="dxa"/>
            </w:tcMar>
            <w:hideMark/>
          </w:tcPr>
          <w:p w14:paraId="2CD724AF" w14:textId="77777777" w:rsidR="000F3ED6" w:rsidRDefault="000F3ED6">
            <w:r>
              <w:t>28</w:t>
            </w:r>
          </w:p>
        </w:tc>
        <w:tc>
          <w:tcPr>
            <w:tcW w:w="3234" w:type="dxa"/>
            <w:tcMar>
              <w:top w:w="15" w:type="dxa"/>
              <w:left w:w="15" w:type="dxa"/>
              <w:bottom w:w="15" w:type="dxa"/>
              <w:right w:w="15" w:type="dxa"/>
            </w:tcMar>
            <w:hideMark/>
          </w:tcPr>
          <w:p w14:paraId="54A70F6F" w14:textId="77777777" w:rsidR="000F3ED6" w:rsidRDefault="000F3ED6">
            <w:r>
              <w:fldChar w:fldCharType="begin" w:fldLock="1"/>
            </w:r>
            <w:r>
              <w:instrText>ADDIN CSL_CITATION {"citationItems":[{"id":"ITEM-1","itemData":{"author":[{"dropping-particle":"","family":"Agustini","given":"Ketut","non-dropping-particle":"","parse-names":false,"suffix":""},{"dropping-particle":"","family":"Saindra","given":"Gede","non-dropping-particle":"","parse-names":false,"suffix":""},{"dropping-particle":"","family":"Sugihartini","given":"Nyoman","non-dropping-particle":"","parse-names":false,"suffix":""},{"dropping-particle":"","family":"Indrawan","given":"Gede","non-dropping-particle":"","parse-names":false,"suffix":""}],"id":"ITEM-1","issue":"Aptekindo","issued":{"date-parts":[["2018"]]},"page":"177-182","title":"Subject for Vocational Student","type":"article-journal","volume":"201"},"uris":["http://www.mendeley.com/documents/?uuid=e07292cc-ef88-41cf-8d19-202e5cff7f91"]}],"mendeley":{"formattedCitation":"(Agustini et al., 2018)","plainTextFormattedCitation":"(Agustini et al., 2018)","previouslyFormattedCitation":"(Agustini et al., 2018)"},"properties":{"noteIndex":0},"schema":"https://github.com/citation-style-language/schema/raw/master/csl-citation.json"}</w:instrText>
            </w:r>
            <w:r>
              <w:fldChar w:fldCharType="separate"/>
            </w:r>
            <w:r>
              <w:rPr>
                <w:noProof/>
              </w:rPr>
              <w:t>(Agustini et al., 2018)</w:t>
            </w:r>
            <w:r>
              <w:fldChar w:fldCharType="end"/>
            </w:r>
          </w:p>
        </w:tc>
      </w:tr>
      <w:tr w:rsidR="000F3ED6" w14:paraId="46D9EC28" w14:textId="77777777" w:rsidTr="000F3ED6">
        <w:trPr>
          <w:trHeight w:val="453"/>
          <w:jc w:val="center"/>
        </w:trPr>
        <w:tc>
          <w:tcPr>
            <w:tcW w:w="871" w:type="dxa"/>
            <w:tcMar>
              <w:top w:w="15" w:type="dxa"/>
              <w:left w:w="15" w:type="dxa"/>
              <w:bottom w:w="15" w:type="dxa"/>
              <w:right w:w="15" w:type="dxa"/>
            </w:tcMar>
            <w:hideMark/>
          </w:tcPr>
          <w:p w14:paraId="573D6416" w14:textId="77777777" w:rsidR="000F3ED6" w:rsidRDefault="000F3ED6">
            <w:r>
              <w:t>29</w:t>
            </w:r>
          </w:p>
        </w:tc>
        <w:tc>
          <w:tcPr>
            <w:tcW w:w="3234" w:type="dxa"/>
            <w:tcMar>
              <w:top w:w="15" w:type="dxa"/>
              <w:left w:w="15" w:type="dxa"/>
              <w:bottom w:w="15" w:type="dxa"/>
              <w:right w:w="15" w:type="dxa"/>
            </w:tcMar>
            <w:hideMark/>
          </w:tcPr>
          <w:p w14:paraId="69358FC8" w14:textId="77777777" w:rsidR="000F3ED6" w:rsidRDefault="000F3ED6">
            <w:r>
              <w:fldChar w:fldCharType="begin" w:fldLock="1"/>
            </w:r>
            <w:r>
              <w:instrText>ADDIN CSL_CITATION {"citationItems":[{"id":"ITEM-1","itemData":{"author":[{"dropping-particle":"","family":"Mubai","given":"Akrimullah","non-dropping-particle":"","parse-names":false,"suffix":""},{"dropping-particle":"","family":"Jalinus","given":"Nizwardi","non-dropping-particle":"","parse-names":false,"suffix":""},{"dropping-particle":"","family":"Abdullah","given":"Rijal","non-dropping-particle":"","parse-names":false,"suffix":""}],"id":"ITEM-1","issue":"4","issued":{"date-parts":[["2021"]]},"page":"15749-15756","title":"The Effectiveness of Learning Media Based on Augmented Reality in Vocational Education : A Meta Analysis","type":"article-journal","volume":"25"},"uris":["http://www.mendeley.com/documents/?uuid=3d7c411f-9e0f-487a-93c7-0b5e0441f65f"]}],"mendeley":{"formattedCitation":"(Mubai et al., 2021)","plainTextFormattedCitation":"(Mubai et al., 2021)","previouslyFormattedCitation":"(Mubai et al., 2021)"},"properties":{"noteIndex":0},"schema":"https://github.com/citation-style-language/schema/raw/master/csl-citation.json"}</w:instrText>
            </w:r>
            <w:r>
              <w:fldChar w:fldCharType="separate"/>
            </w:r>
            <w:r>
              <w:rPr>
                <w:noProof/>
              </w:rPr>
              <w:t>(Mubai et al., 2021)</w:t>
            </w:r>
            <w:r>
              <w:fldChar w:fldCharType="end"/>
            </w:r>
          </w:p>
        </w:tc>
      </w:tr>
      <w:tr w:rsidR="000F3ED6" w14:paraId="3C37F7B5" w14:textId="77777777" w:rsidTr="000F3ED6">
        <w:trPr>
          <w:trHeight w:val="453"/>
          <w:jc w:val="center"/>
        </w:trPr>
        <w:tc>
          <w:tcPr>
            <w:tcW w:w="871" w:type="dxa"/>
            <w:tcMar>
              <w:top w:w="15" w:type="dxa"/>
              <w:left w:w="15" w:type="dxa"/>
              <w:bottom w:w="15" w:type="dxa"/>
              <w:right w:w="15" w:type="dxa"/>
            </w:tcMar>
            <w:hideMark/>
          </w:tcPr>
          <w:p w14:paraId="3145A814" w14:textId="77777777" w:rsidR="000F3ED6" w:rsidRDefault="000F3ED6">
            <w:r>
              <w:t>30</w:t>
            </w:r>
          </w:p>
        </w:tc>
        <w:tc>
          <w:tcPr>
            <w:tcW w:w="3234" w:type="dxa"/>
            <w:tcMar>
              <w:top w:w="15" w:type="dxa"/>
              <w:left w:w="15" w:type="dxa"/>
              <w:bottom w:w="15" w:type="dxa"/>
              <w:right w:w="15" w:type="dxa"/>
            </w:tcMar>
            <w:hideMark/>
          </w:tcPr>
          <w:p w14:paraId="584DD02B" w14:textId="77777777" w:rsidR="000F3ED6" w:rsidRDefault="000F3ED6">
            <w:r>
              <w:fldChar w:fldCharType="begin" w:fldLock="1"/>
            </w:r>
            <w:r>
              <w:instrText>ADDIN CSL_CITATION {"citationItems":[{"id":"ITEM-1","itemData":{"DOI":"10.11591/ijere.v11i1.21762","author":[{"dropping-particle":"","family":"Dyah","given":"Cicilia","non-dropping-particle":"","parse-names":false,"suffix":""},{"dropping-particle":"","family":"Indrawati","given":"Sulistyaningrum","non-dropping-particle":"","parse-names":false,"suffix":""},{"dropping-particle":"","family":"Ninghardjanti","given":"Patni","non-dropping-particle":"","parse-names":false,"suffix":""},{"dropping-particle":"","family":"Huda","given":"Chairul","non-dropping-particle":"","parse-names":false,"suffix":""},{"dropping-particle":"","family":"Dirgatama","given":"Atma","non-dropping-particle":"","parse-names":false,"suffix":""}],"id":"ITEM-1","issue":"1","issued":{"date-parts":[["2022"]]},"page":"403-408","title":"The effect of practicum learning based audiovisual on students ’ learning outcomes in Indonesian vocational secondary school","type":"article-journal","volume":"11"},"uris":["http://www.mendeley.com/documents/?uuid=f2a207a0-165c-4db1-9c0f-8f26d163f1df"]}],"mendeley":{"formattedCitation":"(Dyah et al., 2022)","plainTextFormattedCitation":"(Dyah et al., 2022)","previouslyFormattedCitation":"(Dyah et al., 2022)"},"properties":{"noteIndex":0},"schema":"https://github.com/citation-style-language/schema/raw/master/csl-citation.json"}</w:instrText>
            </w:r>
            <w:r>
              <w:fldChar w:fldCharType="separate"/>
            </w:r>
            <w:r>
              <w:rPr>
                <w:noProof/>
              </w:rPr>
              <w:t>(Dyah et al., 2022)</w:t>
            </w:r>
            <w:r>
              <w:fldChar w:fldCharType="end"/>
            </w:r>
          </w:p>
        </w:tc>
      </w:tr>
      <w:tr w:rsidR="000F3ED6" w14:paraId="6C5CD158" w14:textId="77777777" w:rsidTr="000F3ED6">
        <w:trPr>
          <w:trHeight w:val="453"/>
          <w:jc w:val="center"/>
        </w:trPr>
        <w:tc>
          <w:tcPr>
            <w:tcW w:w="871" w:type="dxa"/>
            <w:tcMar>
              <w:top w:w="15" w:type="dxa"/>
              <w:left w:w="15" w:type="dxa"/>
              <w:bottom w:w="15" w:type="dxa"/>
              <w:right w:w="15" w:type="dxa"/>
            </w:tcMar>
            <w:hideMark/>
          </w:tcPr>
          <w:p w14:paraId="4A26BEC8" w14:textId="77777777" w:rsidR="000F3ED6" w:rsidRDefault="000F3ED6">
            <w:r>
              <w:t>31</w:t>
            </w:r>
          </w:p>
        </w:tc>
        <w:tc>
          <w:tcPr>
            <w:tcW w:w="3234" w:type="dxa"/>
            <w:tcMar>
              <w:top w:w="15" w:type="dxa"/>
              <w:left w:w="15" w:type="dxa"/>
              <w:bottom w:w="15" w:type="dxa"/>
              <w:right w:w="15" w:type="dxa"/>
            </w:tcMar>
            <w:hideMark/>
          </w:tcPr>
          <w:p w14:paraId="4B71EB4D" w14:textId="77777777" w:rsidR="000F3ED6" w:rsidRDefault="000F3ED6">
            <w:r>
              <w:fldChar w:fldCharType="begin" w:fldLock="1"/>
            </w:r>
            <w:r>
              <w:instrText>ADDIN CSL_CITATION {"citationItems":[{"id":"ITEM-1","itemData":{"DOI":"10.1080/00074918.2020.1854079","ISSN":"17535921","abstract":"Young people have been among those most affected by the recent financial crisis. Vocational education and training (VET) is often viewed as the silver bullet for the youth joblessness problem. In this article, the authors provide a better understanding of VET in industrialized countries, proposing a typology with three types of vocational systems: 1) vocational and technical schools, 2) formal apprenticeships, and 3) dual apprenticeship systems that combine school training with a firm-based approach. They first describe the strengths and challenges of each system. They subsequently review the evidence of the effectiveness of VET versus general education and the relative effectiveness of the different VET systems. Results indicate that VET is a valued alternative beyond the core of general education and that the use of apprenticeships combined with institutional learning tends to be more effective than school-based VET.","author":[{"dropping-particle":"","family":"Kesuma","given":"Chandra","non-dropping-particle":"","parse-names":false,"suffix":""},{"dropping-particle":"","family":"Kholifah","given":"Desiana Nur","non-dropping-particle":"","parse-names":false,"suffix":""},{"dropping-particle":"","family":"Hendrik Sitorus","given":"Jimmi P","non-dropping-particle":"","parse-names":false,"suffix":""},{"dropping-particle":"","family":"Magdalena Sipahutar","given":"Veninsia","non-dropping-particle":"","parse-names":false,"suffix":""},{"dropping-particle":"","family":"Nuraini","given":"Neni","non-dropping-particle":"","parse-names":false,"suffix":""},{"dropping-particle":"","family":"Ahmad","given":"Imam","non-dropping-particle":"","parse-names":false,"suffix":""},{"dropping-particle":"","family":"Fadlan Nur","given":"Ahmad","non-dropping-particle":"","parse-names":false,"suffix":""},{"dropping-particle":"","family":"Ward","given":"Paul T.","non-dropping-particle":"","parse-names":false,"suffix":""},{"dropping-particle":"","family":"Herlambang","given":"Bambang Agus","non-dropping-particle":"","parse-names":false,"suffix":""},{"dropping-particle":"","family":"Setyawati","given":"Vilda Ana Veria","non-dropping-particle":"","parse-names":false,"suffix":""},{"dropping-particle":"","family":"Kazi","given":"Zoltan","non-dropping-particle":"","parse-names":false,"suffix":""},{"dropping-particle":"","family":"Kazi","given":"Ljubica","non-dropping-particle":"","parse-names":false,"suffix":""},{"dropping-particle":"","family":"Lalima","given":"Dr.","non-dropping-particle":"","parse-names":false,"suffix":""},{"dropping-particle":"","family":"Lata Dangwal","given":"Kiran","non-dropping-particle":"","parse-names":false,"suffix":""},{"dropping-particle":"","family":"Rasyid","given":"Magfirah","non-dropping-particle":"","parse-names":false,"suffix":""},{"dropping-particle":"","family":"Azis","given":"Andi Asmawati","non-dropping-particle":"","parse-names":false,"suffix":""},{"dropping-particle":"","family":"Saleh","given":"Andi Rahmat","non-dropping-particle":"","parse-names":false,"suffix":""},{"dropping-particle":"","family":"Amani","given":"Jaquiline","non-dropping-particle":"","parse-names":false,"suffix":""},{"dropping-particle":"","family":"Hoang Tien GAIE","given":"Nguyen","non-dropping-particle":"","parse-names":false,"suffix":""},{"dropping-particle":"","family":"Hoang Tien","given":"Nguyen","non-dropping-particle":"","parse-names":false,"suffix":""},{"dropping-particle":"","family":"Paul Dana","given":"Leo","non-dropping-particle":"","parse-names":false,"suffix":""},{"dropping-particle":"","family":"Jiminez Santural Jose","given":"Rewel","non-dropping-particle":"","parse-names":false,"suffix":""},{"dropping-particle":"","family":"Thanh Vu","given":"Nguyen","non-dropping-particle":"","parse-names":false,"suffix":""},{"dropping-particle":"","family":"Thanh Hung","given":"Nguyen","non-dropping-particle":"","parse-names":false,"suffix":""},{"dropping-particle":"","family":"Handayani","given":"Titik","non-dropping-particle":"","parse-names":false,"suffix":""},{"dropping-particle":"","family":"Penelitian","given":"Pusat","non-dropping-particle":"","parse-names":false,"suffix":""},{"dropping-particle":"","family":"Lipi","given":"Kependudukan","non-dropping-particle":"","parse-names":false,"suffix":""},{"dropping-particle":"","family":"Penulis","given":"Korespodensi","non-dropping-particle":"","parse-names":false,"suffix":""},{"dropping-particle":"","family":"Sparrow","given":"Robert","non-dropping-particle":"","parse-names":false,"suffix":""},{"dropping-particle":"","family":"Dartanto","given":"Teguh","non-dropping-particle":"","parse-names":false,"suffix":""},{"dropping-particle":"","family":"Hartwig","given":"Renate","non-dropping-particle":"","parse-names":false,"suffix":""},{"dropping-particle":"","family":"Eichhorst","given":"Werner","non-dropping-particle":"","parse-names":false,"suffix":""},{"dropping-particle":"","family":"Rodríguez-Planas","given":"Núria","non-dropping-particle":"","parse-names":false,"suffix":""},{"dropping-particle":"","family":"Schmidl","given":"Ricarda","non-dropping-particle":"","parse-names":false,"suffix":""},{"dropping-particle":"","family":"Zimermann","given":"Klaus F.","non-dropping-particle":"","parse-names":false,"suffix":""}],"container-title":"Jurnal Pendidikan Biologi","id":"ITEM-1","issue":"1","issued":{"date-parts":[["2022"]]},"page":"53-64","title":"Sistem Informasi Buku Induk Siswa SMK Negeri 1 Siantar berbasis Web","type":"article-journal","volume":"5"},"uris":["http://www.mendeley.com/documents/?uuid=9aeca53c-a166-4019-9961-217a84487bdd"]}],"mendeley":{"formattedCitation":"(Kesuma et al., 2022)","plainTextFormattedCitation":"(Kesuma et al., 2022)","previouslyFormattedCitation":"(Kesuma et al., 2022)"},"properties":{"noteIndex":0},"schema":"https://github.com/citation-style-language/schema/raw/master/csl-citation.json"}</w:instrText>
            </w:r>
            <w:r>
              <w:fldChar w:fldCharType="separate"/>
            </w:r>
            <w:r>
              <w:rPr>
                <w:noProof/>
              </w:rPr>
              <w:t>(Kesuma et al., 2022)</w:t>
            </w:r>
            <w:r>
              <w:fldChar w:fldCharType="end"/>
            </w:r>
          </w:p>
        </w:tc>
      </w:tr>
      <w:tr w:rsidR="000F3ED6" w14:paraId="3D745100" w14:textId="77777777" w:rsidTr="000F3ED6">
        <w:trPr>
          <w:trHeight w:val="453"/>
          <w:jc w:val="center"/>
        </w:trPr>
        <w:tc>
          <w:tcPr>
            <w:tcW w:w="871" w:type="dxa"/>
            <w:tcMar>
              <w:top w:w="15" w:type="dxa"/>
              <w:left w:w="15" w:type="dxa"/>
              <w:bottom w:w="15" w:type="dxa"/>
              <w:right w:w="15" w:type="dxa"/>
            </w:tcMar>
            <w:hideMark/>
          </w:tcPr>
          <w:p w14:paraId="3FD81E25" w14:textId="77777777" w:rsidR="000F3ED6" w:rsidRDefault="000F3ED6">
            <w:r>
              <w:t>32</w:t>
            </w:r>
          </w:p>
        </w:tc>
        <w:tc>
          <w:tcPr>
            <w:tcW w:w="3234" w:type="dxa"/>
            <w:tcMar>
              <w:top w:w="15" w:type="dxa"/>
              <w:left w:w="15" w:type="dxa"/>
              <w:bottom w:w="15" w:type="dxa"/>
              <w:right w:w="15" w:type="dxa"/>
            </w:tcMar>
            <w:hideMark/>
          </w:tcPr>
          <w:p w14:paraId="610950F9" w14:textId="77777777" w:rsidR="000F3ED6" w:rsidRDefault="000F3ED6">
            <w:r>
              <w:fldChar w:fldCharType="begin" w:fldLock="1"/>
            </w:r>
            <w:r>
              <w:instrText>ADDIN CSL_CITATION {"citationItems":[{"id":"ITEM-1","itemData":{"abstract":"Abstrct: This study aimed to develop a blended learning model in vocational education. This research used the stages of ADDIE model. The research was carried out at Universitas Negeri Padang, Indonesia. The instruments used were questionnaires, observation sheets, and cognitive, affective, and psychomotor tests. The results were (1) Blended learning models include: (a) the philosophical component of essentialism and pragmatism; (b) learning theory: behaviorism, cognitivism, and connectivism (c) the 4C component of communication, collaboration, cooperation, and creativity; (d) component of the industrial revolution 4.0: includes learning with digital elements with data literacy, technological literacy, and human literacy. (2) The blended learning model is centered on learning done offline and online makes it has a clear proportion of learning patterns. The flexibility of learning anytime and anywhere through face-to-face communication, as well as online interactions using online chats and forums to explore critical thinking through discussion. It also includes elements of students to be creative and innovative in projects and project improvement, as well as online teaching materials that are made interesting by the presence of multimedia components (text, images, and videos). (3) The result product is in the form of a model book, lecturer manuals and student guides, and textbooks, which are declared valid and practical so that the blended learning model can be applied in learning. (4) The achievements found are related to cognitive, affective, psychomotor and 4C abilities.","author":[{"dropping-particle":"","family":"Jalinus","given":"Nizwardi","non-dropping-particle":"","parse-names":false,"suffix":""},{"dropping-particle":"","family":"Verawardina","given":"Unung","non-dropping-particle":"","parse-names":false,"suffix":""},{"dropping-particle":"","family":"Azis Nabawi","given":"Rahmat","non-dropping-particle":"","parse-names":false,"suffix":""},{"dropping-particle":"","family":"Darma","given":"Yudi","non-dropping-particle":"","parse-names":false,"suffix":""},{"dropping-particle":"","family":"Padang","given":"Negeri","non-dropping-particle":"","parse-names":false,"suffix":""},{"dropping-particle":"","family":"Hamka","given":"Jl","non-dropping-particle":"","parse-names":false,"suffix":""},{"dropping-particle":"","family":"Tawar Barat","given":"Air","non-dropping-particle":"","parse-names":false,"suffix":""}],"container-title":"Turkish Journal of Computer and Mathematics Education","id":"ITEM-1","issue":"9","issued":{"date-parts":[["2021"]]},"page":"1276-1291","title":"Developing Blended Learning Model in Vocational Education Based On 21st Century Integrated Learning and Industrial Revolution 4.0","type":"article-journal","volume":"12"},"uris":["http://www.mendeley.com/documents/?uuid=9f607c46-ddad-48b1-9c16-78c62448ff60"]}],"mendeley":{"formattedCitation":"(Jalinus et al., 2021)","plainTextFormattedCitation":"(Jalinus et al., 2021)","previouslyFormattedCitation":"(Jalinus et al., 2021)"},"properties":{"noteIndex":0},"schema":"https://github.com/citation-style-language/schema/raw/master/csl-citation.json"}</w:instrText>
            </w:r>
            <w:r>
              <w:fldChar w:fldCharType="separate"/>
            </w:r>
            <w:r>
              <w:rPr>
                <w:noProof/>
              </w:rPr>
              <w:t>(Jalinus et al., 2021)</w:t>
            </w:r>
            <w:r>
              <w:fldChar w:fldCharType="end"/>
            </w:r>
          </w:p>
        </w:tc>
      </w:tr>
      <w:tr w:rsidR="000F3ED6" w14:paraId="5AF4AC85" w14:textId="77777777" w:rsidTr="000F3ED6">
        <w:trPr>
          <w:trHeight w:val="453"/>
          <w:jc w:val="center"/>
        </w:trPr>
        <w:tc>
          <w:tcPr>
            <w:tcW w:w="871" w:type="dxa"/>
            <w:tcBorders>
              <w:top w:val="nil"/>
              <w:left w:val="nil"/>
              <w:bottom w:val="single" w:sz="4" w:space="0" w:color="auto"/>
              <w:right w:val="nil"/>
            </w:tcBorders>
            <w:tcMar>
              <w:top w:w="15" w:type="dxa"/>
              <w:left w:w="15" w:type="dxa"/>
              <w:bottom w:w="15" w:type="dxa"/>
              <w:right w:w="15" w:type="dxa"/>
            </w:tcMar>
            <w:hideMark/>
          </w:tcPr>
          <w:p w14:paraId="32544019" w14:textId="77777777" w:rsidR="000F3ED6" w:rsidRDefault="000F3ED6">
            <w:r>
              <w:t>33</w:t>
            </w:r>
          </w:p>
        </w:tc>
        <w:tc>
          <w:tcPr>
            <w:tcW w:w="3234" w:type="dxa"/>
            <w:tcBorders>
              <w:top w:val="nil"/>
              <w:left w:val="nil"/>
              <w:bottom w:val="single" w:sz="4" w:space="0" w:color="auto"/>
              <w:right w:val="nil"/>
            </w:tcBorders>
            <w:tcMar>
              <w:top w:w="15" w:type="dxa"/>
              <w:left w:w="15" w:type="dxa"/>
              <w:bottom w:w="15" w:type="dxa"/>
              <w:right w:w="15" w:type="dxa"/>
            </w:tcMar>
            <w:hideMark/>
          </w:tcPr>
          <w:p w14:paraId="652BC36A" w14:textId="77777777" w:rsidR="000F3ED6" w:rsidRDefault="000F3ED6">
            <w:r>
              <w:fldChar w:fldCharType="begin" w:fldLock="1"/>
            </w:r>
            <w:r>
              <w:instrText>ADDIN CSL_CITATION {"citationItems":[{"id":"ITEM-1","itemData":{"DOI":"10.1016/j.ijedro.2022.100123","ISSN":"26663740","abstract":"Grounded in self-concept theory, this study examined the predictability of cognitive and affective academic self-concepts in relation to vocational education students’ education and career choice outcomes in the Hong Kong HE setting in two studies (Ns = 384 and 476). Structural equation modeling revealed that sense of competence (i.e., cognitive) is more related to competence/performance-based outcomes (i.e., operational capability and resilience at work in Study 1; and competition in Study 2). Liking of the vocation (i.e., affective) is more related to non-performance-based emotional-motivational outcomes (i.e., career intention in both studies and educational aspiration in Study 2) than is the cognitive component. These findings offer an empirical basis to guide vocational higher education institutes to effectively use educational resources to build a sustainable future workforce.","author":[{"dropping-particle":"","family":"Choy","given":"Monica Waichun","non-dropping-particle":"","parse-names":false,"suffix":""},{"dropping-particle":"","family":"Yeung","given":"Alexander Seeshing","non-dropping-particle":"","parse-names":false,"suffix":""}],"container-title":"International Journal of Educational Research Open","id":"ITEM-1","issue":"January","issued":{"date-parts":[["2022"]]},"page":"100123","publisher":"Elsevier Ltd","title":"Cognitive and affective academic self-concepts: Which predicts vocational education students’ career choice?","type":"article-journal","volume":"3"},"uris":["http://www.mendeley.com/documents/?uuid=5332a4fc-eb31-45f3-a91b-35665295660d"]}],"mendeley":{"formattedCitation":"(Choy &amp; Yeung, 2022)","plainTextFormattedCitation":"(Choy &amp; Yeung, 2022)","previouslyFormattedCitation":"(Choy &amp; Yeung, 2022)"},"properties":{"noteIndex":0},"schema":"https://github.com/citation-style-language/schema/raw/master/csl-citation.json"}</w:instrText>
            </w:r>
            <w:r>
              <w:fldChar w:fldCharType="separate"/>
            </w:r>
            <w:r>
              <w:rPr>
                <w:noProof/>
              </w:rPr>
              <w:t>(Choy &amp; Yeung, 2022)</w:t>
            </w:r>
            <w:r>
              <w:fldChar w:fldCharType="end"/>
            </w:r>
          </w:p>
        </w:tc>
      </w:tr>
      <w:tr w:rsidR="000F3ED6" w14:paraId="3976EE04" w14:textId="77777777" w:rsidTr="000F3ED6">
        <w:trPr>
          <w:trHeight w:val="741"/>
          <w:jc w:val="center"/>
        </w:trPr>
        <w:tc>
          <w:tcPr>
            <w:tcW w:w="4106" w:type="dxa"/>
            <w:gridSpan w:val="2"/>
            <w:tcMar>
              <w:top w:w="15" w:type="dxa"/>
              <w:left w:w="15" w:type="dxa"/>
              <w:bottom w:w="15" w:type="dxa"/>
              <w:right w:w="15" w:type="dxa"/>
            </w:tcMar>
            <w:hideMark/>
          </w:tcPr>
          <w:p w14:paraId="778B638C" w14:textId="77777777" w:rsidR="000F3ED6" w:rsidRDefault="000F3ED6">
            <w:proofErr w:type="spellStart"/>
            <w:r>
              <w:rPr>
                <w:b/>
                <w:bCs/>
              </w:rPr>
              <w:t>Fokus</w:t>
            </w:r>
            <w:proofErr w:type="spellEnd"/>
            <w:r>
              <w:rPr>
                <w:b/>
                <w:bCs/>
              </w:rPr>
              <w:t xml:space="preserve"> Learning, Adaptive, </w:t>
            </w:r>
            <w:proofErr w:type="spellStart"/>
            <w:r>
              <w:rPr>
                <w:b/>
                <w:bCs/>
              </w:rPr>
              <w:t>dan</w:t>
            </w:r>
            <w:proofErr w:type="spellEnd"/>
            <w:r>
              <w:rPr>
                <w:b/>
                <w:bCs/>
              </w:rPr>
              <w:t xml:space="preserve"> </w:t>
            </w:r>
            <w:proofErr w:type="spellStart"/>
            <w:r>
              <w:rPr>
                <w:b/>
                <w:bCs/>
              </w:rPr>
              <w:t>Integrasi</w:t>
            </w:r>
            <w:proofErr w:type="spellEnd"/>
          </w:p>
        </w:tc>
      </w:tr>
      <w:tr w:rsidR="000F3ED6" w14:paraId="61F9F4DA" w14:textId="77777777" w:rsidTr="000F3ED6">
        <w:trPr>
          <w:trHeight w:val="453"/>
          <w:jc w:val="center"/>
        </w:trPr>
        <w:tc>
          <w:tcPr>
            <w:tcW w:w="871" w:type="dxa"/>
            <w:tcBorders>
              <w:top w:val="single" w:sz="4" w:space="0" w:color="auto"/>
              <w:left w:val="nil"/>
              <w:bottom w:val="nil"/>
              <w:right w:val="nil"/>
            </w:tcBorders>
            <w:tcMar>
              <w:top w:w="15" w:type="dxa"/>
              <w:left w:w="15" w:type="dxa"/>
              <w:bottom w:w="15" w:type="dxa"/>
              <w:right w:w="15" w:type="dxa"/>
            </w:tcMar>
            <w:hideMark/>
          </w:tcPr>
          <w:p w14:paraId="2295E88C" w14:textId="77777777" w:rsidR="000F3ED6" w:rsidRDefault="000F3ED6">
            <w:r>
              <w:t>34</w:t>
            </w:r>
          </w:p>
        </w:tc>
        <w:tc>
          <w:tcPr>
            <w:tcW w:w="3234" w:type="dxa"/>
            <w:tcBorders>
              <w:top w:val="single" w:sz="4" w:space="0" w:color="auto"/>
              <w:left w:val="nil"/>
              <w:bottom w:val="nil"/>
              <w:right w:val="nil"/>
            </w:tcBorders>
            <w:tcMar>
              <w:top w:w="15" w:type="dxa"/>
              <w:left w:w="15" w:type="dxa"/>
              <w:bottom w:w="15" w:type="dxa"/>
              <w:right w:w="15" w:type="dxa"/>
            </w:tcMar>
            <w:hideMark/>
          </w:tcPr>
          <w:p w14:paraId="6C06F535" w14:textId="77777777" w:rsidR="000F3ED6" w:rsidRDefault="000F3ED6">
            <w:r>
              <w:fldChar w:fldCharType="begin" w:fldLock="1"/>
            </w:r>
            <w:r>
              <w:instrText>ADDIN CSL_CITATION {"citationItems":[{"id":"ITEM-1","itemData":{"DOI":"10.1609/aaai.v33i01.33019373","ISBN":"9781577358091","ISSN":"2159-5399","abstract":"Life insurance provides trillions of dollars of financial security for hundreds of millions of individuals and families worldwide. Life insurance companies must accurately assess individual-level mortality risk to simultaneously maintain financial strength and price their products competitively. The traditional underwriting process used to assess this risk is based on manually examining an applicant's health, behavioral, and financial profile. The existence of large historical data sets provides an unprecedented opportunity for artificial intelligence and machine learning to transform underwriting in the life insurance industry. We present an overview of how a rich application data set and survival modeling were combined to develop a life score that has been deployed in an algorithmic underwriting system at MassMutual, an American mutual life insurance company serving millions of clients. Through a novel evaluation framework, we show that the life score outperforms traditional underwriting by 6% on the basis of claims. We describe how engagement with actuaries, medical doctors, underwriters, and reinsurers was paramount to building an algorithmic underwriting system with a predictive model at its core. Finally, we provide details of the deployed system and highlight its value, which includes saving millions of dollars in operational efficiency while driving the decisions behind tens of billions of dollars of benefits.","author":[{"dropping-particle":"","family":"Maier","given":"Marc","non-dropping-particle":"","parse-names":false,"suffix":""},{"dropping-particle":"","family":"Carlotto","given":"Hayley","non-dropping-particle":"","parse-names":false,"suffix":""},{"dropping-particle":"","family":"Sanchez","given":"Freddie","non-dropping-particle":"","parse-names":false,"suffix":""},{"dropping-particle":"","family":"Balogun","given":"Sherriff","non-dropping-particle":"","parse-names":false,"suffix":""},{"dropping-particle":"","family":"Merritt","given":"Sears","non-dropping-particle":"","parse-names":false,"suffix":""}],"container-title":"33rd AAAI Conference on Artificial Intelligence, AAAI 2019, 31st Innovative Applications of Artificial Intelligence Conference, IAAI 2019 and the 9th AAAI Symposium on Educational Advances in Artificial Intelligence, EAAI 2019","id":"ITEM-1","issued":{"date-parts":[["2019"]]},"page":"9373-9380","title":"Transforming underwriting in the life insurance industry","type":"article-journal"},"uris":["http://www.mendeley.com/documents/?uuid=194e9785-0be7-41b2-9c30-db31cf2c3430"]}],"mendeley":{"formattedCitation":"(Maier et al., 2019)","plainTextFormattedCitation":"(Maier et al., 2019)","previouslyFormattedCitation":"(Maier et al., 2019)"},"properties":{"noteIndex":0},"schema":"https://github.com/citation-style-language/schema/raw/master/csl-citation.json"}</w:instrText>
            </w:r>
            <w:r>
              <w:fldChar w:fldCharType="separate"/>
            </w:r>
            <w:r>
              <w:rPr>
                <w:noProof/>
              </w:rPr>
              <w:t>(Maier et al., 2019)</w:t>
            </w:r>
            <w:r>
              <w:fldChar w:fldCharType="end"/>
            </w:r>
          </w:p>
        </w:tc>
      </w:tr>
      <w:tr w:rsidR="000F3ED6" w14:paraId="2FB9D044" w14:textId="77777777" w:rsidTr="000F3ED6">
        <w:trPr>
          <w:trHeight w:val="453"/>
          <w:jc w:val="center"/>
        </w:trPr>
        <w:tc>
          <w:tcPr>
            <w:tcW w:w="871" w:type="dxa"/>
            <w:tcMar>
              <w:top w:w="15" w:type="dxa"/>
              <w:left w:w="15" w:type="dxa"/>
              <w:bottom w:w="15" w:type="dxa"/>
              <w:right w:w="15" w:type="dxa"/>
            </w:tcMar>
            <w:hideMark/>
          </w:tcPr>
          <w:p w14:paraId="4D33401D" w14:textId="77777777" w:rsidR="000F3ED6" w:rsidRDefault="000F3ED6">
            <w:r>
              <w:t>35</w:t>
            </w:r>
          </w:p>
        </w:tc>
        <w:tc>
          <w:tcPr>
            <w:tcW w:w="3234" w:type="dxa"/>
            <w:tcMar>
              <w:top w:w="15" w:type="dxa"/>
              <w:left w:w="15" w:type="dxa"/>
              <w:bottom w:w="15" w:type="dxa"/>
              <w:right w:w="15" w:type="dxa"/>
            </w:tcMar>
            <w:hideMark/>
          </w:tcPr>
          <w:p w14:paraId="422F681C" w14:textId="77777777" w:rsidR="000F3ED6" w:rsidRDefault="000F3ED6">
            <w:r>
              <w:fldChar w:fldCharType="begin" w:fldLock="1"/>
            </w:r>
            <w:r>
              <w:instrText>ADDIN CSL_CITATION {"citationItems":[{"id":"ITEM-1","itemData":{"DOI":"10.13106/jafeb.2021.vol8.no3.0351","ISSN":"22884645","abstract":"Digital technology has become a new economic and social force, reshaping traditional business models, strategies, structures, and processes. This is a challenge for human capital to develop continuously in this dynamic era; one of the solutions is digital entrepreneurship. Digital entrepreneurship focuses on creating new ventures and transforming existing businesses by developing novel digital technologies or novel usage. Further, digital technology has also enabled the growth of the sharing economy, linking owners and users, and disrupting the previous dualism of businesses and customers. This paper provides a novel contribution regarding the emerging concept of Digital Entrepreneurship. Based on a qualitative literature review and interview with university staff, lecturers, and students in four large public and private universities in West Java and DIY Province, an interpretative framework for Digital Entrepreneurship has been proposed, which comprises of the following components: motivation (the rationale for the adoption of digital technology for academic entrepreneurship), stakeholders (the stakeholders involved through digital technology to achieve the academic entrepreneurship goal), process (the processes of academic entrepreneurship supported by digital technologies), and business form (the emerging forms of digital academic entrepreneurship). This research also shows several alternative government policies to improve digital entrepreneurship in the academic environment.","author":[{"dropping-particle":"","family":"Muafi","given":"Muafi","non-dropping-particle":"","parse-names":false,"suffix":""},{"dropping-particle":"","family":"Syafri","given":"Wirman","non-dropping-particle":"","parse-names":false,"suffix":""},{"dropping-particle":"","family":"Prabowo","given":"Hadi","non-dropping-particle":"","parse-names":false,"suffix":""},{"dropping-particle":"","family":"Nur","given":"Sofyan Ashari","non-dropping-particle":"","parse-names":false,"suffix":""}],"container-title":"Journal of Asian Finance, Economics and Business","id":"ITEM-1","issue":"3","issued":{"date-parts":[["2021"]]},"page":"351-359","title":"Digital Entrepreneurship in Indonesia: A Human Capital Perspective","type":"article-journal","volume":"8"},"uris":["http://www.mendeley.com/documents/?uuid=0d156807-ec7d-4c62-90e3-0e300eeef2b6"]}],"mendeley":{"formattedCitation":"(Muafi et al., 2021)","plainTextFormattedCitation":"(Muafi et al., 2021)","previouslyFormattedCitation":"(Muafi et al., 2021)"},"properties":{"noteIndex":0},"schema":"https://github.com/citation-style-language/schema/raw/master/csl-citation.json"}</w:instrText>
            </w:r>
            <w:r>
              <w:fldChar w:fldCharType="separate"/>
            </w:r>
            <w:r>
              <w:rPr>
                <w:noProof/>
              </w:rPr>
              <w:t>(Muafi et al., 2021)</w:t>
            </w:r>
            <w:r>
              <w:fldChar w:fldCharType="end"/>
            </w:r>
          </w:p>
        </w:tc>
      </w:tr>
      <w:tr w:rsidR="000F3ED6" w14:paraId="30020D86" w14:textId="77777777" w:rsidTr="000F3ED6">
        <w:trPr>
          <w:trHeight w:val="453"/>
          <w:jc w:val="center"/>
        </w:trPr>
        <w:tc>
          <w:tcPr>
            <w:tcW w:w="871" w:type="dxa"/>
            <w:tcMar>
              <w:top w:w="15" w:type="dxa"/>
              <w:left w:w="15" w:type="dxa"/>
              <w:bottom w:w="15" w:type="dxa"/>
              <w:right w:w="15" w:type="dxa"/>
            </w:tcMar>
            <w:hideMark/>
          </w:tcPr>
          <w:p w14:paraId="06778F3B" w14:textId="77777777" w:rsidR="000F3ED6" w:rsidRDefault="000F3ED6">
            <w:r>
              <w:t>36</w:t>
            </w:r>
          </w:p>
        </w:tc>
        <w:tc>
          <w:tcPr>
            <w:tcW w:w="3234" w:type="dxa"/>
            <w:tcMar>
              <w:top w:w="15" w:type="dxa"/>
              <w:left w:w="15" w:type="dxa"/>
              <w:bottom w:w="15" w:type="dxa"/>
              <w:right w:w="15" w:type="dxa"/>
            </w:tcMar>
            <w:hideMark/>
          </w:tcPr>
          <w:p w14:paraId="33BE8BB2" w14:textId="77777777" w:rsidR="000F3ED6" w:rsidRDefault="000F3ED6">
            <w:r>
              <w:fldChar w:fldCharType="begin" w:fldLock="1"/>
            </w:r>
            <w:r>
              <w:instrText>ADDIN CSL_CITATION {"citationItems":[{"id":"ITEM-1","itemData":{"DOI":"10.1007/978-981-13-0194-0","ISBN":"9789811301940","abstract":"This open access collection examines how higher education responds to the demands of the automation economy and the fourth industrial revolution. Considering significant trends in how people are learning, coupled with the ways in which different higher education institutions and education stakeholders are implementing adaptations, it looks at new programs and technological advances that are changing how and why we teach and learn. The book addresses trends in liberal arts integration of STEM innovations, the changing role of libraries in the digital age, global trends in youth mobility, and the development of lifelong learning programs. This is coupled with case study assessments of the various ways China, Singapore, South Africa and Costa Rica are preparing their populations for significant shifts in labour market demands - shifts that are already underway. Offering examples of new frameworks in which collaboration between government, industry, and higher education institutions can prevent lagging behind in this fast changing environment, this book is a key read for anyone wanting to understand how the world should respond to the radical technological shifts underway on the frontline of higher education.","author":[{"dropping-particle":"","family":"Gleason","given":"Nancy W.","non-dropping-particle":"","parse-names":false,"suffix":""}],"container-title":"Higher Education in the Era of the Fourth Industrial Revolution","id":"ITEM-1","issued":{"date-parts":[["2018"]]},"number-of-pages":"1-229","title":"Higher Education in the Era of the Fourth Industrial Revolution","type":"book"},"uris":["http://www.mendeley.com/documents/?uuid=fe13c6aa-2b00-4861-9b16-1dccda2ad40e"]}],"mendeley":{"formattedCitation":"(Gleason, 2018)","plainTextFormattedCitation":"(Gleason, 2018)","previouslyFormattedCitation":"(Gleason, 2018)"},"properties":{"noteIndex":0},"schema":"https://github.com/citation-style-language/schema/raw/master/csl-citation.json"}</w:instrText>
            </w:r>
            <w:r>
              <w:fldChar w:fldCharType="separate"/>
            </w:r>
            <w:r>
              <w:rPr>
                <w:noProof/>
              </w:rPr>
              <w:t>(Gleason, 2018)</w:t>
            </w:r>
            <w:r>
              <w:fldChar w:fldCharType="end"/>
            </w:r>
          </w:p>
        </w:tc>
      </w:tr>
      <w:tr w:rsidR="000F3ED6" w14:paraId="50BCA4D1" w14:textId="77777777" w:rsidTr="000F3ED6">
        <w:trPr>
          <w:trHeight w:val="453"/>
          <w:jc w:val="center"/>
        </w:trPr>
        <w:tc>
          <w:tcPr>
            <w:tcW w:w="871" w:type="dxa"/>
            <w:tcMar>
              <w:top w:w="15" w:type="dxa"/>
              <w:left w:w="15" w:type="dxa"/>
              <w:bottom w:w="15" w:type="dxa"/>
              <w:right w:w="15" w:type="dxa"/>
            </w:tcMar>
            <w:hideMark/>
          </w:tcPr>
          <w:p w14:paraId="59CD89B2" w14:textId="77777777" w:rsidR="000F3ED6" w:rsidRDefault="000F3ED6">
            <w:r>
              <w:lastRenderedPageBreak/>
              <w:t>37</w:t>
            </w:r>
          </w:p>
        </w:tc>
        <w:tc>
          <w:tcPr>
            <w:tcW w:w="3234" w:type="dxa"/>
            <w:tcMar>
              <w:top w:w="15" w:type="dxa"/>
              <w:left w:w="15" w:type="dxa"/>
              <w:bottom w:w="15" w:type="dxa"/>
              <w:right w:w="15" w:type="dxa"/>
            </w:tcMar>
            <w:hideMark/>
          </w:tcPr>
          <w:p w14:paraId="3D285E76" w14:textId="77777777" w:rsidR="000F3ED6" w:rsidRDefault="000F3ED6">
            <w:r>
              <w:fldChar w:fldCharType="begin" w:fldLock="1"/>
            </w:r>
            <w:r>
              <w:instrText>ADDIN CSL_CITATION {"citationItems":[{"id":"ITEM-1","itemData":{"ISBN":"0415473446","abstract":"A collection of some of the most influential learning theorists. It collects chapters that explain both the complex frameworks in which learning takes place and the specific facets of learning, such as the acquisition of learning content, personal development, and the cultural and social nature of learning processes. A comprehensive understanding of human learning / Knud Illeris -- Learning to be a person in society : learning to be me / Peter Jarvis -- What \"form\" transforms? : a constructive-developmental approach to transformative learning / Robert Kegan -- Expansive learning : toward an activity-theoretical reconceptualization / Yrjö Engeström -- Pragmatism : a learning theory for the future / Bente Elkjaer -- An overview on transformative learning / Jack Mezirow -- Multiple approaches to understanding / Howard Gardner -- Biographical learning--within the new lifelong learning discourse / Peter Alheit -- Life cycles and learning cycles / John Heron -- Lifelong learning as a technology of the self / Mark Tennant -- Culture, mind, and education / Jerome Bruner -- Experience, pedagogy, and social practices / Robin Usher -- \"Normal learning problems\" in youth : in the context of underlying cultural convictions / Thomas Ziehe -- The practice of learning / Jean Lave -- A social theory of learning / Etienne Wenger -- Transitional learning and reflexive facilitation : the case of learning for work / Danny Wildemeersch and Veerle Stroobants.","author":[{"dropping-particle":"","family":"Hattie","given":"John","non-dropping-particle":"","parse-names":false,"suffix":""},{"dropping-particle":"","family":"Gregory","given":"Donoghue","non-dropping-particle":"","parse-names":false,"suffix":""}],"container-title":"Contemporary theories of learning: Learning theorists ... in their own words","id":"ITEM-1","issued":{"date-parts":[["2018"]]},"number-of-pages":"97-113","title":"A model of learning: optimizing the effectiveness of learning strategies","type":"book"},"uris":["http://www.mendeley.com/documents/?uuid=ab6ac10b-c888-486f-a0bd-dc3e9e0af7cc"]}],"mendeley":{"formattedCitation":"(Hattie &amp; Gregory, 2018)","plainTextFormattedCitation":"(Hattie &amp; Gregory, 2018)","previouslyFormattedCitation":"(Hattie &amp; Gregory, 2018)"},"properties":{"noteIndex":0},"schema":"https://github.com/citation-style-language/schema/raw/master/csl-citation.json"}</w:instrText>
            </w:r>
            <w:r>
              <w:fldChar w:fldCharType="separate"/>
            </w:r>
            <w:r>
              <w:rPr>
                <w:noProof/>
              </w:rPr>
              <w:t>(Hattie &amp; Gregory, 2018)</w:t>
            </w:r>
            <w:r>
              <w:fldChar w:fldCharType="end"/>
            </w:r>
          </w:p>
        </w:tc>
      </w:tr>
      <w:tr w:rsidR="000F3ED6" w14:paraId="1A2FB273" w14:textId="77777777" w:rsidTr="000F3ED6">
        <w:trPr>
          <w:trHeight w:val="453"/>
          <w:jc w:val="center"/>
        </w:trPr>
        <w:tc>
          <w:tcPr>
            <w:tcW w:w="871" w:type="dxa"/>
            <w:tcMar>
              <w:top w:w="15" w:type="dxa"/>
              <w:left w:w="15" w:type="dxa"/>
              <w:bottom w:w="15" w:type="dxa"/>
              <w:right w:w="15" w:type="dxa"/>
            </w:tcMar>
            <w:hideMark/>
          </w:tcPr>
          <w:p w14:paraId="700BB87F" w14:textId="77777777" w:rsidR="000F3ED6" w:rsidRDefault="000F3ED6">
            <w:r>
              <w:t>38</w:t>
            </w:r>
          </w:p>
        </w:tc>
        <w:tc>
          <w:tcPr>
            <w:tcW w:w="3234" w:type="dxa"/>
            <w:tcMar>
              <w:top w:w="15" w:type="dxa"/>
              <w:left w:w="15" w:type="dxa"/>
              <w:bottom w:w="15" w:type="dxa"/>
              <w:right w:w="15" w:type="dxa"/>
            </w:tcMar>
            <w:hideMark/>
          </w:tcPr>
          <w:p w14:paraId="0CB1C06C" w14:textId="77777777" w:rsidR="000F3ED6" w:rsidRDefault="000F3ED6">
            <w:r>
              <w:fldChar w:fldCharType="begin" w:fldLock="1"/>
            </w:r>
            <w:r>
              <w:instrText>ADDIN CSL_CITATION {"citationItems":[{"id":"ITEM-1","itemData":{"DOI":"10.1016/j.enbuild.2019.07.033","ISSN":"03787788","abstract":"For homes to become active participants in a smart electric grid, intelligent control algorithms are needed to facilitate autonomous interactions that take homeowner preferences into consideration. Many control algorithms for demand response have been proposed in the literature. Comparing the performance of these algorithms has been difficult because each algorithm makes different assumptions or considers different scenarios, i.e., peak load reduction or minimizing cost in response to the variable price of electricity. This work proposes a novel, flexible assessment framework using the Analytical Hierarchy Process to compare and rank residential energy management control algorithms. The framework is a hybrid mechanism that derives a ranking from a combination of subjective user input representing preferences, and objective data from the performance of the control algorithms related to energy consumption, cost, and comfort. A new algorithm was developed to map objective performance data to the Analytical Hierarchy Process's fundamental scale and form a matrix of pairwise comparisons. The assessment framework results in a single overall score for each control algorithm that can be used to rank the alternatives. The approach is illustrated by applying the assessment process to six residential energy management control algorithms.","author":[{"dropping-particle":"","family":"Omar","given":"Farhad","non-dropping-particle":"","parse-names":false,"suffix":""},{"dropping-particle":"","family":"Bushby","given":"Steven T.","non-dropping-particle":"","parse-names":false,"suffix":""},{"dropping-particle":"","family":"Williams","given":"Ronald D.","non-dropping-particle":"","parse-names":false,"suffix":""}],"container-title":"Energy and Buildings","id":"ITEM-1","issued":{"date-parts":[["2019"]]},"page":"537-546","publisher":"Elsevier B.V.","title":"Assessing the performance of residential energy management control Algorithms: Multi-criteria decision making using the analytical hierarchy process","type":"article-journal","volume":"199"},"uris":["http://www.mendeley.com/documents/?uuid=18f4a9d8-37d2-4d6c-80a9-ca13db7769d5"]}],"mendeley":{"formattedCitation":"(Omar et al., 2019)","plainTextFormattedCitation":"(Omar et al., 2019)","previouslyFormattedCitation":"(Omar et al., 2019)"},"properties":{"noteIndex":0},"schema":"https://github.com/citation-style-language/schema/raw/master/csl-citation.json"}</w:instrText>
            </w:r>
            <w:r>
              <w:fldChar w:fldCharType="separate"/>
            </w:r>
            <w:r>
              <w:rPr>
                <w:noProof/>
              </w:rPr>
              <w:t>(Omar et al., 2019)</w:t>
            </w:r>
            <w:r>
              <w:fldChar w:fldCharType="end"/>
            </w:r>
          </w:p>
        </w:tc>
      </w:tr>
      <w:tr w:rsidR="000F3ED6" w14:paraId="68D563BC" w14:textId="77777777" w:rsidTr="000F3ED6">
        <w:trPr>
          <w:trHeight w:val="741"/>
          <w:jc w:val="center"/>
        </w:trPr>
        <w:tc>
          <w:tcPr>
            <w:tcW w:w="871" w:type="dxa"/>
            <w:tcMar>
              <w:top w:w="15" w:type="dxa"/>
              <w:left w:w="15" w:type="dxa"/>
              <w:bottom w:w="15" w:type="dxa"/>
              <w:right w:w="15" w:type="dxa"/>
            </w:tcMar>
            <w:hideMark/>
          </w:tcPr>
          <w:p w14:paraId="32DD96A2" w14:textId="77777777" w:rsidR="000F3ED6" w:rsidRDefault="000F3ED6">
            <w:r>
              <w:t>39</w:t>
            </w:r>
          </w:p>
        </w:tc>
        <w:tc>
          <w:tcPr>
            <w:tcW w:w="3234" w:type="dxa"/>
            <w:tcMar>
              <w:top w:w="15" w:type="dxa"/>
              <w:left w:w="15" w:type="dxa"/>
              <w:bottom w:w="15" w:type="dxa"/>
              <w:right w:w="15" w:type="dxa"/>
            </w:tcMar>
            <w:hideMark/>
          </w:tcPr>
          <w:p w14:paraId="79E888CF" w14:textId="77777777" w:rsidR="000F3ED6" w:rsidRDefault="000F3ED6">
            <w:r>
              <w:fldChar w:fldCharType="begin" w:fldLock="1"/>
            </w:r>
            <w:r>
              <w:instrText>ADDIN CSL_CITATION {"citationItems":[{"id":"ITEM-1","itemData":{"DOI":"10.1080/2331186X.2021.1964690","ISSN":"2331186X","abstract":"This study analyzes the integration of an educational technology platform and relates the difficulties faced amidst the Covid-19 pandemic. Initially, we sought to identify the chief barriers educators face when considering the adoption of Information and Communication Technology (ICT). Factors influencing primary and secondary education teachers’ (n = 15) and students’ (n = 335) perspectives on ICT integration for mathematics instruction were identified and analyzed from the perspective of different contexts (school vs home) and circumstances (in-person vs remote learning). Although we acknowledge the need for immediate decisions by educational stakeholders to facilitate online learning, our findings indicate the necessity of (a) careful examination of the features of potential platforms or tools and (b) a trial of such features prior to integration within an educational system. From an instructional design perspective, educational technologists should pay special attention to the degree of gamification, especially beyond the primary school level, as it may negatively impact incentives for student interaction and engagement. Where possible, the integration of technology should be driven by pedagogical goals and not technological pressures.","author":[{"dropping-particle":"","family":"Christopoulos","given":"Athanasios","non-dropping-particle":"","parse-names":false,"suffix":""},{"dropping-particle":"","family":"Sprangers","given":"Pieter","non-dropping-particle":"","parse-names":false,"suffix":""}],"container-title":"Cogent Education","id":"ITEM-1","issue":"1","issued":{"date-parts":[["2021"]]},"publisher":"Taylor and Francis Ltd.","title":"Integration of educational technology during the Covid-19 pandemic: An analysis of teacher and student receptions","type":"article-journal","volume":"8"},"uris":["http://www.mendeley.com/documents/?uuid=4115aa9f-b123-3a8f-8995-194567af82a2"]}],"mendeley":{"formattedCitation":"(Christopoulos &amp; Sprangers, 2021)","plainTextFormattedCitation":"(Christopoulos &amp; Sprangers, 2021)","previouslyFormattedCitation":"(Christopoulos &amp; Sprangers, 2021)"},"properties":{"noteIndex":0},"schema":"https://github.com/citation-style-language/schema/raw/master/csl-citation.json"}</w:instrText>
            </w:r>
            <w:r>
              <w:fldChar w:fldCharType="separate"/>
            </w:r>
            <w:r>
              <w:rPr>
                <w:noProof/>
              </w:rPr>
              <w:t>(Christopoulos &amp; Sprangers, 2021)</w:t>
            </w:r>
            <w:r>
              <w:fldChar w:fldCharType="end"/>
            </w:r>
          </w:p>
        </w:tc>
      </w:tr>
      <w:tr w:rsidR="000F3ED6" w14:paraId="52CE403C" w14:textId="77777777" w:rsidTr="000F3ED6">
        <w:trPr>
          <w:trHeight w:val="453"/>
          <w:jc w:val="center"/>
        </w:trPr>
        <w:tc>
          <w:tcPr>
            <w:tcW w:w="871" w:type="dxa"/>
            <w:tcMar>
              <w:top w:w="15" w:type="dxa"/>
              <w:left w:w="15" w:type="dxa"/>
              <w:bottom w:w="15" w:type="dxa"/>
              <w:right w:w="15" w:type="dxa"/>
            </w:tcMar>
            <w:hideMark/>
          </w:tcPr>
          <w:p w14:paraId="5D600AEC" w14:textId="77777777" w:rsidR="000F3ED6" w:rsidRDefault="000F3ED6">
            <w:r>
              <w:t>40</w:t>
            </w:r>
          </w:p>
        </w:tc>
        <w:tc>
          <w:tcPr>
            <w:tcW w:w="3234" w:type="dxa"/>
            <w:tcMar>
              <w:top w:w="15" w:type="dxa"/>
              <w:left w:w="15" w:type="dxa"/>
              <w:bottom w:w="15" w:type="dxa"/>
              <w:right w:w="15" w:type="dxa"/>
            </w:tcMar>
            <w:hideMark/>
          </w:tcPr>
          <w:p w14:paraId="488FE197" w14:textId="77777777" w:rsidR="000F3ED6" w:rsidRDefault="000F3ED6">
            <w:r>
              <w:fldChar w:fldCharType="begin" w:fldLock="1"/>
            </w:r>
            <w:r>
              <w:instrText>ADDIN CSL_CITATION {"citationItems":[{"id":"ITEM-1","itemData":{"DOI":"10.56028/aehssr.3.1.386","author":[{"dropping-particle":"","family":"Liu","given":"Dan","non-dropping-particle":"","parse-names":false,"suffix":""}],"id":"ITEM-1","issued":{"date-parts":[["2022"]]},"page":"386-392","title":"Research and Application of College English Education System Based on Speech Recognition Technology","type":"article-journal"},"uris":["http://www.mendeley.com/documents/?uuid=b561e728-9220-4aab-9440-0bdc8a27f226"]}],"mendeley":{"formattedCitation":"(D. Liu, 2022)","plainTextFormattedCitation":"(D. Liu, 2022)","previouslyFormattedCitation":"(D. Liu, 2022)"},"properties":{"noteIndex":0},"schema":"https://github.com/citation-style-language/schema/raw/master/csl-citation.json"}</w:instrText>
            </w:r>
            <w:r>
              <w:fldChar w:fldCharType="separate"/>
            </w:r>
            <w:r>
              <w:rPr>
                <w:noProof/>
              </w:rPr>
              <w:t>(D. Liu, 2022)</w:t>
            </w:r>
            <w:r>
              <w:fldChar w:fldCharType="end"/>
            </w:r>
          </w:p>
        </w:tc>
      </w:tr>
      <w:tr w:rsidR="000F3ED6" w14:paraId="47691931" w14:textId="77777777" w:rsidTr="000F3ED6">
        <w:trPr>
          <w:trHeight w:val="453"/>
          <w:jc w:val="center"/>
        </w:trPr>
        <w:tc>
          <w:tcPr>
            <w:tcW w:w="871" w:type="dxa"/>
            <w:tcBorders>
              <w:top w:val="nil"/>
              <w:left w:val="nil"/>
              <w:bottom w:val="single" w:sz="4" w:space="0" w:color="auto"/>
              <w:right w:val="nil"/>
            </w:tcBorders>
            <w:tcMar>
              <w:top w:w="15" w:type="dxa"/>
              <w:left w:w="15" w:type="dxa"/>
              <w:bottom w:w="15" w:type="dxa"/>
              <w:right w:w="15" w:type="dxa"/>
            </w:tcMar>
            <w:hideMark/>
          </w:tcPr>
          <w:p w14:paraId="4D832A98" w14:textId="77777777" w:rsidR="000F3ED6" w:rsidRDefault="000F3ED6">
            <w:r>
              <w:t>41</w:t>
            </w:r>
          </w:p>
        </w:tc>
        <w:tc>
          <w:tcPr>
            <w:tcW w:w="3234" w:type="dxa"/>
            <w:tcBorders>
              <w:top w:val="nil"/>
              <w:left w:val="nil"/>
              <w:bottom w:val="single" w:sz="4" w:space="0" w:color="auto"/>
              <w:right w:val="nil"/>
            </w:tcBorders>
            <w:tcMar>
              <w:top w:w="15" w:type="dxa"/>
              <w:left w:w="15" w:type="dxa"/>
              <w:bottom w:w="15" w:type="dxa"/>
              <w:right w:w="15" w:type="dxa"/>
            </w:tcMar>
            <w:hideMark/>
          </w:tcPr>
          <w:p w14:paraId="3C05D92B" w14:textId="77777777" w:rsidR="000F3ED6" w:rsidRDefault="000F3ED6">
            <w:r>
              <w:fldChar w:fldCharType="begin" w:fldLock="1"/>
            </w:r>
            <w:r>
              <w:instrText>ADDIN CSL_CITATION {"citationItems":[{"id":"ITEM-1","itemData":{"DOI":"10.1007/978-3-030-53743-2_3","ISSN":"19316836","abstract":"The discussion of the portfolio management problem in the previous chapter signified the need for new methodological decision support frameworks, in order to overcome the existing problems and cure the inadequacies of the conventional mean–variance model.","author":[{"dropping-particle":"","family":"Sarmas","given":"Elissaios","non-dropping-particle":"","parse-names":false,"suffix":""},{"dropping-particle":"","family":"Xidonas","given":"Panos","non-dropping-particle":"","parse-names":false,"suffix":""},{"dropping-particle":"","family":"Doukas","given":"Haris","non-dropping-particle":"","parse-names":false,"suffix":""}],"container-title":"Springer Optimization and Its Applications","id":"ITEM-1","issued":{"date-parts":[["2020"]]},"page":"19-34","title":"Multicriteria Decision Analysis Methods","type":"article-journal","volume":"163"},"uris":["http://www.mendeley.com/documents/?uuid=beb1e0df-f8c6-4893-9b54-d6583a8b7199"]}],"mendeley":{"formattedCitation":"(Sarmas et al., 2020)","plainTextFormattedCitation":"(Sarmas et al., 2020)","previouslyFormattedCitation":"(Sarmas et al., 2020)"},"properties":{"noteIndex":0},"schema":"https://github.com/citation-style-language/schema/raw/master/csl-citation.json"}</w:instrText>
            </w:r>
            <w:r>
              <w:fldChar w:fldCharType="separate"/>
            </w:r>
            <w:r>
              <w:rPr>
                <w:noProof/>
              </w:rPr>
              <w:t>(Sarmas et al., 2020)</w:t>
            </w:r>
            <w:r>
              <w:fldChar w:fldCharType="end"/>
            </w:r>
          </w:p>
        </w:tc>
      </w:tr>
    </w:tbl>
    <w:p w14:paraId="5BE9567C" w14:textId="4473BA2A" w:rsidR="000F3ED6" w:rsidRDefault="000F3ED6" w:rsidP="000F3ED6">
      <w:pPr>
        <w:ind w:firstLine="426"/>
        <w:jc w:val="center"/>
        <w:rPr>
          <w:rFonts w:ascii="Palatino Linotype" w:eastAsia="Times New Roman" w:hAnsi="Palatino Linotype" w:cs="Times New Roman"/>
          <w:snapToGrid w:val="0"/>
          <w:color w:val="000000"/>
          <w:sz w:val="20"/>
          <w:lang w:val="en-US" w:eastAsia="de-DE" w:bidi="en-US"/>
        </w:rPr>
      </w:pPr>
    </w:p>
    <w:p w14:paraId="26B9C436" w14:textId="106D52B5" w:rsidR="000F3ED6" w:rsidRDefault="007F0ADF" w:rsidP="007F0ADF">
      <w:pPr>
        <w:jc w:val="both"/>
        <w:rPr>
          <w:rFonts w:ascii="Palatino Linotype" w:eastAsia="Times New Roman" w:hAnsi="Palatino Linotype" w:cs="Times New Roman"/>
          <w:snapToGrid w:val="0"/>
          <w:color w:val="000000"/>
          <w:sz w:val="20"/>
          <w:lang w:val="en-US" w:eastAsia="de-DE" w:bidi="en-US"/>
        </w:rPr>
      </w:pPr>
      <w:r w:rsidRPr="007F0ADF">
        <w:rPr>
          <w:rFonts w:ascii="Palatino Linotype" w:eastAsia="Times New Roman" w:hAnsi="Palatino Linotype" w:cs="Times New Roman"/>
          <w:snapToGrid w:val="0"/>
          <w:color w:val="000000"/>
          <w:sz w:val="20"/>
          <w:lang w:val="en-US" w:eastAsia="de-DE" w:bidi="en-US"/>
        </w:rPr>
        <w:t>The first group, Artificial Intelligence Focus, includes 26 articles that directly discuss the role and application of AI within the context of education or learning systems</w:t>
      </w:r>
      <w:r>
        <w:rPr>
          <w:rFonts w:ascii="Palatino Linotype" w:eastAsia="Times New Roman" w:hAnsi="Palatino Linotype" w:cs="Times New Roman"/>
          <w:snapToGrid w:val="0"/>
          <w:color w:val="000000"/>
          <w:sz w:val="20"/>
          <w:lang w:val="en-US" w:eastAsia="de-DE" w:bidi="en-US"/>
        </w:rPr>
        <w:t xml:space="preserve"> </w:t>
      </w:r>
      <w:r w:rsidR="000F3ED6" w:rsidRPr="000F3ED6">
        <w:rPr>
          <w:rFonts w:ascii="Palatino Linotype" w:eastAsia="Times New Roman" w:hAnsi="Palatino Linotype" w:cs="Times New Roman"/>
          <w:snapToGrid w:val="0"/>
          <w:color w:val="000000"/>
          <w:sz w:val="20"/>
          <w:lang w:val="en-US" w:eastAsia="de-DE" w:bidi="en-US"/>
        </w:rPr>
        <w:t>(</w:t>
      </w:r>
      <w:proofErr w:type="spellStart"/>
      <w:r w:rsidR="000F3ED6" w:rsidRPr="000F3ED6">
        <w:rPr>
          <w:rFonts w:ascii="Palatino Linotype" w:eastAsia="Times New Roman" w:hAnsi="Palatino Linotype" w:cs="Times New Roman"/>
          <w:snapToGrid w:val="0"/>
          <w:color w:val="000000"/>
          <w:sz w:val="20"/>
          <w:lang w:val="en-US" w:eastAsia="de-DE" w:bidi="en-US"/>
        </w:rPr>
        <w:t>Dasgupta</w:t>
      </w:r>
      <w:proofErr w:type="spellEnd"/>
      <w:r w:rsidR="000F3ED6" w:rsidRPr="000F3ED6">
        <w:rPr>
          <w:rFonts w:ascii="Palatino Linotype" w:eastAsia="Times New Roman" w:hAnsi="Palatino Linotype" w:cs="Times New Roman"/>
          <w:snapToGrid w:val="0"/>
          <w:color w:val="000000"/>
          <w:sz w:val="20"/>
          <w:lang w:val="en-US" w:eastAsia="de-DE" w:bidi="en-US"/>
        </w:rPr>
        <w:t xml:space="preserve">, 2018). </w:t>
      </w:r>
      <w:r w:rsidRPr="007F0ADF">
        <w:rPr>
          <w:rFonts w:ascii="Palatino Linotype" w:eastAsia="Times New Roman" w:hAnsi="Palatino Linotype" w:cs="Times New Roman"/>
          <w:snapToGrid w:val="0"/>
          <w:color w:val="000000"/>
          <w:sz w:val="20"/>
          <w:lang w:val="en-US" w:eastAsia="de-DE" w:bidi="en-US"/>
        </w:rPr>
        <w:t>Articles in this group generally discuss technological approaches such as machine learning, recommendation systems, intelligent tutoring systems, and the implementation of AI for personalized learning. This reflects a strong interest from the academic community in the potential of AI as a transformative innovation in education, both from technical and pedagogical perspectives</w:t>
      </w:r>
      <w:r>
        <w:rPr>
          <w:rFonts w:ascii="Palatino Linotype" w:eastAsia="Times New Roman" w:hAnsi="Palatino Linotype" w:cs="Times New Roman"/>
          <w:snapToGrid w:val="0"/>
          <w:color w:val="000000"/>
          <w:sz w:val="20"/>
          <w:lang w:val="en-US" w:eastAsia="de-DE" w:bidi="en-US"/>
        </w:rPr>
        <w:t xml:space="preserve"> </w:t>
      </w:r>
      <w:r w:rsidR="000F3ED6" w:rsidRPr="000F3ED6">
        <w:rPr>
          <w:rFonts w:ascii="Palatino Linotype" w:eastAsia="Times New Roman" w:hAnsi="Palatino Linotype" w:cs="Times New Roman"/>
          <w:snapToGrid w:val="0"/>
          <w:color w:val="000000"/>
          <w:sz w:val="20"/>
          <w:lang w:val="en-US" w:eastAsia="de-DE" w:bidi="en-US"/>
        </w:rPr>
        <w:t>(Khalil et al., 2021).</w:t>
      </w:r>
    </w:p>
    <w:p w14:paraId="024A09A9" w14:textId="696BCD72" w:rsidR="000F3ED6" w:rsidRDefault="000F3ED6" w:rsidP="000F3ED6">
      <w:pPr>
        <w:ind w:firstLine="426"/>
        <w:jc w:val="both"/>
        <w:rPr>
          <w:rFonts w:ascii="Palatino Linotype" w:eastAsia="Times New Roman" w:hAnsi="Palatino Linotype" w:cs="Times New Roman"/>
          <w:snapToGrid w:val="0"/>
          <w:color w:val="000000"/>
          <w:sz w:val="20"/>
          <w:lang w:val="en-US" w:eastAsia="de-DE" w:bidi="en-US"/>
        </w:rPr>
      </w:pPr>
      <w:r>
        <w:rPr>
          <w:rFonts w:ascii="Palatino Linotype" w:eastAsia="Times New Roman" w:hAnsi="Palatino Linotype" w:cs="Times New Roman"/>
          <w:snapToGrid w:val="0"/>
          <w:color w:val="000000"/>
          <w:sz w:val="20"/>
          <w:lang w:val="en-US" w:eastAsia="de-DE" w:bidi="en-US"/>
        </w:rPr>
        <w:t xml:space="preserve"> </w:t>
      </w:r>
      <w:r w:rsidR="007F0ADF" w:rsidRPr="007F0ADF">
        <w:rPr>
          <w:rFonts w:ascii="Palatino Linotype" w:eastAsia="Times New Roman" w:hAnsi="Palatino Linotype" w:cs="Times New Roman"/>
          <w:snapToGrid w:val="0"/>
          <w:color w:val="000000"/>
          <w:sz w:val="20"/>
          <w:lang w:val="en-US" w:eastAsia="de-DE" w:bidi="en-US"/>
        </w:rPr>
        <w:t>The second group, TVET Focus, consists of 7 articles that specifically address issues in vocational education, including competency enhancement, vocational curriculum development, and 21st-century skills requirements within the vocational education environment</w:t>
      </w:r>
      <w:r w:rsidR="007F0ADF">
        <w:rPr>
          <w:rFonts w:ascii="Palatino Linotype" w:eastAsia="Times New Roman" w:hAnsi="Palatino Linotype" w:cs="Times New Roman"/>
          <w:snapToGrid w:val="0"/>
          <w:color w:val="000000"/>
          <w:sz w:val="20"/>
          <w:lang w:val="en-US" w:eastAsia="de-DE" w:bidi="en-US"/>
        </w:rPr>
        <w:t xml:space="preserve"> </w:t>
      </w:r>
      <w:r w:rsidRPr="000F3ED6">
        <w:rPr>
          <w:rFonts w:ascii="Palatino Linotype" w:eastAsia="Times New Roman" w:hAnsi="Palatino Linotype" w:cs="Times New Roman"/>
          <w:snapToGrid w:val="0"/>
          <w:color w:val="000000"/>
          <w:sz w:val="20"/>
          <w:lang w:val="en-US" w:eastAsia="de-DE" w:bidi="en-US"/>
        </w:rPr>
        <w:t>(</w:t>
      </w:r>
      <w:proofErr w:type="spellStart"/>
      <w:r w:rsidRPr="000F3ED6">
        <w:rPr>
          <w:rFonts w:ascii="Palatino Linotype" w:eastAsia="Times New Roman" w:hAnsi="Palatino Linotype" w:cs="Times New Roman"/>
          <w:snapToGrid w:val="0"/>
          <w:color w:val="000000"/>
          <w:sz w:val="20"/>
          <w:lang w:val="en-US" w:eastAsia="de-DE" w:bidi="en-US"/>
        </w:rPr>
        <w:t>Dyah</w:t>
      </w:r>
      <w:proofErr w:type="spellEnd"/>
      <w:r w:rsidRPr="000F3ED6">
        <w:rPr>
          <w:rFonts w:ascii="Palatino Linotype" w:eastAsia="Times New Roman" w:hAnsi="Palatino Linotype" w:cs="Times New Roman"/>
          <w:snapToGrid w:val="0"/>
          <w:color w:val="000000"/>
          <w:sz w:val="20"/>
          <w:lang w:val="en-US" w:eastAsia="de-DE" w:bidi="en-US"/>
        </w:rPr>
        <w:t xml:space="preserve"> et al., 2022). </w:t>
      </w:r>
      <w:r w:rsidR="007F0ADF" w:rsidRPr="007F0ADF">
        <w:rPr>
          <w:rFonts w:ascii="Palatino Linotype" w:eastAsia="Times New Roman" w:hAnsi="Palatino Linotype" w:cs="Times New Roman"/>
          <w:snapToGrid w:val="0"/>
          <w:color w:val="000000"/>
          <w:sz w:val="20"/>
          <w:lang w:val="en-US" w:eastAsia="de-DE" w:bidi="en-US"/>
        </w:rPr>
        <w:t xml:space="preserve">These articles provide an important contextual foundation regarding the challenges and opportunities within the vocational education system, which serves as the primary setting for the implementation of AI-based adaptive learning models </w:t>
      </w:r>
      <w:r w:rsidRPr="000F3ED6">
        <w:rPr>
          <w:rFonts w:ascii="Palatino Linotype" w:eastAsia="Times New Roman" w:hAnsi="Palatino Linotype" w:cs="Times New Roman"/>
          <w:snapToGrid w:val="0"/>
          <w:color w:val="000000"/>
          <w:sz w:val="20"/>
          <w:lang w:val="en-US" w:eastAsia="de-DE" w:bidi="en-US"/>
        </w:rPr>
        <w:t>(Maier et al., 2019).</w:t>
      </w:r>
    </w:p>
    <w:p w14:paraId="16A55D7C" w14:textId="77777777" w:rsidR="007F0ADF" w:rsidRDefault="007F0ADF" w:rsidP="007F0ADF">
      <w:pPr>
        <w:ind w:firstLine="426"/>
        <w:jc w:val="both"/>
        <w:rPr>
          <w:rFonts w:ascii="Palatino Linotype" w:eastAsia="Times New Roman" w:hAnsi="Palatino Linotype" w:cs="Times New Roman"/>
          <w:snapToGrid w:val="0"/>
          <w:color w:val="000000"/>
          <w:sz w:val="20"/>
          <w:lang w:val="en-US" w:eastAsia="de-DE" w:bidi="en-US"/>
        </w:rPr>
      </w:pPr>
      <w:r w:rsidRPr="007F0ADF">
        <w:rPr>
          <w:rFonts w:ascii="Palatino Linotype" w:eastAsia="Times New Roman" w:hAnsi="Palatino Linotype" w:cs="Times New Roman"/>
          <w:snapToGrid w:val="0"/>
          <w:color w:val="000000"/>
          <w:sz w:val="20"/>
          <w:lang w:val="en-US" w:eastAsia="de-DE" w:bidi="en-US"/>
        </w:rPr>
        <w:t xml:space="preserve">The third group, Adaptive Learning, Integration, and Framework Focus, consists of 8 articles that examine how adaptive learning systems are designed and integrated into education, whether through pedagogical approaches, conceptual frameworks, or meta-analyses on the effectiveness of adaptive strategies in the learning process </w:t>
      </w:r>
      <w:r w:rsidR="000F3ED6" w:rsidRPr="000F3ED6">
        <w:rPr>
          <w:rFonts w:ascii="Palatino Linotype" w:eastAsia="Times New Roman" w:hAnsi="Palatino Linotype" w:cs="Times New Roman"/>
          <w:snapToGrid w:val="0"/>
          <w:color w:val="000000"/>
          <w:sz w:val="20"/>
          <w:lang w:val="en-US" w:eastAsia="de-DE" w:bidi="en-US"/>
        </w:rPr>
        <w:t>(</w:t>
      </w:r>
      <w:proofErr w:type="spellStart"/>
      <w:r w:rsidR="000F3ED6" w:rsidRPr="000F3ED6">
        <w:rPr>
          <w:rFonts w:ascii="Palatino Linotype" w:eastAsia="Times New Roman" w:hAnsi="Palatino Linotype" w:cs="Times New Roman"/>
          <w:snapToGrid w:val="0"/>
          <w:color w:val="000000"/>
          <w:sz w:val="20"/>
          <w:lang w:val="en-US" w:eastAsia="de-DE" w:bidi="en-US"/>
        </w:rPr>
        <w:t>Sarmas</w:t>
      </w:r>
      <w:proofErr w:type="spellEnd"/>
      <w:r w:rsidR="000F3ED6" w:rsidRPr="000F3ED6">
        <w:rPr>
          <w:rFonts w:ascii="Palatino Linotype" w:eastAsia="Times New Roman" w:hAnsi="Palatino Linotype" w:cs="Times New Roman"/>
          <w:snapToGrid w:val="0"/>
          <w:color w:val="000000"/>
          <w:sz w:val="20"/>
          <w:lang w:val="en-US" w:eastAsia="de-DE" w:bidi="en-US"/>
        </w:rPr>
        <w:t xml:space="preserve"> et al., 2020). </w:t>
      </w:r>
      <w:r w:rsidRPr="007F0ADF">
        <w:rPr>
          <w:rFonts w:ascii="Palatino Linotype" w:eastAsia="Times New Roman" w:hAnsi="Palatino Linotype" w:cs="Times New Roman"/>
          <w:snapToGrid w:val="0"/>
          <w:color w:val="000000"/>
          <w:sz w:val="20"/>
          <w:lang w:val="en-US" w:eastAsia="de-DE" w:bidi="en-US"/>
        </w:rPr>
        <w:t xml:space="preserve">Some articles in this group also bridge the utilization of technology with data-driven educational approaches </w:t>
      </w:r>
      <w:r w:rsidR="000F3ED6" w:rsidRPr="000F3ED6">
        <w:rPr>
          <w:rFonts w:ascii="Palatino Linotype" w:eastAsia="Times New Roman" w:hAnsi="Palatino Linotype" w:cs="Times New Roman"/>
          <w:snapToGrid w:val="0"/>
          <w:color w:val="000000"/>
          <w:sz w:val="20"/>
          <w:lang w:val="en-US" w:eastAsia="de-DE" w:bidi="en-US"/>
        </w:rPr>
        <w:t>(Gleason, 2018).</w:t>
      </w:r>
    </w:p>
    <w:p w14:paraId="11FCCCCA" w14:textId="61002800" w:rsidR="005160E4" w:rsidRPr="007F0ADF" w:rsidRDefault="007F0ADF" w:rsidP="007F0ADF">
      <w:pPr>
        <w:ind w:firstLine="426"/>
        <w:jc w:val="both"/>
        <w:rPr>
          <w:rFonts w:ascii="Palatino Linotype" w:eastAsia="Times New Roman" w:hAnsi="Palatino Linotype" w:cs="Times New Roman"/>
          <w:snapToGrid w:val="0"/>
          <w:color w:val="000000"/>
          <w:sz w:val="20"/>
          <w:szCs w:val="20"/>
          <w:lang w:val="en-US" w:eastAsia="de-DE" w:bidi="en-US"/>
        </w:rPr>
      </w:pPr>
      <w:r w:rsidRPr="007F0ADF">
        <w:rPr>
          <w:rFonts w:ascii="Palatino Linotype" w:hAnsi="Palatino Linotype"/>
          <w:sz w:val="20"/>
          <w:szCs w:val="20"/>
        </w:rPr>
        <w:t>The results of this classification indicate that the majority of the literature (more than half) remains concentrated on the technological aspects of AI, while discussions integrating adaptive approaches within the vocational education framework are still evolving. This presents further opportunities for exploration in combining AI, adaptive pedagogical approaches, and learning practices within the vocational education context in a more comprehensive and contextualized manner.</w:t>
      </w:r>
    </w:p>
    <w:p w14:paraId="78B165D7" w14:textId="77777777" w:rsidR="005B5AEC" w:rsidRPr="00723B12" w:rsidRDefault="005B5AEC" w:rsidP="002A02C2">
      <w:pPr>
        <w:pStyle w:val="Alishlah21heading1"/>
        <w:rPr>
          <w:rFonts w:eastAsia="Arial"/>
        </w:rPr>
      </w:pPr>
      <w:r w:rsidRPr="00723B12">
        <w:rPr>
          <w:rFonts w:eastAsia="Arial"/>
        </w:rPr>
        <w:t xml:space="preserve">CONCLUSION </w:t>
      </w:r>
    </w:p>
    <w:p w14:paraId="423F7504" w14:textId="77777777" w:rsidR="007F0ADF" w:rsidRDefault="007F0ADF" w:rsidP="007F0ADF">
      <w:pPr>
        <w:pStyle w:val="Alishlah62Acknowledgments"/>
        <w:ind w:firstLine="426"/>
        <w:rPr>
          <w:sz w:val="20"/>
          <w:szCs w:val="22"/>
        </w:rPr>
      </w:pPr>
      <w:r w:rsidRPr="007F0ADF">
        <w:rPr>
          <w:sz w:val="20"/>
          <w:szCs w:val="22"/>
        </w:rPr>
        <w:t xml:space="preserve">The </w:t>
      </w:r>
      <w:proofErr w:type="spellStart"/>
      <w:r w:rsidRPr="007F0ADF">
        <w:rPr>
          <w:sz w:val="20"/>
          <w:szCs w:val="22"/>
        </w:rPr>
        <w:t>bibliometric</w:t>
      </w:r>
      <w:proofErr w:type="spellEnd"/>
      <w:r w:rsidRPr="007F0ADF">
        <w:rPr>
          <w:sz w:val="20"/>
          <w:szCs w:val="22"/>
        </w:rPr>
        <w:t xml:space="preserve"> and PRISMA-based meta-analysis of 41 articles reveal that the topic of AI-assisted adaptive learning in vocational education has garnered increasing attention from the academic community, particularly since 2020. Publication distribution is dominated by developed countries such as the United States, India, and the United Kingdom, highlighting their central role in advancing educational technology. </w:t>
      </w:r>
      <w:proofErr w:type="spellStart"/>
      <w:r w:rsidRPr="007F0ADF">
        <w:rPr>
          <w:sz w:val="20"/>
          <w:szCs w:val="22"/>
        </w:rPr>
        <w:t>Bibliometric</w:t>
      </w:r>
      <w:proofErr w:type="spellEnd"/>
      <w:r w:rsidRPr="007F0ADF">
        <w:rPr>
          <w:sz w:val="20"/>
          <w:szCs w:val="22"/>
        </w:rPr>
        <w:t xml:space="preserve"> visualizations show that keywords like “learning,” “adaptive learning,” and “artificial intelligence” serve as the core of the literature network, with strong sub-clusters related to pedagogy, learning motivation, and technology integration.</w:t>
      </w:r>
    </w:p>
    <w:p w14:paraId="69F5045B" w14:textId="1778F75E" w:rsidR="007F0ADF" w:rsidRDefault="007F0ADF" w:rsidP="007F0ADF">
      <w:pPr>
        <w:pStyle w:val="Alishlah62Acknowledgments"/>
        <w:ind w:firstLine="426"/>
      </w:pPr>
      <w:r w:rsidRPr="007F0ADF">
        <w:t xml:space="preserve">The thematic classification indicates that the majority of articles focus on AI technology, followed by issues within TVET and the integration of adaptive learning within the educational framework. Although there is </w:t>
      </w:r>
      <w:r w:rsidRPr="007F0ADF">
        <w:lastRenderedPageBreak/>
        <w:t>strong attention to technological aspects, more in-depth research is needed to bridge the gap between technological innovation and the contextual needs of vocational education. This study emphasizes that the utilization of AI in adaptive learning is not merely a technical innovation but also a transformational strategy to address the challenges of 21st-century education. Therefore, future research should be directed towards developing learning models that are personalized, inclusive, and responsive to the evolving needs of both industry and vocational learners.</w:t>
      </w:r>
    </w:p>
    <w:p w14:paraId="16B68D9E" w14:textId="7463B046" w:rsidR="007F0ADF" w:rsidRDefault="007F0ADF" w:rsidP="007F0ADF">
      <w:pPr>
        <w:pStyle w:val="Alishlah62Acknowledgments"/>
        <w:ind w:firstLine="426"/>
      </w:pPr>
    </w:p>
    <w:p w14:paraId="2F6E7161" w14:textId="3B006B22" w:rsidR="007F0ADF" w:rsidRDefault="007F0ADF" w:rsidP="007F0ADF">
      <w:pPr>
        <w:pStyle w:val="Alishlah62Acknowledgments"/>
        <w:ind w:firstLine="426"/>
      </w:pPr>
    </w:p>
    <w:p w14:paraId="1A1AC97A" w14:textId="77777777" w:rsidR="007F0ADF" w:rsidRPr="007F0ADF" w:rsidRDefault="007F0ADF" w:rsidP="007F0ADF">
      <w:pPr>
        <w:pStyle w:val="Alishlah62Acknowledgments"/>
        <w:ind w:firstLine="426"/>
        <w:rPr>
          <w:sz w:val="20"/>
          <w:szCs w:val="22"/>
        </w:rPr>
      </w:pPr>
    </w:p>
    <w:p w14:paraId="28D8521E" w14:textId="087775F6" w:rsidR="005B5AEC" w:rsidRDefault="005B5AEC" w:rsidP="002A02C2">
      <w:pPr>
        <w:pStyle w:val="Alishlah21heading1"/>
        <w:numPr>
          <w:ilvl w:val="0"/>
          <w:numId w:val="0"/>
        </w:numPr>
        <w:rPr>
          <w:rFonts w:eastAsia="Arial"/>
        </w:rPr>
      </w:pPr>
      <w:r w:rsidRPr="00723B12">
        <w:rPr>
          <w:rFonts w:eastAsia="Arial"/>
        </w:rPr>
        <w:t>REFERENCES</w:t>
      </w:r>
    </w:p>
    <w:p w14:paraId="352F00B4" w14:textId="23524A52" w:rsidR="00143989" w:rsidRDefault="000F3ED6" w:rsidP="000F3ED6">
      <w:pPr>
        <w:pStyle w:val="Alishlah71References"/>
      </w:pPr>
      <w:r w:rsidRPr="000F3ED6">
        <w:t>Adnan, M., &amp; Anwar, K. (2020). Online learning amid the COVID-19 pandemic</w:t>
      </w:r>
      <w:r w:rsidRPr="000F3ED6">
        <w:rPr>
          <w:rFonts w:ascii="Times New Roman" w:hAnsi="Times New Roman"/>
        </w:rPr>
        <w:t> </w:t>
      </w:r>
      <w:r w:rsidRPr="000F3ED6">
        <w:t xml:space="preserve">: Students </w:t>
      </w:r>
      <w:r w:rsidRPr="000F3ED6">
        <w:rPr>
          <w:rFonts w:cs="Palatino Linotype"/>
        </w:rPr>
        <w:t>’</w:t>
      </w:r>
      <w:r w:rsidRPr="000F3ED6">
        <w:t xml:space="preserve"> perspectives. 2(1), 2</w:t>
      </w:r>
      <w:r w:rsidRPr="000F3ED6">
        <w:rPr>
          <w:rFonts w:cs="Palatino Linotype"/>
        </w:rPr>
        <w:t>–</w:t>
      </w:r>
      <w:r w:rsidRPr="000F3ED6">
        <w:t>8.</w:t>
      </w:r>
    </w:p>
    <w:p w14:paraId="4F747C6B" w14:textId="77777777" w:rsidR="000F3ED6" w:rsidRDefault="000F3ED6" w:rsidP="000F3ED6">
      <w:pPr>
        <w:pStyle w:val="Alishlah71References"/>
      </w:pPr>
      <w:r>
        <w:t>Adnan, M., &amp; Anwar, K. (2020). Online learning amid the COVID-19 pandemic</w:t>
      </w:r>
      <w:r>
        <w:rPr>
          <w:rFonts w:ascii="Times New Roman" w:hAnsi="Times New Roman"/>
        </w:rPr>
        <w:t> </w:t>
      </w:r>
      <w:r>
        <w:t xml:space="preserve">: Students </w:t>
      </w:r>
      <w:r>
        <w:rPr>
          <w:rFonts w:cs="Palatino Linotype"/>
        </w:rPr>
        <w:t>’</w:t>
      </w:r>
      <w:r>
        <w:t xml:space="preserve"> perspectives. 2(1), 2</w:t>
      </w:r>
      <w:r>
        <w:rPr>
          <w:rFonts w:cs="Palatino Linotype"/>
        </w:rPr>
        <w:t>–</w:t>
      </w:r>
      <w:r>
        <w:t>8.</w:t>
      </w:r>
    </w:p>
    <w:p w14:paraId="42D5F36E" w14:textId="77777777" w:rsidR="000F3ED6" w:rsidRDefault="000F3ED6" w:rsidP="000F3ED6">
      <w:pPr>
        <w:pStyle w:val="Alishlah71References"/>
      </w:pPr>
      <w:r>
        <w:t>Agustini, K., Saindra, G., Sugihartini, N., &amp; Indrawan, G. (2018). Subject for Vocational Student. 201(Aptekindo), 177–182.</w:t>
      </w:r>
    </w:p>
    <w:p w14:paraId="24E8A5A5" w14:textId="77777777" w:rsidR="000F3ED6" w:rsidRDefault="000F3ED6" w:rsidP="000F3ED6">
      <w:pPr>
        <w:pStyle w:val="Alishlah71References"/>
      </w:pPr>
      <w:r>
        <w:t>Alfiah, F., Adnandi, M. A., &amp; ... (2019). Expert System To Identify Students Behavior and Personality in Smk Negeri 2 Tangerang. Jurnal Techno Nusa …, 16(2), 85–92. http://ejournal.nusamandiri.ac.id/index.php/techno/article/view/379</w:t>
      </w:r>
    </w:p>
    <w:p w14:paraId="0C2766E3" w14:textId="77777777" w:rsidR="000F3ED6" w:rsidRDefault="000F3ED6" w:rsidP="000F3ED6">
      <w:pPr>
        <w:pStyle w:val="Alishlah71References"/>
      </w:pPr>
      <w:r>
        <w:t>Anwar, M. (2021a). Designing an expert system for determining student learning styles using forward chaining in engineering education. Jurnal Konseling dan Pendidikan, 9(1), 93. https://doi.org/10.29210/159000</w:t>
      </w:r>
    </w:p>
    <w:p w14:paraId="5EA2D1ED" w14:textId="77777777" w:rsidR="000F3ED6" w:rsidRDefault="000F3ED6" w:rsidP="000F3ED6">
      <w:pPr>
        <w:pStyle w:val="Alishlah71References"/>
      </w:pPr>
      <w:r>
        <w:t>Anwar, M. (2021b). Prediction of the graduation rate of engineering education students using Artificial Neural Network Algorithms. International Journal of Research in Counseling and Education, 5(1), 15. https://doi.org/10.24036/00411za0002</w:t>
      </w:r>
    </w:p>
    <w:p w14:paraId="275C6B88" w14:textId="77777777" w:rsidR="000F3ED6" w:rsidRDefault="000F3ED6" w:rsidP="000F3ED6">
      <w:pPr>
        <w:pStyle w:val="Alishlah71References"/>
      </w:pPr>
      <w:r>
        <w:t>Ayca, C., &amp; Hasan, K. (2017). An application of fuzzy analytic hierarchy process (FAHP) for evaluating students project. Educational Research and Reviews, 12(3), 120–132. https://doi.org/10.5897/err2016.3065</w:t>
      </w:r>
    </w:p>
    <w:p w14:paraId="1F96129B" w14:textId="77777777" w:rsidR="000F3ED6" w:rsidRDefault="000F3ED6" w:rsidP="000F3ED6">
      <w:pPr>
        <w:pStyle w:val="Alishlah71References"/>
      </w:pPr>
      <w:r>
        <w:t>Callejas, Z., Albacete-maza, J., &amp; Fern, A. (2023). Exploring folk songs to educate for resilience. 31(3), 133–146. https://doi.org/10.1108/OTH-10-2022-0064</w:t>
      </w:r>
    </w:p>
    <w:p w14:paraId="5B5481C0" w14:textId="77777777" w:rsidR="000F3ED6" w:rsidRDefault="000F3ED6" w:rsidP="000F3ED6">
      <w:pPr>
        <w:pStyle w:val="Alishlah71References"/>
      </w:pPr>
      <w:r>
        <w:t>Carolus, A., Augustin, Y., &amp; Wienrich, C. (2023). Computers and Education</w:t>
      </w:r>
      <w:r>
        <w:rPr>
          <w:rFonts w:ascii="Times New Roman" w:hAnsi="Times New Roman"/>
        </w:rPr>
        <w:t> </w:t>
      </w:r>
      <w:r>
        <w:t xml:space="preserve">: Artificial Intelligence Digital interaction literacy model </w:t>
      </w:r>
      <w:r>
        <w:rPr>
          <w:rFonts w:cs="Palatino Linotype"/>
        </w:rPr>
        <w:t>–</w:t>
      </w:r>
      <w:r>
        <w:t xml:space="preserve"> Conceptualizing competencies for literate interactions with voice-based AI systems. 4(November 2022). https://doi.org/10.1016/j.caeai.2022.100114</w:t>
      </w:r>
    </w:p>
    <w:p w14:paraId="54027A7D" w14:textId="77777777" w:rsidR="000F3ED6" w:rsidRDefault="000F3ED6" w:rsidP="000F3ED6">
      <w:pPr>
        <w:pStyle w:val="Alishlah71References"/>
      </w:pPr>
      <w:r>
        <w:t>Castro, R. (2019). Blended learning in higher education: Trends and capabilities. Education and Information Technologies, 24(4), 2523–2546. https://doi.org/10.1007/s10639-019-09886-3</w:t>
      </w:r>
    </w:p>
    <w:p w14:paraId="7E220225" w14:textId="77777777" w:rsidR="000F3ED6" w:rsidRDefault="000F3ED6" w:rsidP="000F3ED6">
      <w:pPr>
        <w:pStyle w:val="Alishlah71References"/>
      </w:pPr>
      <w:r>
        <w:t>Choy, M. W., &amp; Yeung, A. S. (2022). Cognitive and affective academic self-concepts: Which predicts vocational education students’ career choice? International Journal of Educational Research Open, 3(January), 100123. https://doi.org/10.1016/j.ijedro.2022.100123</w:t>
      </w:r>
    </w:p>
    <w:p w14:paraId="79B9457E" w14:textId="77777777" w:rsidR="000F3ED6" w:rsidRDefault="000F3ED6" w:rsidP="000F3ED6">
      <w:pPr>
        <w:pStyle w:val="Alishlah71References"/>
      </w:pPr>
      <w:r>
        <w:t>Christopoulos, A., &amp; Sprangers, P. (2021). Integration of educational technology during the Covid-19 pandemic: An analysis of teacher and student receptions. Cogent Education, 8(1). https://doi.org/10.1080/2331186X.2021.1964690</w:t>
      </w:r>
    </w:p>
    <w:p w14:paraId="53ABDCF2" w14:textId="77777777" w:rsidR="000F3ED6" w:rsidRDefault="000F3ED6" w:rsidP="000F3ED6">
      <w:pPr>
        <w:pStyle w:val="Alishlah71References"/>
      </w:pPr>
      <w:r>
        <w:t>Dasgupta, P. B. (2018). Detection and Analysis of Human Emotions through Voice and Speech Pattern Processing. October, 2–5. https://doi.org/10.14445/22312803/IJCTT-V52P101</w:t>
      </w:r>
    </w:p>
    <w:p w14:paraId="03481898" w14:textId="77777777" w:rsidR="000F3ED6" w:rsidRDefault="000F3ED6" w:rsidP="000F3ED6">
      <w:pPr>
        <w:pStyle w:val="Alishlah71References"/>
      </w:pPr>
      <w:r>
        <w:t>Debnath, S., &amp; Roy, P. (2021). Audio-Visual Automatic Speech Recognition Using PZM , MFCC and Statistical Analysis. 121–133. https://doi.org/10.9781/ijimai.2021.09.001</w:t>
      </w:r>
    </w:p>
    <w:p w14:paraId="7FE4292D" w14:textId="77777777" w:rsidR="000F3ED6" w:rsidRDefault="000F3ED6" w:rsidP="000F3ED6">
      <w:pPr>
        <w:pStyle w:val="Alishlah71References"/>
      </w:pPr>
      <w:r>
        <w:t>Dharma, A. S., Tampubolon, L. A., &amp; Purba, D. S. (2020). Drug Stock Prediction at Balige HKBP Hospital Using Adaptive Neuro-Fuzzy Inference System. SinkrOn, 5(1), 26–34. https://doi.org/10.33395/sinkron.v5i1.10529</w:t>
      </w:r>
    </w:p>
    <w:p w14:paraId="6F0C98C3" w14:textId="77777777" w:rsidR="000F3ED6" w:rsidRDefault="000F3ED6" w:rsidP="000F3ED6">
      <w:pPr>
        <w:pStyle w:val="Alishlah71References"/>
      </w:pPr>
      <w:r>
        <w:lastRenderedPageBreak/>
        <w:t>Dyah, C., Indrawati, S., Ninghardjanti, P., Huda, C., &amp; Dirgatama, A. (2022). The effect of practicum learning based audiovisual on students ’ learning outcomes in Indonesian vocational secondary school. 11(1), 403–408. https://doi.org/10.11591/ijere.v11i1.21762</w:t>
      </w:r>
    </w:p>
    <w:p w14:paraId="514D5385" w14:textId="77777777" w:rsidR="000F3ED6" w:rsidRDefault="000F3ED6" w:rsidP="000F3ED6">
      <w:pPr>
        <w:pStyle w:val="Alishlah71References"/>
      </w:pPr>
      <w:r>
        <w:t>Firzatullah, R. M. (2021). Menggunakan Sistem Pendukung Keputusan Penentuan Uang Kuliah Tunggal Universitas XYZ Menggunakan Algoritma Backpropagation. Petir, 14(2), 170–180. https://doi.org/10.33322/petir.v14i2.996</w:t>
      </w:r>
    </w:p>
    <w:p w14:paraId="1E89F7B3" w14:textId="77777777" w:rsidR="000F3ED6" w:rsidRDefault="000F3ED6" w:rsidP="000F3ED6">
      <w:pPr>
        <w:pStyle w:val="Alishlah71References"/>
      </w:pPr>
      <w:r>
        <w:t>Fricticarani, A., Hayati, A., Hoirunisa, I., Rosdalina, G. M., &amp; Bangsa, U. B. (2023). Strategi pendidikan untuk sukses di era teknologi 5.0. 4(1), 56–68.</w:t>
      </w:r>
    </w:p>
    <w:p w14:paraId="2DF05476" w14:textId="77777777" w:rsidR="000F3ED6" w:rsidRDefault="000F3ED6" w:rsidP="000F3ED6">
      <w:pPr>
        <w:pStyle w:val="Alishlah71References"/>
      </w:pPr>
      <w:r>
        <w:t>Ghufron, M. . (2018). Revolusi Industri 4.0: Tantangan, Peluang, Dan Solusi Bagi Dunia Pendidikan. Seminar Nasional dan Diskusi Panel Multidisiplin Hasil Penelitian dan Pengabdian Kepada Masyarakat 2018, 1(1), 332–337.</w:t>
      </w:r>
    </w:p>
    <w:p w14:paraId="77E502D0" w14:textId="77777777" w:rsidR="000F3ED6" w:rsidRDefault="000F3ED6" w:rsidP="000F3ED6">
      <w:pPr>
        <w:pStyle w:val="Alishlah71References"/>
      </w:pPr>
      <w:r>
        <w:t>Gleason, N. W. (2018). Higher Education in the Era of the Fourth Industrial Revolution. In Higher Education in the Era of the Fourth Industrial Revolution. https://doi.org/10.1007/978-981-13-0194-0</w:t>
      </w:r>
    </w:p>
    <w:p w14:paraId="27A9DE80" w14:textId="77777777" w:rsidR="000F3ED6" w:rsidRDefault="000F3ED6" w:rsidP="000F3ED6">
      <w:pPr>
        <w:pStyle w:val="Alishlah71References"/>
      </w:pPr>
      <w:r>
        <w:t>Hattie, J., &amp; Gregory, D. (2018). A model of learning: optimizing the effectiveness of learning strategies. In Contemporary theories of learning: Learning theorists ... in their own words.</w:t>
      </w:r>
    </w:p>
    <w:p w14:paraId="3AC98E92" w14:textId="77777777" w:rsidR="000F3ED6" w:rsidRDefault="000F3ED6" w:rsidP="000F3ED6">
      <w:pPr>
        <w:pStyle w:val="Alishlah71References"/>
      </w:pPr>
      <w:r>
        <w:t>Hidayat, H., Tasrif, E., Jaya, P., Anwar, M., Thamrin, Zulwisli, Hadi, A., Budayawan, K., Husin, M., &amp; Asmara, D. (2021). The Empirical Analysis of Industrial Work Challenges in the Industrial Revolution 5.0 Towards a Grade Point Average (GPA) for Electronic Engineering Education Students. International journal of online and biomedical engineering, 17(9), 21–34. https://doi.org/10.3991/ijoe.v17i09.25679</w:t>
      </w:r>
    </w:p>
    <w:p w14:paraId="616F481C" w14:textId="77777777" w:rsidR="000F3ED6" w:rsidRDefault="000F3ED6" w:rsidP="000F3ED6">
      <w:pPr>
        <w:pStyle w:val="Alishlah71References"/>
      </w:pPr>
      <w:r>
        <w:t>Jalinus, N., Verawardina, U., Azis Nabawi, R., Darma, Y., Padang, N., Hamka, J., &amp; Tawar Barat, A. (2021). Developing Blended Learning Model in Vocational Education Based On 21st Century Integrated Learning and Industrial Revolution 4.0. Turkish Journal of Computer and Mathematics Education, 12(9), 1276–1291.</w:t>
      </w:r>
    </w:p>
    <w:p w14:paraId="052E488C" w14:textId="77777777" w:rsidR="000F3ED6" w:rsidRDefault="000F3ED6" w:rsidP="000F3ED6">
      <w:pPr>
        <w:pStyle w:val="Alishlah71References"/>
      </w:pPr>
      <w:r>
        <w:t>Kesuma, C., Kholifah, D. N., Hendrik Sitorus, J. P., Magdalena Sipahutar, V., Nuraini, N., Ahmad, I., Fadlan Nur, A., Ward, P. T., Herlambang, B. A., Setyawati, V. A. V., Kazi, Z., Kazi, L., Lalima, D., Lata Dangwal, K., Rasyid, M., Azis, A. A., Saleh, A. R., Amani, J., Hoang Tien GAIE, N., … Zimermann, K. F. (2022). Sistem Informasi Buku Induk Siswa SMK Negeri 1 Siantar berbasis Web. Jurnal Pendidikan Biologi, 5(1), 53–64. https://doi.org/10.1080/00074918.2020.1854079</w:t>
      </w:r>
    </w:p>
    <w:p w14:paraId="5BA1C553" w14:textId="77777777" w:rsidR="000F3ED6" w:rsidRDefault="000F3ED6" w:rsidP="000F3ED6">
      <w:pPr>
        <w:pStyle w:val="Alishlah71References"/>
      </w:pPr>
      <w:r>
        <w:t>Khalil, S., Hassan, A., Alaskar, H., Khan, W., &amp; Hussain, A. (2021). Fuzzy logical algebra and study of the effectiveness of medications for COVID-19. Mathematics, 9(22), 1–12. https://doi.org/10.3390/math9222838</w:t>
      </w:r>
    </w:p>
    <w:p w14:paraId="681BF045" w14:textId="77777777" w:rsidR="000F3ED6" w:rsidRDefault="000F3ED6" w:rsidP="000F3ED6">
      <w:pPr>
        <w:pStyle w:val="Alishlah71References"/>
      </w:pPr>
      <w:r>
        <w:t>Kusumawati, R. (2018). Kecerdasan Buatan Manusia (Artificial Intelligence); Teknologi Impian Masa Depan. ULUL ALBAB Jurnal Studi Islam, 9(2), 257–274. https://doi.org/10.18860/ua.v9i2.6218</w:t>
      </w:r>
    </w:p>
    <w:p w14:paraId="12DD6F38" w14:textId="77777777" w:rsidR="000F3ED6" w:rsidRDefault="000F3ED6" w:rsidP="000F3ED6">
      <w:pPr>
        <w:pStyle w:val="Alishlah71References"/>
      </w:pPr>
      <w:r>
        <w:t>Liu, D. (2022). Research and Application of College English Education System Based on Speech Recognition Technology. 386–392. https://doi.org/10.56028/aehssr.3.1.386</w:t>
      </w:r>
    </w:p>
    <w:p w14:paraId="54007D40" w14:textId="77777777" w:rsidR="000F3ED6" w:rsidRDefault="000F3ED6" w:rsidP="000F3ED6">
      <w:pPr>
        <w:pStyle w:val="Alishlah71References"/>
      </w:pPr>
      <w:r>
        <w:t>Liu, J., Zheng, Y., Zhou, L., Jin, F., &amp; Chen, H. (2021). Engineering Applications of Artificial Intelligence A novel probabilistic linguistic decision-making method with consistency improvement algorithm and DEA cross-efficiency. Engineering Applications of Artificial Intelligence, 99(111), 104108. https://doi.org/10.1016/j.engappai.2020.104108</w:t>
      </w:r>
    </w:p>
    <w:p w14:paraId="31D1EC26" w14:textId="77777777" w:rsidR="000F3ED6" w:rsidRDefault="000F3ED6" w:rsidP="000F3ED6">
      <w:pPr>
        <w:pStyle w:val="Alishlah71References"/>
      </w:pPr>
      <w:r>
        <w:t>Ma, Z. M., &amp; Xu, Z. S. (2020). Computation of generalized linguistic term sets based on fuzzy logical algebras for multi-attribute decision making. Granular Computing, 5(1), 17–28. https://doi.org/10.1007/s41066-019-00199-x</w:t>
      </w:r>
    </w:p>
    <w:p w14:paraId="5D5D36DC" w14:textId="77777777" w:rsidR="000F3ED6" w:rsidRDefault="000F3ED6" w:rsidP="000F3ED6">
      <w:pPr>
        <w:pStyle w:val="Alishlah71References"/>
      </w:pPr>
      <w:r>
        <w:t>Maier, M., Carlotto, H., Sanchez, F., Balogun, S., &amp; Merritt, S. (2019). Transforming underwriting in the life insurance industry. 33rd AAAI Conference on Artificial Intelligence, AAAI 2019, 31st Innovative Applications of Artificial Intelligence Conference, IAAI 2019 and the 9th AAAI Symposium on Educational Advances in Artificial Intelligence, EAAI 2019, 9373–9380. https://doi.org/10.1609/aaai.v33i01.33019373</w:t>
      </w:r>
    </w:p>
    <w:p w14:paraId="5C0E7395" w14:textId="77777777" w:rsidR="000F3ED6" w:rsidRDefault="000F3ED6" w:rsidP="000F3ED6">
      <w:pPr>
        <w:pStyle w:val="Alishlah71References"/>
      </w:pPr>
      <w:r>
        <w:t xml:space="preserve">Maskar, S., Dewi, P. S., &amp; Puspaningtyas, N. D. (2020). Online Learning &amp; Blended Learning: </w:t>
      </w:r>
      <w:r>
        <w:lastRenderedPageBreak/>
        <w:t>Perbandingan Hasil Belajar Metode Daring Penuh dan Terpadu. Prisma, 9(2), 154. https://doi.org/10.35194/jp.v9i2.1070</w:t>
      </w:r>
    </w:p>
    <w:p w14:paraId="3174F6EB" w14:textId="77777777" w:rsidR="000F3ED6" w:rsidRDefault="000F3ED6" w:rsidP="000F3ED6">
      <w:pPr>
        <w:pStyle w:val="Alishlah71References"/>
      </w:pPr>
      <w:r>
        <w:t>Medan, I., Napitupulu, P., &amp; Surbakti, A. (2018). Design of Decision Support System Providing Scholarship with Analytical Hierarchy Process ( AHP ) Method on Yayasan Seri Amal St . Design of Decision Support System Providing Scholarship with Analytical Hierarchy Process ( AHP ) Method on Yayasan Seri Ama.</w:t>
      </w:r>
    </w:p>
    <w:p w14:paraId="6F315C67" w14:textId="77777777" w:rsidR="000F3ED6" w:rsidRDefault="000F3ED6" w:rsidP="000F3ED6">
      <w:pPr>
        <w:pStyle w:val="Alishlah71References"/>
      </w:pPr>
      <w:r>
        <w:t>Muafi, M., Syafri, W., Prabowo, H., &amp; Nur, S. A. (2021). Digital Entrepreneurship in Indonesia: A Human Capital Perspective. Journal of Asian Finance, Economics and Business, 8(3), 351–359. https://doi.org/10.13106/jafeb.2021.vol8.no3.0351</w:t>
      </w:r>
    </w:p>
    <w:p w14:paraId="53B2BCC0" w14:textId="77777777" w:rsidR="000F3ED6" w:rsidRDefault="000F3ED6" w:rsidP="000F3ED6">
      <w:pPr>
        <w:pStyle w:val="Alishlah71References"/>
      </w:pPr>
      <w:r>
        <w:t>Mubai, A., Jalinus, N., &amp; Abdullah, R. (2021). The Effectiveness of Learning Media Based on Augmented Reality in Vocational Education</w:t>
      </w:r>
      <w:r>
        <w:rPr>
          <w:rFonts w:ascii="Times New Roman" w:hAnsi="Times New Roman"/>
        </w:rPr>
        <w:t> </w:t>
      </w:r>
      <w:r>
        <w:t>: A Meta Analysis. 25(4), 15749</w:t>
      </w:r>
      <w:r>
        <w:rPr>
          <w:rFonts w:cs="Palatino Linotype"/>
        </w:rPr>
        <w:t>–</w:t>
      </w:r>
      <w:r>
        <w:t>15756.</w:t>
      </w:r>
    </w:p>
    <w:p w14:paraId="0AFFE9CB" w14:textId="77777777" w:rsidR="000F3ED6" w:rsidRDefault="000F3ED6" w:rsidP="000F3ED6">
      <w:pPr>
        <w:pStyle w:val="Alishlah71References"/>
      </w:pPr>
      <w:r>
        <w:t>Muhammad, A. F. (2019). Development Of Web Based Application With Speech Recognition As English Learning Conversation Training Media. 2019 International Electronics Symposium (IES), 571–576.</w:t>
      </w:r>
    </w:p>
    <w:p w14:paraId="16B8D4A2" w14:textId="77777777" w:rsidR="000F3ED6" w:rsidRDefault="000F3ED6" w:rsidP="000F3ED6">
      <w:pPr>
        <w:pStyle w:val="Alishlah71References"/>
      </w:pPr>
      <w:r>
        <w:t>Muhammad, A. F. (2020). Development of English Conversation Practice App with Artificial Intelligence &amp; Speech Recognition. June 2023. https://doi.org/10.1109/IES50839.2020.9231570</w:t>
      </w:r>
    </w:p>
    <w:p w14:paraId="4BC2140E" w14:textId="77777777" w:rsidR="000F3ED6" w:rsidRDefault="000F3ED6" w:rsidP="000F3ED6">
      <w:pPr>
        <w:pStyle w:val="Alishlah71References"/>
      </w:pPr>
      <w:r>
        <w:t>Omar, F., Bushby, S. T., &amp; Williams, R. D. (2019). Assessing the performance of residential energy management control Algorithms: Multi-criteria decision making using the analytical hierarchy process. Energy and Buildings, 199, 537–546. https://doi.org/10.1016/j.enbuild.2019.07.033</w:t>
      </w:r>
    </w:p>
    <w:p w14:paraId="6F8848AE" w14:textId="77777777" w:rsidR="000F3ED6" w:rsidRDefault="000F3ED6" w:rsidP="000F3ED6">
      <w:pPr>
        <w:pStyle w:val="Alishlah71References"/>
      </w:pPr>
      <w:r>
        <w:t>Ratnaningtyas, E. M. (2018). Principal Managerial Competencies</w:t>
      </w:r>
      <w:r>
        <w:rPr>
          <w:rFonts w:ascii="Times New Roman" w:hAnsi="Times New Roman"/>
        </w:rPr>
        <w:t> </w:t>
      </w:r>
      <w:r>
        <w:t>: Implications for Vocational Secondary Education. 3853</w:t>
      </w:r>
      <w:r>
        <w:rPr>
          <w:rFonts w:cs="Palatino Linotype"/>
        </w:rPr>
        <w:t>–</w:t>
      </w:r>
      <w:r>
        <w:t>3864.</w:t>
      </w:r>
    </w:p>
    <w:p w14:paraId="5A59351E" w14:textId="77777777" w:rsidR="000F3ED6" w:rsidRDefault="000F3ED6" w:rsidP="000F3ED6">
      <w:pPr>
        <w:pStyle w:val="Alishlah71References"/>
      </w:pPr>
      <w:r>
        <w:t>Reigeluth, C. M., &amp; An, Y. (2020). Merging the Instructional Design Process with Learner-Centered Theory. In Merging the Instructional Design Process with Learner-Centered Theory. Routledge. https://doi.org/10.4324/9781351117548</w:t>
      </w:r>
    </w:p>
    <w:p w14:paraId="2B57AE1F" w14:textId="77777777" w:rsidR="000F3ED6" w:rsidRDefault="000F3ED6" w:rsidP="000F3ED6">
      <w:pPr>
        <w:pStyle w:val="Alishlah71References"/>
      </w:pPr>
      <w:r>
        <w:t>Sarmas, E., Xidonas, P., &amp; Doukas, H. (2020). Multicriteria Decision Analysis Methods. Springer Optimization and Its Applications, 163, 19–34. https://doi.org/10.1007/978-3-030-53743-2_3</w:t>
      </w:r>
    </w:p>
    <w:p w14:paraId="5DBF9627" w14:textId="77777777" w:rsidR="000F3ED6" w:rsidRDefault="000F3ED6" w:rsidP="000F3ED6">
      <w:pPr>
        <w:pStyle w:val="Alishlah71References"/>
      </w:pPr>
      <w:r>
        <w:t>Supriyanto, G., Widiaty, I., Abdullah, A. G., &amp; Yustiana, Y. R. (2019). Application expert system career guidance for students. Journal of Physics: Conference Series, 1402(6). https://doi.org/10.1088/1742-6596/1402/6/066031</w:t>
      </w:r>
    </w:p>
    <w:p w14:paraId="19F04D88" w14:textId="77777777" w:rsidR="000F3ED6" w:rsidRDefault="000F3ED6" w:rsidP="000F3ED6">
      <w:pPr>
        <w:pStyle w:val="Alishlah71References"/>
      </w:pPr>
      <w:r>
        <w:t>Utami, G. C., Raras, C., Widiawati, A., &amp; Subarkah, P. (2023). Detection of Indonesian Food to Estimate Nutritional Information Using YOLOv5. 12(2), 158–165. https://doi.org/10.34148/teknika.v12i2.636</w:t>
      </w:r>
    </w:p>
    <w:p w14:paraId="32DB1B72" w14:textId="77777777" w:rsidR="000F3ED6" w:rsidRDefault="000F3ED6" w:rsidP="000F3ED6">
      <w:pPr>
        <w:pStyle w:val="Alishlah71References"/>
      </w:pPr>
      <w:r>
        <w:t>Widjanarko, D., Setiadi, R., &amp; Setiyawan, A. (2021). EVALUATING THE IMPACT OF AUDIO-VISUAL MEDIA ON LEARNING OUTCOMES OF DRAWING ORTHOGRAPHIC PROJECTIONS Keyword s. 9(3), 613–624. https://doi.org/10.18488/journal.61.2021.93.613.624</w:t>
      </w:r>
    </w:p>
    <w:p w14:paraId="26F9FB24" w14:textId="77777777" w:rsidR="000F3ED6" w:rsidRPr="00723B12" w:rsidRDefault="000F3ED6" w:rsidP="000F3ED6">
      <w:pPr>
        <w:pStyle w:val="Alishlah71References"/>
      </w:pPr>
    </w:p>
    <w:sectPr w:rsidR="000F3ED6" w:rsidRPr="00723B12" w:rsidSect="001914CF">
      <w:headerReference w:type="default" r:id="rId22"/>
      <w:footerReference w:type="default" r:id="rId23"/>
      <w:headerReference w:type="first" r:id="rId24"/>
      <w:footerReference w:type="first" r:id="rId25"/>
      <w:pgSz w:w="11906" w:h="16838"/>
      <w:pgMar w:top="1418" w:right="1440" w:bottom="1440" w:left="1440" w:header="851" w:footer="709" w:gutter="0"/>
      <w:pgNumType w:start="6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130837" w14:textId="77777777" w:rsidR="005667FE" w:rsidRDefault="005667FE" w:rsidP="008E64A2">
      <w:pPr>
        <w:spacing w:after="0" w:line="240" w:lineRule="auto"/>
      </w:pPr>
      <w:r>
        <w:separator/>
      </w:r>
    </w:p>
    <w:p w14:paraId="122F0777" w14:textId="77777777" w:rsidR="005667FE" w:rsidRDefault="005667FE"/>
  </w:endnote>
  <w:endnote w:type="continuationSeparator" w:id="0">
    <w:p w14:paraId="3755A39B" w14:textId="77777777" w:rsidR="005667FE" w:rsidRDefault="005667FE" w:rsidP="008E64A2">
      <w:pPr>
        <w:spacing w:after="0" w:line="240" w:lineRule="auto"/>
      </w:pPr>
      <w:r>
        <w:continuationSeparator/>
      </w:r>
    </w:p>
    <w:p w14:paraId="6B723F62" w14:textId="77777777" w:rsidR="005667FE" w:rsidRDefault="005667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erif">
    <w:altName w:val="Times New Roman"/>
    <w:charset w:val="00"/>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904305" w14:textId="77777777" w:rsidR="001C18FA" w:rsidRPr="00727D5A" w:rsidRDefault="00727D5A" w:rsidP="00727D5A">
    <w:pPr>
      <w:pStyle w:val="Footer"/>
    </w:pPr>
    <w:r w:rsidRPr="00727D5A">
      <w:rPr>
        <w:rFonts w:ascii="Palatino Linotype" w:hAnsi="Palatino Linotype"/>
        <w:i/>
        <w:sz w:val="16"/>
      </w:rPr>
      <w:t>Author Name/Title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013752" w14:textId="77777777" w:rsidR="001C18FA" w:rsidRPr="00EE35A7" w:rsidRDefault="001C18FA" w:rsidP="00EE35A7">
    <w:pPr>
      <w:tabs>
        <w:tab w:val="right" w:pos="8844"/>
      </w:tabs>
      <w:adjustRightInd w:val="0"/>
      <w:snapToGrid w:val="0"/>
      <w:spacing w:before="120" w:line="240" w:lineRule="auto"/>
      <w:rPr>
        <w:rFonts w:ascii="Palatino Linotype" w:hAnsi="Palatino Linotype"/>
        <w:sz w:val="16"/>
        <w:szCs w:val="16"/>
        <w:lang w:val="fr-CH"/>
      </w:rPr>
    </w:pPr>
    <w:r>
      <w:rPr>
        <w:rFonts w:ascii="Palatino Linotype" w:hAnsi="Palatino Linotype"/>
        <w:i/>
        <w:sz w:val="16"/>
        <w:szCs w:val="16"/>
        <w:lang w:val="fr-CH"/>
      </w:rPr>
      <w:t xml:space="preserve"> </w:t>
    </w:r>
    <w:r w:rsidRPr="00372FCD">
      <w:rPr>
        <w:rFonts w:ascii="Palatino Linotype" w:hAnsi="Palatino Linotype"/>
        <w:sz w:val="16"/>
        <w:szCs w:val="16"/>
        <w:lang w:val="fr-CH"/>
      </w:rPr>
      <w:tab/>
    </w:r>
    <w:r w:rsidRPr="0048254D">
      <w:rPr>
        <w:rFonts w:ascii="Palatino Linotype" w:hAnsi="Palatino Linotype"/>
        <w:sz w:val="16"/>
        <w:szCs w:val="16"/>
        <w:lang w:val="fr-CH"/>
      </w:rPr>
      <w:t>http://journal.staihubbulwathan.id/index.php/alishlah</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93FF09" w14:textId="77777777" w:rsidR="005667FE" w:rsidRDefault="005667FE" w:rsidP="008E64A2">
      <w:pPr>
        <w:spacing w:after="0" w:line="240" w:lineRule="auto"/>
      </w:pPr>
      <w:r>
        <w:separator/>
      </w:r>
    </w:p>
    <w:p w14:paraId="1EABDB0E" w14:textId="77777777" w:rsidR="005667FE" w:rsidRDefault="005667FE"/>
  </w:footnote>
  <w:footnote w:type="continuationSeparator" w:id="0">
    <w:p w14:paraId="00DDA1A5" w14:textId="77777777" w:rsidR="005667FE" w:rsidRDefault="005667FE" w:rsidP="008E64A2">
      <w:pPr>
        <w:spacing w:after="0" w:line="240" w:lineRule="auto"/>
      </w:pPr>
      <w:r>
        <w:continuationSeparator/>
      </w:r>
    </w:p>
    <w:p w14:paraId="518EF787" w14:textId="77777777" w:rsidR="005667FE" w:rsidRDefault="005667F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2DA5AC" w14:textId="77777777" w:rsidR="001C18FA" w:rsidRPr="00EE35A7" w:rsidRDefault="001C18FA" w:rsidP="00EE35A7">
    <w:pPr>
      <w:tabs>
        <w:tab w:val="right" w:pos="8844"/>
      </w:tabs>
      <w:adjustRightInd w:val="0"/>
      <w:snapToGrid w:val="0"/>
      <w:spacing w:after="240" w:line="240" w:lineRule="auto"/>
      <w:rPr>
        <w:rFonts w:ascii="Palatino Linotype" w:hAnsi="Palatino Linotype"/>
        <w:sz w:val="16"/>
      </w:rPr>
    </w:pPr>
    <w:r>
      <w:rPr>
        <w:noProof/>
        <w:lang w:val="id-ID" w:eastAsia="id-ID"/>
      </w:rPr>
      <mc:AlternateContent>
        <mc:Choice Requires="wps">
          <w:drawing>
            <wp:anchor distT="0" distB="0" distL="114300" distR="114300" simplePos="0" relativeHeight="251663360" behindDoc="0" locked="0" layoutInCell="1" allowOverlap="1" wp14:anchorId="50A6E8C0" wp14:editId="2E3BF813">
              <wp:simplePos x="0" y="0"/>
              <wp:positionH relativeFrom="column">
                <wp:posOffset>8626</wp:posOffset>
              </wp:positionH>
              <wp:positionV relativeFrom="paragraph">
                <wp:posOffset>191135</wp:posOffset>
              </wp:positionV>
              <wp:extent cx="5616000" cy="0"/>
              <wp:effectExtent l="0" t="0" r="0" b="0"/>
              <wp:wrapNone/>
              <wp:docPr id="52"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52984BB" id="_x0000_t32" coordsize="21600,21600" o:spt="32" o:oned="t" path="m,l21600,21600e" filled="f">
              <v:path arrowok="t" fillok="f" o:connecttype="none"/>
              <o:lock v:ext="edit" shapetype="t"/>
            </v:shapetype>
            <v:shape id="AutoShape 7" o:spid="_x0000_s1026" type="#_x0000_t32" style="position:absolute;margin-left:.7pt;margin-top:15.05pt;width:442.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"/>
          </w:pict>
        </mc:Fallback>
      </mc:AlternateContent>
    </w:r>
    <w:r w:rsidRPr="0048254D">
      <w:rPr>
        <w:rFonts w:ascii="Palatino Linotype" w:hAnsi="Palatino Linotype"/>
        <w:i/>
        <w:sz w:val="16"/>
      </w:rPr>
      <w:t>Al-</w:t>
    </w:r>
    <w:proofErr w:type="spellStart"/>
    <w:r w:rsidRPr="0048254D">
      <w:rPr>
        <w:rFonts w:ascii="Palatino Linotype" w:hAnsi="Palatino Linotype"/>
        <w:i/>
        <w:sz w:val="16"/>
      </w:rPr>
      <w:t>Ishlah</w:t>
    </w:r>
    <w:proofErr w:type="spellEnd"/>
    <w:r w:rsidRPr="0048254D">
      <w:rPr>
        <w:rFonts w:ascii="Palatino Linotype" w:hAnsi="Palatino Linotype"/>
        <w:i/>
        <w:sz w:val="16"/>
      </w:rPr>
      <w:t xml:space="preserve">: </w:t>
    </w:r>
    <w:proofErr w:type="spellStart"/>
    <w:r w:rsidRPr="0048254D">
      <w:rPr>
        <w:rFonts w:ascii="Palatino Linotype" w:hAnsi="Palatino Linotype"/>
        <w:i/>
        <w:sz w:val="16"/>
      </w:rPr>
      <w:t>Jurnal</w:t>
    </w:r>
    <w:proofErr w:type="spellEnd"/>
    <w:r w:rsidRPr="0048254D">
      <w:rPr>
        <w:rFonts w:ascii="Palatino Linotype" w:hAnsi="Palatino Linotype"/>
        <w:i/>
        <w:sz w:val="16"/>
      </w:rPr>
      <w:t xml:space="preserve"> </w:t>
    </w:r>
    <w:proofErr w:type="spellStart"/>
    <w:r w:rsidRPr="0048254D">
      <w:rPr>
        <w:rFonts w:ascii="Palatino Linotype" w:hAnsi="Palatino Linotype"/>
        <w:i/>
        <w:sz w:val="16"/>
      </w:rPr>
      <w:t>Pendidikan</w:t>
    </w:r>
    <w:proofErr w:type="gramStart"/>
    <w:r>
      <w:rPr>
        <w:rFonts w:ascii="Palatino Linotype" w:hAnsi="Palatino Linotype"/>
        <w:i/>
        <w:sz w:val="16"/>
      </w:rPr>
      <w:t>,Vol</w:t>
    </w:r>
    <w:proofErr w:type="spellEnd"/>
    <w:proofErr w:type="gramEnd"/>
    <w:r>
      <w:rPr>
        <w:rFonts w:ascii="Palatino Linotype" w:hAnsi="Palatino Linotype"/>
        <w:i/>
        <w:sz w:val="16"/>
      </w:rPr>
      <w:t>. 4</w:t>
    </w:r>
    <w:r w:rsidRPr="00EE35A7">
      <w:rPr>
        <w:rFonts w:ascii="Palatino Linotype" w:hAnsi="Palatino Linotype"/>
        <w:i/>
        <w:sz w:val="16"/>
      </w:rPr>
      <w:t xml:space="preserve">, </w:t>
    </w:r>
    <w:r>
      <w:rPr>
        <w:rFonts w:ascii="Palatino Linotype" w:hAnsi="Palatino Linotype"/>
        <w:i/>
        <w:sz w:val="16"/>
      </w:rPr>
      <w:t>1</w:t>
    </w:r>
    <w:r w:rsidRPr="00EE35A7">
      <w:rPr>
        <w:rFonts w:ascii="Palatino Linotype" w:hAnsi="Palatino Linotype"/>
        <w:i/>
        <w:sz w:val="16"/>
      </w:rPr>
      <w:t xml:space="preserve"> (</w:t>
    </w:r>
    <w:r>
      <w:rPr>
        <w:rFonts w:ascii="Palatino Linotype" w:hAnsi="Palatino Linotype"/>
        <w:i/>
        <w:sz w:val="16"/>
      </w:rPr>
      <w:t>April 2022</w:t>
    </w:r>
    <w:r w:rsidRPr="00EE35A7">
      <w:rPr>
        <w:rFonts w:ascii="Palatino Linotype" w:hAnsi="Palatino Linotype"/>
        <w:i/>
        <w:sz w:val="16"/>
      </w:rPr>
      <w:t xml:space="preserve">): </w:t>
    </w:r>
    <w:r w:rsidR="00727D5A">
      <w:rPr>
        <w:rFonts w:ascii="Palatino Linotype" w:hAnsi="Palatino Linotype"/>
        <w:i/>
        <w:sz w:val="16"/>
      </w:rPr>
      <w:t>p</w:t>
    </w:r>
    <w:r w:rsidR="001914CF">
      <w:rPr>
        <w:rFonts w:ascii="Palatino Linotype" w:hAnsi="Palatino Linotype"/>
        <w:i/>
        <w:sz w:val="16"/>
      </w:rPr>
      <w:t>-</w:t>
    </w:r>
    <w:proofErr w:type="spellStart"/>
    <w:r w:rsidR="00727D5A">
      <w:rPr>
        <w:rFonts w:ascii="Palatino Linotype" w:hAnsi="Palatino Linotype"/>
        <w:i/>
        <w:sz w:val="16"/>
      </w:rPr>
      <w:t>pp</w:t>
    </w:r>
    <w:proofErr w:type="spellEnd"/>
    <w:r>
      <w:rPr>
        <w:rFonts w:ascii="Palatino Linotype" w:hAnsi="Palatino Linotype"/>
        <w:sz w:val="16"/>
      </w:rPr>
      <w:tab/>
    </w:r>
    <w:r>
      <w:rPr>
        <w:rFonts w:ascii="Palatino Linotype" w:hAnsi="Palatino Linotype"/>
        <w:sz w:val="16"/>
      </w:rPr>
      <w:fldChar w:fldCharType="begin"/>
    </w:r>
    <w:r>
      <w:rPr>
        <w:rFonts w:ascii="Palatino Linotype" w:hAnsi="Palatino Linotype"/>
        <w:sz w:val="16"/>
      </w:rPr>
      <w:instrText xml:space="preserve"> PAGE   \* MERGEFORMAT </w:instrText>
    </w:r>
    <w:r>
      <w:rPr>
        <w:rFonts w:ascii="Palatino Linotype" w:hAnsi="Palatino Linotype"/>
        <w:sz w:val="16"/>
      </w:rPr>
      <w:fldChar w:fldCharType="separate"/>
    </w:r>
    <w:r w:rsidR="00E32E11">
      <w:rPr>
        <w:rFonts w:ascii="Palatino Linotype" w:hAnsi="Palatino Linotype"/>
        <w:noProof/>
        <w:sz w:val="16"/>
      </w:rPr>
      <w:t>64</w:t>
    </w:r>
    <w:r>
      <w:rPr>
        <w:rFonts w:ascii="Palatino Linotype" w:hAnsi="Palatino Linotype"/>
        <w:sz w:val="16"/>
      </w:rPr>
      <w:fldChar w:fldCharType="end"/>
    </w:r>
    <w:r>
      <w:rPr>
        <w:rFonts w:ascii="Palatino Linotype" w:hAnsi="Palatino Linotype"/>
        <w:sz w:val="16"/>
      </w:rPr>
      <w:t xml:space="preserve"> of </w:t>
    </w:r>
    <w:r w:rsidR="001914CF">
      <w:rPr>
        <w:rFonts w:ascii="Palatino Linotype" w:hAnsi="Palatino Linotype"/>
        <w:sz w:val="16"/>
      </w:rPr>
      <w:t>70</w:t>
    </w:r>
  </w:p>
  <w:p w14:paraId="1D398710" w14:textId="77777777" w:rsidR="001D0843" w:rsidRDefault="001D084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9916E8" w14:textId="77777777" w:rsidR="001C18FA" w:rsidRPr="0048254D" w:rsidRDefault="001C18FA" w:rsidP="0048254D">
    <w:pPr>
      <w:pStyle w:val="Header"/>
      <w:ind w:right="45"/>
      <w:rPr>
        <w:rFonts w:ascii="Palatino Linotype" w:hAnsi="Palatino Linotype"/>
        <w:b/>
        <w:sz w:val="20"/>
      </w:rPr>
    </w:pPr>
    <w:bookmarkStart w:id="2" w:name="_Hlk97159129"/>
    <w:r w:rsidRPr="0048254D">
      <w:rPr>
        <w:rFonts w:ascii="Palatino Linotype" w:hAnsi="Palatino Linotype"/>
        <w:b/>
        <w:sz w:val="20"/>
      </w:rPr>
      <w:t>Al-</w:t>
    </w:r>
    <w:proofErr w:type="spellStart"/>
    <w:r w:rsidRPr="0048254D">
      <w:rPr>
        <w:rFonts w:ascii="Palatino Linotype" w:hAnsi="Palatino Linotype"/>
        <w:b/>
        <w:sz w:val="20"/>
      </w:rPr>
      <w:t>Ishlah</w:t>
    </w:r>
    <w:proofErr w:type="spellEnd"/>
    <w:r w:rsidRPr="0048254D">
      <w:rPr>
        <w:rFonts w:ascii="Palatino Linotype" w:hAnsi="Palatino Linotype"/>
        <w:b/>
        <w:sz w:val="20"/>
      </w:rPr>
      <w:t xml:space="preserve">: </w:t>
    </w:r>
    <w:proofErr w:type="spellStart"/>
    <w:r w:rsidRPr="0048254D">
      <w:rPr>
        <w:rFonts w:ascii="Palatino Linotype" w:hAnsi="Palatino Linotype"/>
        <w:b/>
        <w:sz w:val="20"/>
      </w:rPr>
      <w:t>Jurnal</w:t>
    </w:r>
    <w:proofErr w:type="spellEnd"/>
    <w:r w:rsidRPr="0048254D">
      <w:rPr>
        <w:rFonts w:ascii="Palatino Linotype" w:hAnsi="Palatino Linotype"/>
        <w:b/>
        <w:sz w:val="20"/>
      </w:rPr>
      <w:t xml:space="preserve"> </w:t>
    </w:r>
    <w:proofErr w:type="spellStart"/>
    <w:r w:rsidRPr="0048254D">
      <w:rPr>
        <w:rFonts w:ascii="Palatino Linotype" w:hAnsi="Palatino Linotype"/>
        <w:b/>
        <w:sz w:val="20"/>
      </w:rPr>
      <w:t>Pendidikan</w:t>
    </w:r>
    <w:proofErr w:type="spellEnd"/>
  </w:p>
  <w:p w14:paraId="4D10A4A9" w14:textId="77777777" w:rsidR="001C18FA" w:rsidRPr="0048254D" w:rsidRDefault="001C18FA" w:rsidP="0048254D">
    <w:pPr>
      <w:tabs>
        <w:tab w:val="left" w:pos="3675"/>
      </w:tabs>
      <w:spacing w:after="0" w:line="240" w:lineRule="auto"/>
      <w:ind w:right="45"/>
      <w:rPr>
        <w:rFonts w:ascii="Palatino Linotype" w:eastAsia="Times New Roman" w:hAnsi="Palatino Linotype" w:cs="Times New Roman"/>
        <w:sz w:val="18"/>
        <w:szCs w:val="18"/>
        <w:lang w:val="en-US"/>
      </w:rPr>
    </w:pPr>
    <w:r w:rsidRPr="0048254D">
      <w:rPr>
        <w:rFonts w:ascii="Palatino Linotype" w:eastAsia="Times New Roman" w:hAnsi="Palatino Linotype" w:cs="Times New Roman"/>
        <w:sz w:val="18"/>
        <w:szCs w:val="18"/>
        <w:lang w:val="en-US"/>
      </w:rPr>
      <w:t xml:space="preserve">Vol.14, 1 (April, 2022), pp. </w:t>
    </w:r>
    <w:r w:rsidR="001914CF">
      <w:rPr>
        <w:rFonts w:ascii="Palatino Linotype" w:eastAsia="Times New Roman" w:hAnsi="Palatino Linotype" w:cs="Times New Roman"/>
        <w:sz w:val="18"/>
        <w:szCs w:val="18"/>
        <w:lang w:val="en-US"/>
      </w:rPr>
      <w:t>61-70</w:t>
    </w:r>
  </w:p>
  <w:p w14:paraId="1289D432" w14:textId="77777777" w:rsidR="001C18FA" w:rsidRPr="0048254D" w:rsidRDefault="001C18FA" w:rsidP="0048254D">
    <w:pPr>
      <w:tabs>
        <w:tab w:val="left" w:pos="7938"/>
        <w:tab w:val="right" w:pos="8789"/>
      </w:tabs>
      <w:spacing w:after="0" w:line="240" w:lineRule="auto"/>
      <w:rPr>
        <w:rFonts w:ascii="Times New Roman" w:eastAsia="Times New Roman" w:hAnsi="Times New Roman" w:cs="Times New Roman"/>
        <w:sz w:val="20"/>
        <w:szCs w:val="20"/>
        <w:lang w:val="en-US"/>
      </w:rPr>
    </w:pPr>
    <w:r w:rsidRPr="0048254D">
      <w:rPr>
        <w:rFonts w:ascii="Palatino Linotype" w:eastAsia="Times New Roman" w:hAnsi="Palatino Linotype" w:cs="Times New Roman"/>
        <w:sz w:val="18"/>
        <w:szCs w:val="18"/>
        <w:lang w:val="en-US"/>
      </w:rPr>
      <w:t>ISSN: 2087-9490 EISSN: 2597-940X, DOI: 10.35445/alishlah.v14i1.</w:t>
    </w:r>
    <w:bookmarkEnd w:id="2"/>
    <w:r w:rsidRPr="0048254D">
      <w:rPr>
        <w:rFonts w:ascii="Times New Roman" w:eastAsia="Times New Roman" w:hAnsi="Times New Roman" w:cs="Times New Roman"/>
        <w:noProof/>
        <w:sz w:val="20"/>
        <w:szCs w:val="20"/>
        <w:lang w:val="id-ID" w:eastAsia="id-ID"/>
      </w:rPr>
      <mc:AlternateContent>
        <mc:Choice Requires="wps">
          <w:drawing>
            <wp:anchor distT="0" distB="0" distL="114300" distR="114300" simplePos="0" relativeHeight="251661312" behindDoc="0" locked="0" layoutInCell="1" allowOverlap="1" wp14:anchorId="4DA8C113" wp14:editId="5E03DD60">
              <wp:simplePos x="0" y="0"/>
              <wp:positionH relativeFrom="column">
                <wp:posOffset>-19050</wp:posOffset>
              </wp:positionH>
              <wp:positionV relativeFrom="paragraph">
                <wp:posOffset>180975</wp:posOffset>
              </wp:positionV>
              <wp:extent cx="5616000" cy="0"/>
              <wp:effectExtent l="0" t="0" r="0" b="0"/>
              <wp:wrapNone/>
              <wp:docPr id="18"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A428F5C" id="_x0000_t32" coordsize="21600,21600" o:spt="32" o:oned="t" path="m,l21600,21600e" filled="f">
              <v:path arrowok="t" fillok="f" o:connecttype="none"/>
              <o:lock v:ext="edit" shapetype="t"/>
            </v:shapetype>
            <v:shape id="AutoShape 6" o:spid="_x0000_s1026" type="#_x0000_t32" style="position:absolute;margin-left:-1.5pt;margin-top:14.25pt;width:442.2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"/>
          </w:pict>
        </mc:Fallback>
      </mc:AlternateContent>
    </w:r>
    <w:r w:rsidR="009D09F2">
      <w:rPr>
        <w:rFonts w:ascii="Palatino Linotype" w:eastAsia="Times New Roman" w:hAnsi="Palatino Linotype" w:cs="Times New Roman"/>
        <w:sz w:val="18"/>
        <w:szCs w:val="18"/>
        <w:lang w:val="en-US"/>
      </w:rPr>
      <w:t>9</w:t>
    </w:r>
    <w:r w:rsidR="00FA43FF">
      <w:rPr>
        <w:rFonts w:ascii="Palatino Linotype" w:eastAsia="Times New Roman" w:hAnsi="Palatino Linotype" w:cs="Times New Roman"/>
        <w:sz w:val="18"/>
        <w:szCs w:val="18"/>
        <w:lang w:val="en-US"/>
      </w:rPr>
      <w:t>73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D52E7"/>
    <w:multiLevelType w:val="hybridMultilevel"/>
    <w:tmpl w:val="4DE6D09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7EC0F97"/>
    <w:multiLevelType w:val="multilevel"/>
    <w:tmpl w:val="209648C4"/>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2">
    <w:nsid w:val="0CCF0137"/>
    <w:multiLevelType w:val="hybridMultilevel"/>
    <w:tmpl w:val="DF72BD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3694B6F"/>
    <w:multiLevelType w:val="hybridMultilevel"/>
    <w:tmpl w:val="2DFED09E"/>
    <w:lvl w:ilvl="0" w:tplc="2C1ECCF4">
      <w:start w:val="1"/>
      <w:numFmt w:val="decimal"/>
      <w:lvlText w:val="3. %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4">
    <w:nsid w:val="19B153B8"/>
    <w:multiLevelType w:val="hybridMultilevel"/>
    <w:tmpl w:val="48B8105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09648C4"/>
    <w:multiLevelType w:val="multilevel"/>
    <w:tmpl w:val="666235E8"/>
    <w:lvl w:ilvl="0">
      <w:start w:val="1"/>
      <w:numFmt w:val="low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upperLetter"/>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6">
    <w:nsid w:val="23C73681"/>
    <w:multiLevelType w:val="multilevel"/>
    <w:tmpl w:val="18BE714A"/>
    <w:lvl w:ilvl="0">
      <w:start w:val="1"/>
      <w:numFmt w:val="decimal"/>
      <w:pStyle w:val="Alishlah21heading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nsid w:val="250A245F"/>
    <w:multiLevelType w:val="hybridMultilevel"/>
    <w:tmpl w:val="29E20A30"/>
    <w:lvl w:ilvl="0" w:tplc="1AF444CE">
      <w:start w:val="1"/>
      <w:numFmt w:val="decimal"/>
      <w:lvlText w:val="%1."/>
      <w:lvlJc w:val="left"/>
      <w:pPr>
        <w:ind w:left="420" w:hanging="4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nsid w:val="252B2D44"/>
    <w:multiLevelType w:val="hybridMultilevel"/>
    <w:tmpl w:val="E8AA3DE4"/>
    <w:lvl w:ilvl="0" w:tplc="4342A5AA">
      <w:start w:val="1"/>
      <w:numFmt w:val="lowerLetter"/>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9">
    <w:nsid w:val="2805051C"/>
    <w:multiLevelType w:val="hybridMultilevel"/>
    <w:tmpl w:val="D6480D34"/>
    <w:lvl w:ilvl="0" w:tplc="CDCEE7DA">
      <w:start w:val="1"/>
      <w:numFmt w:val="decimal"/>
      <w:pStyle w:val="Alishlah37itemize"/>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10">
    <w:nsid w:val="369A6535"/>
    <w:multiLevelType w:val="hybridMultilevel"/>
    <w:tmpl w:val="3CB68362"/>
    <w:lvl w:ilvl="0" w:tplc="B2367048">
      <w:start w:val="1"/>
      <w:numFmt w:val="bullet"/>
      <w:pStyle w:val="Alishlah38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11">
    <w:nsid w:val="3BC36D1C"/>
    <w:multiLevelType w:val="hybridMultilevel"/>
    <w:tmpl w:val="0564084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9A035D2"/>
    <w:multiLevelType w:val="hybridMultilevel"/>
    <w:tmpl w:val="3506723C"/>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5CB3107E"/>
    <w:multiLevelType w:val="hybridMultilevel"/>
    <w:tmpl w:val="C4C0A5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E3B49BE"/>
    <w:multiLevelType w:val="hybridMultilevel"/>
    <w:tmpl w:val="3036CE82"/>
    <w:lvl w:ilvl="0" w:tplc="93FCD3C2">
      <w:start w:val="2021"/>
      <w:numFmt w:val="bullet"/>
      <w:lvlText w:val="-"/>
      <w:lvlJc w:val="left"/>
      <w:pPr>
        <w:ind w:left="720" w:hanging="360"/>
      </w:pPr>
      <w:rPr>
        <w:rFonts w:ascii="Times New Roman" w:eastAsia="Calibr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64B37DF9"/>
    <w:multiLevelType w:val="hybridMultilevel"/>
    <w:tmpl w:val="A9DE2BC8"/>
    <w:lvl w:ilvl="0" w:tplc="0409000F">
      <w:start w:val="1"/>
      <w:numFmt w:val="decimal"/>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6">
    <w:nsid w:val="72B25978"/>
    <w:multiLevelType w:val="hybridMultilevel"/>
    <w:tmpl w:val="498011E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35A1270"/>
    <w:multiLevelType w:val="hybridMultilevel"/>
    <w:tmpl w:val="2A7052CA"/>
    <w:lvl w:ilvl="0" w:tplc="19CA9C06">
      <w:start w:val="1"/>
      <w:numFmt w:val="lowerLetter"/>
      <w:lvlText w:val="%1."/>
      <w:lvlJc w:val="left"/>
      <w:pPr>
        <w:ind w:left="785" w:hanging="360"/>
      </w:pPr>
      <w:rPr>
        <w:rFonts w:hint="default"/>
      </w:rPr>
    </w:lvl>
    <w:lvl w:ilvl="1" w:tplc="38090019" w:tentative="1">
      <w:start w:val="1"/>
      <w:numFmt w:val="lowerLetter"/>
      <w:lvlText w:val="%2."/>
      <w:lvlJc w:val="left"/>
      <w:pPr>
        <w:ind w:left="1505" w:hanging="360"/>
      </w:pPr>
    </w:lvl>
    <w:lvl w:ilvl="2" w:tplc="3809001B" w:tentative="1">
      <w:start w:val="1"/>
      <w:numFmt w:val="lowerRoman"/>
      <w:lvlText w:val="%3."/>
      <w:lvlJc w:val="right"/>
      <w:pPr>
        <w:ind w:left="2225" w:hanging="180"/>
      </w:pPr>
    </w:lvl>
    <w:lvl w:ilvl="3" w:tplc="3809000F" w:tentative="1">
      <w:start w:val="1"/>
      <w:numFmt w:val="decimal"/>
      <w:lvlText w:val="%4."/>
      <w:lvlJc w:val="left"/>
      <w:pPr>
        <w:ind w:left="2945" w:hanging="360"/>
      </w:pPr>
    </w:lvl>
    <w:lvl w:ilvl="4" w:tplc="38090019" w:tentative="1">
      <w:start w:val="1"/>
      <w:numFmt w:val="lowerLetter"/>
      <w:lvlText w:val="%5."/>
      <w:lvlJc w:val="left"/>
      <w:pPr>
        <w:ind w:left="3665" w:hanging="360"/>
      </w:pPr>
    </w:lvl>
    <w:lvl w:ilvl="5" w:tplc="3809001B" w:tentative="1">
      <w:start w:val="1"/>
      <w:numFmt w:val="lowerRoman"/>
      <w:lvlText w:val="%6."/>
      <w:lvlJc w:val="right"/>
      <w:pPr>
        <w:ind w:left="4385" w:hanging="180"/>
      </w:pPr>
    </w:lvl>
    <w:lvl w:ilvl="6" w:tplc="3809000F" w:tentative="1">
      <w:start w:val="1"/>
      <w:numFmt w:val="decimal"/>
      <w:lvlText w:val="%7."/>
      <w:lvlJc w:val="left"/>
      <w:pPr>
        <w:ind w:left="5105" w:hanging="360"/>
      </w:pPr>
    </w:lvl>
    <w:lvl w:ilvl="7" w:tplc="38090019" w:tentative="1">
      <w:start w:val="1"/>
      <w:numFmt w:val="lowerLetter"/>
      <w:lvlText w:val="%8."/>
      <w:lvlJc w:val="left"/>
      <w:pPr>
        <w:ind w:left="5825" w:hanging="360"/>
      </w:pPr>
    </w:lvl>
    <w:lvl w:ilvl="8" w:tplc="3809001B" w:tentative="1">
      <w:start w:val="1"/>
      <w:numFmt w:val="lowerRoman"/>
      <w:lvlText w:val="%9."/>
      <w:lvlJc w:val="right"/>
      <w:pPr>
        <w:ind w:left="6545" w:hanging="180"/>
      </w:pPr>
    </w:lvl>
  </w:abstractNum>
  <w:abstractNum w:abstractNumId="18">
    <w:nsid w:val="74BA66CA"/>
    <w:multiLevelType w:val="hybridMultilevel"/>
    <w:tmpl w:val="2C74AE1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9"/>
  </w:num>
  <w:num w:numId="2">
    <w:abstractNumId w:val="10"/>
  </w:num>
  <w:num w:numId="3">
    <w:abstractNumId w:val="6"/>
  </w:num>
  <w:num w:numId="4">
    <w:abstractNumId w:val="5"/>
  </w:num>
  <w:num w:numId="5">
    <w:abstractNumId w:val="13"/>
  </w:num>
  <w:num w:numId="6">
    <w:abstractNumId w:val="16"/>
  </w:num>
  <w:num w:numId="7">
    <w:abstractNumId w:val="1"/>
  </w:num>
  <w:num w:numId="8">
    <w:abstractNumId w:val="15"/>
  </w:num>
  <w:num w:numId="9">
    <w:abstractNumId w:val="8"/>
  </w:num>
  <w:num w:numId="10">
    <w:abstractNumId w:val="14"/>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8"/>
  </w:num>
  <w:num w:numId="13">
    <w:abstractNumId w:val="2"/>
  </w:num>
  <w:num w:numId="14">
    <w:abstractNumId w:val="11"/>
  </w:num>
  <w:num w:numId="15">
    <w:abstractNumId w:val="12"/>
  </w:num>
  <w:num w:numId="16">
    <w:abstractNumId w:val="0"/>
  </w:num>
  <w:num w:numId="17">
    <w:abstractNumId w:val="4"/>
  </w:num>
  <w:num w:numId="18">
    <w:abstractNumId w:val="7"/>
  </w:num>
  <w:num w:numId="19">
    <w:abstractNumId w:val="1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sjS0MLQ0MDMwNDU1MTdW0lEKTi0uzszPAykwtqwFALZdHHotAAAA"/>
  </w:docVars>
  <w:rsids>
    <w:rsidRoot w:val="00916BB3"/>
    <w:rsid w:val="000061CE"/>
    <w:rsid w:val="00031DD5"/>
    <w:rsid w:val="000333AC"/>
    <w:rsid w:val="000355EA"/>
    <w:rsid w:val="00035C67"/>
    <w:rsid w:val="00056E9C"/>
    <w:rsid w:val="000735BB"/>
    <w:rsid w:val="00075197"/>
    <w:rsid w:val="000831BD"/>
    <w:rsid w:val="000A13A3"/>
    <w:rsid w:val="000A36F0"/>
    <w:rsid w:val="000D5EE8"/>
    <w:rsid w:val="000E2588"/>
    <w:rsid w:val="000E2C60"/>
    <w:rsid w:val="000E7A05"/>
    <w:rsid w:val="000F1812"/>
    <w:rsid w:val="000F3ED6"/>
    <w:rsid w:val="000F66B9"/>
    <w:rsid w:val="00114306"/>
    <w:rsid w:val="001358C8"/>
    <w:rsid w:val="00143989"/>
    <w:rsid w:val="00145F3A"/>
    <w:rsid w:val="00147524"/>
    <w:rsid w:val="00151740"/>
    <w:rsid w:val="001603B5"/>
    <w:rsid w:val="00175AF2"/>
    <w:rsid w:val="00182EA2"/>
    <w:rsid w:val="001914CF"/>
    <w:rsid w:val="001A4292"/>
    <w:rsid w:val="001A581B"/>
    <w:rsid w:val="001C1084"/>
    <w:rsid w:val="001C18FA"/>
    <w:rsid w:val="001C30E8"/>
    <w:rsid w:val="001C7B8C"/>
    <w:rsid w:val="001D0843"/>
    <w:rsid w:val="001E42C1"/>
    <w:rsid w:val="001F4625"/>
    <w:rsid w:val="002001C5"/>
    <w:rsid w:val="00202D95"/>
    <w:rsid w:val="0022427B"/>
    <w:rsid w:val="002263FF"/>
    <w:rsid w:val="00226E30"/>
    <w:rsid w:val="0023514C"/>
    <w:rsid w:val="00245BDA"/>
    <w:rsid w:val="0025321C"/>
    <w:rsid w:val="002663A1"/>
    <w:rsid w:val="00270B5A"/>
    <w:rsid w:val="00287854"/>
    <w:rsid w:val="00290481"/>
    <w:rsid w:val="002A02C2"/>
    <w:rsid w:val="002A2BCB"/>
    <w:rsid w:val="002A7ABC"/>
    <w:rsid w:val="002B31FD"/>
    <w:rsid w:val="002B59BA"/>
    <w:rsid w:val="002C57D4"/>
    <w:rsid w:val="003037AA"/>
    <w:rsid w:val="00307DF5"/>
    <w:rsid w:val="00312FBF"/>
    <w:rsid w:val="0032467B"/>
    <w:rsid w:val="00325B99"/>
    <w:rsid w:val="00330DE2"/>
    <w:rsid w:val="00332A14"/>
    <w:rsid w:val="00340D1C"/>
    <w:rsid w:val="0034182D"/>
    <w:rsid w:val="00351943"/>
    <w:rsid w:val="003538FA"/>
    <w:rsid w:val="00366DA9"/>
    <w:rsid w:val="003670E2"/>
    <w:rsid w:val="00367C25"/>
    <w:rsid w:val="00376360"/>
    <w:rsid w:val="00376B69"/>
    <w:rsid w:val="003807D8"/>
    <w:rsid w:val="003827AC"/>
    <w:rsid w:val="00392773"/>
    <w:rsid w:val="003C3B3B"/>
    <w:rsid w:val="003D061C"/>
    <w:rsid w:val="003E5BB6"/>
    <w:rsid w:val="003F3A9E"/>
    <w:rsid w:val="004258A8"/>
    <w:rsid w:val="00432323"/>
    <w:rsid w:val="004333C2"/>
    <w:rsid w:val="00434F97"/>
    <w:rsid w:val="00435996"/>
    <w:rsid w:val="00444B72"/>
    <w:rsid w:val="004521BE"/>
    <w:rsid w:val="00457015"/>
    <w:rsid w:val="00461028"/>
    <w:rsid w:val="004642B9"/>
    <w:rsid w:val="004700B1"/>
    <w:rsid w:val="004763B3"/>
    <w:rsid w:val="0048254D"/>
    <w:rsid w:val="004A39B9"/>
    <w:rsid w:val="004A4086"/>
    <w:rsid w:val="004C2768"/>
    <w:rsid w:val="004C2BBB"/>
    <w:rsid w:val="004C67A3"/>
    <w:rsid w:val="004C700A"/>
    <w:rsid w:val="004D00C2"/>
    <w:rsid w:val="004D0C98"/>
    <w:rsid w:val="004D4BD4"/>
    <w:rsid w:val="004F29DF"/>
    <w:rsid w:val="004F6BCE"/>
    <w:rsid w:val="005041B5"/>
    <w:rsid w:val="0050557B"/>
    <w:rsid w:val="005145F9"/>
    <w:rsid w:val="005160E4"/>
    <w:rsid w:val="00526694"/>
    <w:rsid w:val="005340DA"/>
    <w:rsid w:val="0055125A"/>
    <w:rsid w:val="0055535C"/>
    <w:rsid w:val="00561289"/>
    <w:rsid w:val="005667FE"/>
    <w:rsid w:val="00566877"/>
    <w:rsid w:val="005710E6"/>
    <w:rsid w:val="005807EE"/>
    <w:rsid w:val="005909CA"/>
    <w:rsid w:val="00590ECF"/>
    <w:rsid w:val="005A0E25"/>
    <w:rsid w:val="005A317A"/>
    <w:rsid w:val="005A7A9C"/>
    <w:rsid w:val="005B0D7F"/>
    <w:rsid w:val="005B4643"/>
    <w:rsid w:val="005B5AEC"/>
    <w:rsid w:val="005C4902"/>
    <w:rsid w:val="005C7EC7"/>
    <w:rsid w:val="005D00BE"/>
    <w:rsid w:val="005D18A2"/>
    <w:rsid w:val="0061136D"/>
    <w:rsid w:val="00617741"/>
    <w:rsid w:val="00626D7A"/>
    <w:rsid w:val="00630559"/>
    <w:rsid w:val="006405DC"/>
    <w:rsid w:val="00642A67"/>
    <w:rsid w:val="00655540"/>
    <w:rsid w:val="006659EC"/>
    <w:rsid w:val="00674F13"/>
    <w:rsid w:val="00675603"/>
    <w:rsid w:val="006802BF"/>
    <w:rsid w:val="00684266"/>
    <w:rsid w:val="00686344"/>
    <w:rsid w:val="006875E7"/>
    <w:rsid w:val="00690C1D"/>
    <w:rsid w:val="0069239F"/>
    <w:rsid w:val="006A6719"/>
    <w:rsid w:val="006B3B48"/>
    <w:rsid w:val="006B5DB7"/>
    <w:rsid w:val="006C79FB"/>
    <w:rsid w:val="006D0B77"/>
    <w:rsid w:val="006E711A"/>
    <w:rsid w:val="006F160B"/>
    <w:rsid w:val="00701A0F"/>
    <w:rsid w:val="0071335B"/>
    <w:rsid w:val="00716FCB"/>
    <w:rsid w:val="00717FE7"/>
    <w:rsid w:val="00721A3B"/>
    <w:rsid w:val="00721B39"/>
    <w:rsid w:val="00723972"/>
    <w:rsid w:val="00727D5A"/>
    <w:rsid w:val="0073613A"/>
    <w:rsid w:val="0074579B"/>
    <w:rsid w:val="00750180"/>
    <w:rsid w:val="00751F6C"/>
    <w:rsid w:val="007549C7"/>
    <w:rsid w:val="00763D48"/>
    <w:rsid w:val="007706D1"/>
    <w:rsid w:val="00776DFE"/>
    <w:rsid w:val="00784B9B"/>
    <w:rsid w:val="00787398"/>
    <w:rsid w:val="007A2C38"/>
    <w:rsid w:val="007B2B7A"/>
    <w:rsid w:val="007B716C"/>
    <w:rsid w:val="007D3EE0"/>
    <w:rsid w:val="007E0F04"/>
    <w:rsid w:val="007E5CEF"/>
    <w:rsid w:val="007E6AA6"/>
    <w:rsid w:val="007E6E1C"/>
    <w:rsid w:val="007F0542"/>
    <w:rsid w:val="007F0ADF"/>
    <w:rsid w:val="007F2733"/>
    <w:rsid w:val="00802C6D"/>
    <w:rsid w:val="008036D9"/>
    <w:rsid w:val="008477FA"/>
    <w:rsid w:val="00863036"/>
    <w:rsid w:val="00873823"/>
    <w:rsid w:val="00874DBD"/>
    <w:rsid w:val="00883EAA"/>
    <w:rsid w:val="008841DF"/>
    <w:rsid w:val="008858AA"/>
    <w:rsid w:val="00887B61"/>
    <w:rsid w:val="0089730B"/>
    <w:rsid w:val="008D0E8E"/>
    <w:rsid w:val="008D272B"/>
    <w:rsid w:val="008D6030"/>
    <w:rsid w:val="008E27C5"/>
    <w:rsid w:val="008E64A2"/>
    <w:rsid w:val="008F618A"/>
    <w:rsid w:val="00916BB3"/>
    <w:rsid w:val="00917C32"/>
    <w:rsid w:val="00921BF0"/>
    <w:rsid w:val="00922701"/>
    <w:rsid w:val="00926A4F"/>
    <w:rsid w:val="00935589"/>
    <w:rsid w:val="0093774D"/>
    <w:rsid w:val="0093781E"/>
    <w:rsid w:val="00941210"/>
    <w:rsid w:val="009466DD"/>
    <w:rsid w:val="00961E09"/>
    <w:rsid w:val="00961F83"/>
    <w:rsid w:val="009636A4"/>
    <w:rsid w:val="00964447"/>
    <w:rsid w:val="00966B3D"/>
    <w:rsid w:val="00971961"/>
    <w:rsid w:val="0098303C"/>
    <w:rsid w:val="00984D8C"/>
    <w:rsid w:val="009B07D9"/>
    <w:rsid w:val="009C1B55"/>
    <w:rsid w:val="009C7544"/>
    <w:rsid w:val="009D09F2"/>
    <w:rsid w:val="009D3532"/>
    <w:rsid w:val="009E52F0"/>
    <w:rsid w:val="009F0C88"/>
    <w:rsid w:val="009F4CD2"/>
    <w:rsid w:val="009F71B3"/>
    <w:rsid w:val="00A00078"/>
    <w:rsid w:val="00A02BB2"/>
    <w:rsid w:val="00A10E86"/>
    <w:rsid w:val="00A116F0"/>
    <w:rsid w:val="00A234A4"/>
    <w:rsid w:val="00A36F58"/>
    <w:rsid w:val="00A414CC"/>
    <w:rsid w:val="00A448B5"/>
    <w:rsid w:val="00A45E97"/>
    <w:rsid w:val="00A54BE9"/>
    <w:rsid w:val="00A57495"/>
    <w:rsid w:val="00A66748"/>
    <w:rsid w:val="00A75CB1"/>
    <w:rsid w:val="00A80097"/>
    <w:rsid w:val="00A91453"/>
    <w:rsid w:val="00A96285"/>
    <w:rsid w:val="00A9708A"/>
    <w:rsid w:val="00A97F4A"/>
    <w:rsid w:val="00AA580B"/>
    <w:rsid w:val="00AB2854"/>
    <w:rsid w:val="00AB4892"/>
    <w:rsid w:val="00AB6B7A"/>
    <w:rsid w:val="00AC475D"/>
    <w:rsid w:val="00AC5858"/>
    <w:rsid w:val="00AD26B9"/>
    <w:rsid w:val="00AD5870"/>
    <w:rsid w:val="00AD7FAB"/>
    <w:rsid w:val="00AE2A82"/>
    <w:rsid w:val="00AE7180"/>
    <w:rsid w:val="00AF2F8D"/>
    <w:rsid w:val="00AF6218"/>
    <w:rsid w:val="00B00874"/>
    <w:rsid w:val="00B029BB"/>
    <w:rsid w:val="00B03D8F"/>
    <w:rsid w:val="00B04201"/>
    <w:rsid w:val="00B147E8"/>
    <w:rsid w:val="00B1769F"/>
    <w:rsid w:val="00B232F3"/>
    <w:rsid w:val="00B23D62"/>
    <w:rsid w:val="00B30D46"/>
    <w:rsid w:val="00B35AB9"/>
    <w:rsid w:val="00B449B4"/>
    <w:rsid w:val="00B5764F"/>
    <w:rsid w:val="00B67ED6"/>
    <w:rsid w:val="00B7027E"/>
    <w:rsid w:val="00B72F3D"/>
    <w:rsid w:val="00B74337"/>
    <w:rsid w:val="00B95123"/>
    <w:rsid w:val="00BA14D2"/>
    <w:rsid w:val="00BA707F"/>
    <w:rsid w:val="00BB6E10"/>
    <w:rsid w:val="00BC32FE"/>
    <w:rsid w:val="00BD0A28"/>
    <w:rsid w:val="00BD0ABC"/>
    <w:rsid w:val="00BE398A"/>
    <w:rsid w:val="00BF0A78"/>
    <w:rsid w:val="00BF21AD"/>
    <w:rsid w:val="00BF2297"/>
    <w:rsid w:val="00BF4139"/>
    <w:rsid w:val="00BF4472"/>
    <w:rsid w:val="00BF6007"/>
    <w:rsid w:val="00C1416D"/>
    <w:rsid w:val="00C21EFA"/>
    <w:rsid w:val="00C361A9"/>
    <w:rsid w:val="00C36799"/>
    <w:rsid w:val="00C37B1B"/>
    <w:rsid w:val="00C4224C"/>
    <w:rsid w:val="00C66ECA"/>
    <w:rsid w:val="00C721BA"/>
    <w:rsid w:val="00C8406B"/>
    <w:rsid w:val="00C94847"/>
    <w:rsid w:val="00CA3B3C"/>
    <w:rsid w:val="00CC0C2B"/>
    <w:rsid w:val="00CC3DB2"/>
    <w:rsid w:val="00CC7F21"/>
    <w:rsid w:val="00CD3AE9"/>
    <w:rsid w:val="00CE131B"/>
    <w:rsid w:val="00CE242C"/>
    <w:rsid w:val="00CF5425"/>
    <w:rsid w:val="00D13D39"/>
    <w:rsid w:val="00D2296B"/>
    <w:rsid w:val="00D31547"/>
    <w:rsid w:val="00D37209"/>
    <w:rsid w:val="00D51A98"/>
    <w:rsid w:val="00D74358"/>
    <w:rsid w:val="00D75604"/>
    <w:rsid w:val="00D77FAD"/>
    <w:rsid w:val="00D81206"/>
    <w:rsid w:val="00D90DB0"/>
    <w:rsid w:val="00DA0836"/>
    <w:rsid w:val="00DA2631"/>
    <w:rsid w:val="00DD295B"/>
    <w:rsid w:val="00DE2B7D"/>
    <w:rsid w:val="00DF215F"/>
    <w:rsid w:val="00E00922"/>
    <w:rsid w:val="00E05855"/>
    <w:rsid w:val="00E1438C"/>
    <w:rsid w:val="00E22B8E"/>
    <w:rsid w:val="00E32E11"/>
    <w:rsid w:val="00E45249"/>
    <w:rsid w:val="00E517C5"/>
    <w:rsid w:val="00E56B59"/>
    <w:rsid w:val="00E85AC8"/>
    <w:rsid w:val="00EA7D37"/>
    <w:rsid w:val="00EA7FD4"/>
    <w:rsid w:val="00EE35A7"/>
    <w:rsid w:val="00EF47B8"/>
    <w:rsid w:val="00F03710"/>
    <w:rsid w:val="00F05579"/>
    <w:rsid w:val="00F15294"/>
    <w:rsid w:val="00F30CBA"/>
    <w:rsid w:val="00F30EA6"/>
    <w:rsid w:val="00F35606"/>
    <w:rsid w:val="00F36C4F"/>
    <w:rsid w:val="00F40982"/>
    <w:rsid w:val="00F67706"/>
    <w:rsid w:val="00F6777E"/>
    <w:rsid w:val="00F83784"/>
    <w:rsid w:val="00F8513E"/>
    <w:rsid w:val="00F8776C"/>
    <w:rsid w:val="00F941E4"/>
    <w:rsid w:val="00FA3411"/>
    <w:rsid w:val="00FA43FF"/>
    <w:rsid w:val="00FA57C1"/>
    <w:rsid w:val="00FA7D17"/>
    <w:rsid w:val="00FC00CE"/>
    <w:rsid w:val="00FD3643"/>
    <w:rsid w:val="00FD612C"/>
    <w:rsid w:val="00FE1BD7"/>
    <w:rsid w:val="00FE2A5A"/>
    <w:rsid w:val="00FE2F54"/>
    <w:rsid w:val="00FE4EBE"/>
    <w:rsid w:val="00FE5014"/>
    <w:rsid w:val="00FE6068"/>
    <w:rsid w:val="00FF03FB"/>
    <w:rsid w:val="00FF2D21"/>
    <w:rsid w:val="00FF5CD8"/>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033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qFormat="1"/>
    <w:lsdException w:name="footer" w:qFormat="1"/>
    <w:lsdException w:name="caption" w:uiPriority="35" w:qFormat="1"/>
    <w:lsdException w:name="footnote reference" w:qFormat="1"/>
    <w:lsdException w:name="annotation reference"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HTML Preformatted"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shlah12title">
    <w:name w:val="Alishlah_1.2_title"/>
    <w:next w:val="Alishlah13authornames"/>
    <w:qFormat/>
    <w:rsid w:val="00727D5A"/>
    <w:pPr>
      <w:adjustRightInd w:val="0"/>
      <w:snapToGrid w:val="0"/>
      <w:spacing w:before="600" w:after="240" w:line="400" w:lineRule="exact"/>
      <w:jc w:val="both"/>
    </w:pPr>
    <w:rPr>
      <w:rFonts w:ascii="Palatino Linotype" w:eastAsia="Times New Roman" w:hAnsi="Palatino Linotype" w:cs="Times New Roman"/>
      <w:b/>
      <w:snapToGrid w:val="0"/>
      <w:color w:val="000000"/>
      <w:sz w:val="28"/>
      <w:szCs w:val="28"/>
      <w:lang w:val="en-GB" w:eastAsia="de-DE" w:bidi="en-US"/>
    </w:rPr>
  </w:style>
  <w:style w:type="paragraph" w:customStyle="1" w:styleId="Alishlah13authornames">
    <w:name w:val="Alishlah_1.3_authornames"/>
    <w:basedOn w:val="Normal"/>
    <w:next w:val="Alishlah14history"/>
    <w:qFormat/>
    <w:rsid w:val="008E64A2"/>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Alishlah14history">
    <w:name w:val="Alishlah_1.4_history"/>
    <w:basedOn w:val="Normal"/>
    <w:next w:val="Normal"/>
    <w:qFormat/>
    <w:rsid w:val="00E45249"/>
    <w:pPr>
      <w:adjustRightInd w:val="0"/>
      <w:snapToGrid w:val="0"/>
      <w:spacing w:after="0" w:line="240" w:lineRule="auto"/>
    </w:pPr>
    <w:rPr>
      <w:rFonts w:ascii="Palatino Linotype" w:eastAsia="Times New Roman" w:hAnsi="Palatino Linotype" w:cs="Times New Roman"/>
      <w:color w:val="000000"/>
      <w:sz w:val="18"/>
      <w:szCs w:val="20"/>
      <w:lang w:val="en-US" w:eastAsia="de-DE" w:bidi="en-US"/>
    </w:rPr>
  </w:style>
  <w:style w:type="paragraph" w:customStyle="1" w:styleId="Alishlah16affiliation">
    <w:name w:val="Alishlah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Alishlah2authorcorrespondence">
    <w:name w:val="Alishlah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Alishlah17abstract">
    <w:name w:val="Alishlah_1.7_abstract"/>
    <w:basedOn w:val="Alishlah31text"/>
    <w:next w:val="Alishlah18keywords"/>
    <w:qFormat/>
    <w:rsid w:val="00E45249"/>
    <w:pPr>
      <w:spacing w:line="240" w:lineRule="auto"/>
      <w:ind w:left="113" w:firstLine="0"/>
    </w:pPr>
    <w:rPr>
      <w:snapToGrid/>
      <w:szCs w:val="20"/>
    </w:rPr>
  </w:style>
  <w:style w:type="paragraph" w:customStyle="1" w:styleId="Alishlah18keywords">
    <w:name w:val="Alishlah_1.8_keywords"/>
    <w:basedOn w:val="Alishlah31text"/>
    <w:next w:val="Normal"/>
    <w:qFormat/>
    <w:rsid w:val="00E45249"/>
    <w:pPr>
      <w:spacing w:line="240" w:lineRule="auto"/>
      <w:ind w:left="37" w:firstLine="0"/>
    </w:pPr>
    <w:rPr>
      <w:sz w:val="18"/>
      <w:szCs w:val="18"/>
    </w:rPr>
  </w:style>
  <w:style w:type="paragraph" w:customStyle="1" w:styleId="Alishlah31text">
    <w:name w:val="Alishlah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8E64A2"/>
    <w:pPr>
      <w:numPr>
        <w:numId w:val="3"/>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val="en-US" w:eastAsia="zh-CN" w:bidi="en-US"/>
    </w:rPr>
  </w:style>
  <w:style w:type="paragraph" w:customStyle="1" w:styleId="Alishlah32textnoindent">
    <w:name w:val="Alishlah_3.2_text_no_indent"/>
    <w:basedOn w:val="Alishlah31text"/>
    <w:qFormat/>
    <w:rsid w:val="008E64A2"/>
    <w:pPr>
      <w:ind w:firstLine="0"/>
    </w:pPr>
  </w:style>
  <w:style w:type="paragraph" w:customStyle="1" w:styleId="Alishlah33textspaceafter">
    <w:name w:val="Alishlah_3.3_text_space_after"/>
    <w:basedOn w:val="Alishlah31text"/>
    <w:qFormat/>
    <w:rsid w:val="008E64A2"/>
    <w:pPr>
      <w:spacing w:after="240"/>
    </w:pPr>
  </w:style>
  <w:style w:type="paragraph" w:customStyle="1" w:styleId="Alishlah34textspacebefore">
    <w:name w:val="Alishlah_3.4_text_space_before"/>
    <w:basedOn w:val="Alishlah31text"/>
    <w:qFormat/>
    <w:rsid w:val="008E64A2"/>
    <w:pPr>
      <w:spacing w:before="240"/>
    </w:pPr>
  </w:style>
  <w:style w:type="paragraph" w:customStyle="1" w:styleId="Alishlah35textbeforelist">
    <w:name w:val="Alishlah_3.5_text_before_list"/>
    <w:basedOn w:val="Alishlah31text"/>
    <w:qFormat/>
    <w:rsid w:val="008E64A2"/>
    <w:pPr>
      <w:spacing w:after="120"/>
    </w:pPr>
  </w:style>
  <w:style w:type="paragraph" w:customStyle="1" w:styleId="Alishlah36textafterlist">
    <w:name w:val="Alishlah_3.6_text_after_list"/>
    <w:basedOn w:val="Alishlah31text"/>
    <w:qFormat/>
    <w:rsid w:val="008E64A2"/>
    <w:pPr>
      <w:spacing w:before="120"/>
    </w:pPr>
  </w:style>
  <w:style w:type="paragraph" w:customStyle="1" w:styleId="Alishlah37itemize">
    <w:name w:val="Alishlah_3.7_itemize"/>
    <w:basedOn w:val="Alishlah31text"/>
    <w:qFormat/>
    <w:rsid w:val="008E64A2"/>
    <w:pPr>
      <w:numPr>
        <w:numId w:val="1"/>
      </w:numPr>
      <w:ind w:left="425" w:hanging="425"/>
    </w:pPr>
  </w:style>
  <w:style w:type="paragraph" w:customStyle="1" w:styleId="Alishlah38bullet">
    <w:name w:val="Alishlah_3.8_bullet"/>
    <w:basedOn w:val="Alishlah31text"/>
    <w:qFormat/>
    <w:rsid w:val="008E64A2"/>
    <w:pPr>
      <w:numPr>
        <w:numId w:val="2"/>
      </w:numPr>
      <w:ind w:left="425" w:hanging="425"/>
    </w:pPr>
  </w:style>
  <w:style w:type="paragraph" w:customStyle="1" w:styleId="Alishlah39equation">
    <w:name w:val="Alishlah_3.9_equation"/>
    <w:basedOn w:val="Alishlah31text"/>
    <w:qFormat/>
    <w:rsid w:val="008E64A2"/>
    <w:pPr>
      <w:spacing w:before="120" w:after="120"/>
      <w:ind w:left="709" w:firstLine="0"/>
      <w:jc w:val="center"/>
    </w:pPr>
  </w:style>
  <w:style w:type="paragraph" w:customStyle="1" w:styleId="Alishlah3aequationnumber">
    <w:name w:val="Alishlah_3.a_equation_number"/>
    <w:basedOn w:val="Alishlah31text"/>
    <w:qFormat/>
    <w:rsid w:val="008E64A2"/>
    <w:pPr>
      <w:spacing w:before="120" w:after="120" w:line="240" w:lineRule="auto"/>
      <w:ind w:firstLine="0"/>
      <w:jc w:val="right"/>
    </w:pPr>
  </w:style>
  <w:style w:type="paragraph" w:customStyle="1" w:styleId="Alishlah62Acknowledgments">
    <w:name w:val="Alishlah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Alishlah41tablecaption">
    <w:name w:val="Alishlah_4.1_table_caption"/>
    <w:basedOn w:val="Alishlah62Acknowledgments"/>
    <w:qFormat/>
    <w:rsid w:val="0048254D"/>
    <w:pPr>
      <w:spacing w:before="240" w:after="120" w:line="260" w:lineRule="atLeast"/>
      <w:ind w:left="425" w:right="425"/>
      <w:jc w:val="center"/>
    </w:pPr>
    <w:rPr>
      <w:rFonts w:eastAsia="Georgia"/>
      <w:b/>
      <w:bCs/>
      <w:snapToGrid/>
      <w:szCs w:val="22"/>
    </w:rPr>
  </w:style>
  <w:style w:type="paragraph" w:customStyle="1" w:styleId="Alishlah42tablebody">
    <w:name w:val="Alishlah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Alishlah43tablefooter">
    <w:name w:val="Alishlah_4.3_table_footer"/>
    <w:basedOn w:val="Alishlah41tablecaption"/>
    <w:next w:val="Alishlah31text"/>
    <w:qFormat/>
    <w:rsid w:val="002B31FD"/>
    <w:pPr>
      <w:spacing w:before="0"/>
      <w:ind w:left="0" w:right="0"/>
    </w:pPr>
    <w:rPr>
      <w:b w:val="0"/>
      <w:bCs w:val="0"/>
    </w:rPr>
  </w:style>
  <w:style w:type="paragraph" w:customStyle="1" w:styleId="Alishlah51figurecaption">
    <w:name w:val="Alishlah_5.1_figure_caption"/>
    <w:basedOn w:val="Alishlah62Acknowledgments"/>
    <w:qFormat/>
    <w:rsid w:val="008E64A2"/>
    <w:pPr>
      <w:spacing w:after="240" w:line="260" w:lineRule="atLeast"/>
      <w:ind w:left="425" w:right="425"/>
    </w:pPr>
    <w:rPr>
      <w:snapToGrid/>
    </w:rPr>
  </w:style>
  <w:style w:type="paragraph" w:customStyle="1" w:styleId="Alishlah52figure">
    <w:name w:val="Alishlah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Alishlah81Quote">
    <w:name w:val="Alishlah_8.1_Quote"/>
    <w:basedOn w:val="Alishlah32textnoindent"/>
    <w:qFormat/>
    <w:rsid w:val="00056E9C"/>
    <w:pPr>
      <w:ind w:left="426"/>
    </w:pPr>
    <w:rPr>
      <w:iCs/>
    </w:rPr>
  </w:style>
  <w:style w:type="paragraph" w:customStyle="1" w:styleId="Alishlah23heading3">
    <w:name w:val="Alishlah_2.3_heading3"/>
    <w:basedOn w:val="Alishlah31text"/>
    <w:qFormat/>
    <w:rsid w:val="008E64A2"/>
    <w:pPr>
      <w:spacing w:before="240" w:after="120"/>
      <w:ind w:firstLine="0"/>
      <w:jc w:val="left"/>
      <w:outlineLvl w:val="2"/>
    </w:pPr>
  </w:style>
  <w:style w:type="paragraph" w:customStyle="1" w:styleId="Alishlah22heading2">
    <w:name w:val="Alishlah_2.2_heading2"/>
    <w:basedOn w:val="Normal"/>
    <w:qFormat/>
    <w:rsid w:val="00E45249"/>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val="en-US" w:eastAsia="de-DE" w:bidi="en-US"/>
    </w:rPr>
  </w:style>
  <w:style w:type="paragraph" w:customStyle="1" w:styleId="Alishlah71References">
    <w:name w:val="Alishlah_7.1_References"/>
    <w:basedOn w:val="Normal"/>
    <w:qFormat/>
    <w:rsid w:val="0048254D"/>
    <w:pPr>
      <w:widowControl w:val="0"/>
      <w:autoSpaceDE w:val="0"/>
      <w:autoSpaceDN w:val="0"/>
      <w:adjustRightInd w:val="0"/>
      <w:spacing w:after="0" w:line="240" w:lineRule="atLeast"/>
      <w:ind w:left="480" w:hanging="480"/>
      <w:jc w:val="both"/>
    </w:pPr>
    <w:rPr>
      <w:rFonts w:ascii="Palatino Linotype" w:hAnsi="Palatino Linotype" w:cs="Times New Roman"/>
      <w:noProof/>
      <w:sz w:val="20"/>
      <w:szCs w:val="20"/>
    </w:rPr>
  </w:style>
  <w:style w:type="character" w:styleId="Hyperlink">
    <w:name w:val="Hyperlink"/>
    <w:uiPriority w:val="99"/>
    <w:unhideWhenUsed/>
    <w:qFormat/>
    <w:rsid w:val="008E64A2"/>
    <w:rPr>
      <w:color w:val="0563C1"/>
      <w:u w:val="single"/>
    </w:rPr>
  </w:style>
  <w:style w:type="paragraph" w:styleId="Header">
    <w:name w:val="header"/>
    <w:basedOn w:val="Normal"/>
    <w:link w:val="HeaderChar"/>
    <w:uiPriority w:val="99"/>
    <w:unhideWhenUsed/>
    <w:qFormat/>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E64A2"/>
  </w:style>
  <w:style w:type="paragraph" w:styleId="Footer">
    <w:name w:val="footer"/>
    <w:basedOn w:val="Normal"/>
    <w:link w:val="FooterChar"/>
    <w:uiPriority w:val="99"/>
    <w:unhideWhenUsed/>
    <w:qFormat/>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E64A2"/>
  </w:style>
  <w:style w:type="paragraph" w:styleId="FootnoteText">
    <w:name w:val="footnote text"/>
    <w:aliases w:val="Char"/>
    <w:basedOn w:val="Normal"/>
    <w:link w:val="FootnoteTextChar"/>
    <w:uiPriority w:val="99"/>
    <w:unhideWhenUsed/>
    <w:qFormat/>
    <w:rsid w:val="00056E9C"/>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qFormat/>
    <w:rsid w:val="00056E9C"/>
    <w:rPr>
      <w:sz w:val="20"/>
      <w:szCs w:val="20"/>
    </w:rPr>
  </w:style>
  <w:style w:type="character" w:styleId="FootnoteReference">
    <w:name w:val="footnote reference"/>
    <w:basedOn w:val="DefaultParagraphFont"/>
    <w:uiPriority w:val="99"/>
    <w:unhideWhenUsed/>
    <w:qFormat/>
    <w:rsid w:val="00056E9C"/>
    <w:rPr>
      <w:vertAlign w:val="superscript"/>
    </w:rPr>
  </w:style>
  <w:style w:type="character" w:customStyle="1" w:styleId="UnresolvedMention1">
    <w:name w:val="Unresolved Mention1"/>
    <w:basedOn w:val="DefaultParagraphFont"/>
    <w:uiPriority w:val="99"/>
    <w:semiHidden/>
    <w:unhideWhenUsed/>
    <w:qFormat/>
    <w:rsid w:val="00BF0A78"/>
    <w:rPr>
      <w:color w:val="605E5C"/>
      <w:shd w:val="clear" w:color="auto" w:fill="E1DFDD"/>
    </w:rPr>
  </w:style>
  <w:style w:type="character" w:customStyle="1" w:styleId="Heading1Char">
    <w:name w:val="Heading 1 Char"/>
    <w:basedOn w:val="DefaultParagraphFont"/>
    <w:link w:val="Heading1"/>
    <w:qFormat/>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qFormat/>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unhideWhenUsed/>
    <w:qFormat/>
    <w:rsid w:val="00966B3D"/>
    <w:rPr>
      <w:rFonts w:ascii="Times New Roman" w:hAnsi="Times New Roman" w:cs="Times New Roman"/>
      <w:sz w:val="24"/>
      <w:szCs w:val="24"/>
    </w:rPr>
  </w:style>
  <w:style w:type="paragraph" w:styleId="ListParagraph">
    <w:name w:val="List Paragraph"/>
    <w:aliases w:val="Body of text"/>
    <w:basedOn w:val="Normal"/>
    <w:link w:val="ListParagraphChar"/>
    <w:uiPriority w:val="34"/>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qFormat/>
    <w:rsid w:val="00366DA9"/>
    <w:rPr>
      <w:sz w:val="16"/>
      <w:szCs w:val="16"/>
    </w:rPr>
  </w:style>
  <w:style w:type="paragraph" w:styleId="CommentText">
    <w:name w:val="annotation text"/>
    <w:basedOn w:val="Normal"/>
    <w:link w:val="CommentTextChar"/>
    <w:uiPriority w:val="99"/>
    <w:semiHidden/>
    <w:unhideWhenUsed/>
    <w:qFormat/>
    <w:rsid w:val="00366DA9"/>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366DA9"/>
    <w:rPr>
      <w:sz w:val="20"/>
      <w:szCs w:val="20"/>
    </w:rPr>
  </w:style>
  <w:style w:type="paragraph" w:styleId="CommentSubject">
    <w:name w:val="annotation subject"/>
    <w:basedOn w:val="CommentText"/>
    <w:next w:val="CommentText"/>
    <w:link w:val="CommentSubjectChar"/>
    <w:uiPriority w:val="99"/>
    <w:semiHidden/>
    <w:unhideWhenUsed/>
    <w:qFormat/>
    <w:rsid w:val="00366DA9"/>
    <w:rPr>
      <w:b/>
      <w:bCs/>
    </w:rPr>
  </w:style>
  <w:style w:type="character" w:customStyle="1" w:styleId="CommentSubjectChar">
    <w:name w:val="Comment Subject Char"/>
    <w:basedOn w:val="CommentTextChar"/>
    <w:link w:val="CommentSubject"/>
    <w:uiPriority w:val="99"/>
    <w:semiHidden/>
    <w:qFormat/>
    <w:rsid w:val="00366DA9"/>
    <w:rPr>
      <w:b/>
      <w:bCs/>
      <w:sz w:val="20"/>
      <w:szCs w:val="20"/>
    </w:rPr>
  </w:style>
  <w:style w:type="paragraph" w:styleId="BalloonText">
    <w:name w:val="Balloon Text"/>
    <w:basedOn w:val="Normal"/>
    <w:link w:val="BalloonTextChar"/>
    <w:uiPriority w:val="99"/>
    <w:semiHidden/>
    <w:unhideWhenUsed/>
    <w:qFormat/>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66DA9"/>
    <w:rPr>
      <w:rFonts w:ascii="Segoe UI" w:hAnsi="Segoe UI" w:cs="Segoe UI"/>
      <w:sz w:val="18"/>
      <w:szCs w:val="18"/>
    </w:rPr>
  </w:style>
  <w:style w:type="character" w:customStyle="1" w:styleId="tlid-translation">
    <w:name w:val="tlid-translation"/>
    <w:basedOn w:val="DefaultParagraphFont"/>
    <w:rsid w:val="007E0F04"/>
  </w:style>
  <w:style w:type="table" w:customStyle="1" w:styleId="PlainTable2">
    <w:name w:val="Plain Table 2"/>
    <w:basedOn w:val="TableNormal"/>
    <w:uiPriority w:val="42"/>
    <w:rsid w:val="007E0F04"/>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8D272B"/>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5C4902"/>
    <w:rPr>
      <w:color w:val="605E5C"/>
      <w:shd w:val="clear" w:color="auto" w:fill="E1DFDD"/>
    </w:rPr>
  </w:style>
  <w:style w:type="character" w:customStyle="1" w:styleId="UnresolvedMention3">
    <w:name w:val="Unresolved Mention3"/>
    <w:basedOn w:val="DefaultParagraphFont"/>
    <w:uiPriority w:val="99"/>
    <w:semiHidden/>
    <w:unhideWhenUsed/>
    <w:rsid w:val="00784B9B"/>
    <w:rPr>
      <w:color w:val="605E5C"/>
      <w:shd w:val="clear" w:color="auto" w:fill="E1DFDD"/>
    </w:rPr>
  </w:style>
  <w:style w:type="paragraph" w:styleId="TOC1">
    <w:name w:val="toc 1"/>
    <w:basedOn w:val="Normal"/>
    <w:uiPriority w:val="1"/>
    <w:qFormat/>
    <w:rsid w:val="0061136D"/>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val="en-US" w:bidi="en-US"/>
    </w:rPr>
  </w:style>
  <w:style w:type="paragraph" w:styleId="TOC2">
    <w:name w:val="toc 2"/>
    <w:basedOn w:val="Normal"/>
    <w:uiPriority w:val="1"/>
    <w:qFormat/>
    <w:rsid w:val="0061136D"/>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val="en-US" w:bidi="en-US"/>
    </w:rPr>
  </w:style>
  <w:style w:type="paragraph" w:styleId="TOC3">
    <w:name w:val="toc 3"/>
    <w:basedOn w:val="Normal"/>
    <w:uiPriority w:val="1"/>
    <w:qFormat/>
    <w:rsid w:val="0061136D"/>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val="en-US" w:bidi="en-US"/>
    </w:rPr>
  </w:style>
  <w:style w:type="paragraph" w:styleId="BodyText">
    <w:name w:val="Body Text"/>
    <w:basedOn w:val="Normal"/>
    <w:link w:val="BodyTextChar"/>
    <w:uiPriority w:val="1"/>
    <w:qFormat/>
    <w:rsid w:val="0061136D"/>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61136D"/>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61136D"/>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lc">
    <w:name w:val="lc"/>
    <w:basedOn w:val="DefaultParagraphFont"/>
    <w:rsid w:val="0061136D"/>
  </w:style>
  <w:style w:type="character" w:customStyle="1" w:styleId="kw">
    <w:name w:val="kw"/>
    <w:basedOn w:val="DefaultParagraphFont"/>
    <w:rsid w:val="0061136D"/>
  </w:style>
  <w:style w:type="character" w:customStyle="1" w:styleId="rc">
    <w:name w:val="rc"/>
    <w:basedOn w:val="DefaultParagraphFont"/>
    <w:rsid w:val="0061136D"/>
  </w:style>
  <w:style w:type="character" w:customStyle="1" w:styleId="st">
    <w:name w:val="st"/>
    <w:basedOn w:val="DefaultParagraphFont"/>
    <w:rsid w:val="0061136D"/>
  </w:style>
  <w:style w:type="character" w:customStyle="1" w:styleId="UnresolvedMention">
    <w:name w:val="Unresolved Mention"/>
    <w:basedOn w:val="DefaultParagraphFont"/>
    <w:uiPriority w:val="99"/>
    <w:semiHidden/>
    <w:unhideWhenUsed/>
    <w:rsid w:val="00887B61"/>
    <w:rPr>
      <w:color w:val="605E5C"/>
      <w:shd w:val="clear" w:color="auto" w:fill="E1DFDD"/>
    </w:rPr>
  </w:style>
  <w:style w:type="table" w:styleId="TableGrid">
    <w:name w:val="Table Grid"/>
    <w:basedOn w:val="TableNormal"/>
    <w:uiPriority w:val="59"/>
    <w:qFormat/>
    <w:rsid w:val="00FF5CD8"/>
    <w:pPr>
      <w:spacing w:after="0" w:line="240" w:lineRule="auto"/>
    </w:pPr>
    <w:rPr>
      <w:rFonts w:eastAsiaTheme="minorEastAsia"/>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link w:val="BodyTextIndent3Char"/>
    <w:uiPriority w:val="99"/>
    <w:semiHidden/>
    <w:unhideWhenUsed/>
    <w:rsid w:val="004825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254D"/>
    <w:rPr>
      <w:sz w:val="16"/>
      <w:szCs w:val="16"/>
    </w:rPr>
  </w:style>
  <w:style w:type="character" w:customStyle="1" w:styleId="ListParagraphChar">
    <w:name w:val="List Paragraph Char"/>
    <w:aliases w:val="Body of text Char"/>
    <w:basedOn w:val="DefaultParagraphFont"/>
    <w:link w:val="ListParagraph"/>
    <w:uiPriority w:val="34"/>
    <w:locked/>
    <w:rsid w:val="00C37B1B"/>
    <w:rPr>
      <w:rFonts w:eastAsiaTheme="minorEastAsia" w:cs="Arial"/>
      <w:lang w:val="id-ID"/>
    </w:rPr>
  </w:style>
  <w:style w:type="paragraph" w:styleId="NoSpacing">
    <w:name w:val="No Spacing"/>
    <w:link w:val="NoSpacingChar"/>
    <w:uiPriority w:val="1"/>
    <w:qFormat/>
    <w:rsid w:val="00C37B1B"/>
    <w:pPr>
      <w:spacing w:after="0" w:line="240" w:lineRule="auto"/>
    </w:pPr>
    <w:rPr>
      <w:rFonts w:eastAsiaTheme="minorEastAsia"/>
      <w:lang w:val="id-ID" w:eastAsia="id-ID"/>
    </w:rPr>
  </w:style>
  <w:style w:type="paragraph" w:styleId="HTMLPreformatted">
    <w:name w:val="HTML Preformatted"/>
    <w:basedOn w:val="Normal"/>
    <w:link w:val="HTMLPreformattedChar"/>
    <w:uiPriority w:val="99"/>
    <w:unhideWhenUsed/>
    <w:qFormat/>
    <w:rsid w:val="00C37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7B1B"/>
    <w:rPr>
      <w:rFonts w:ascii="Courier New" w:eastAsia="Times New Roman" w:hAnsi="Courier New" w:cs="Courier New"/>
      <w:sz w:val="20"/>
      <w:szCs w:val="20"/>
      <w:lang w:val="en-US"/>
    </w:rPr>
  </w:style>
  <w:style w:type="table" w:customStyle="1" w:styleId="PlainTable4">
    <w:name w:val="Plain Table 4"/>
    <w:basedOn w:val="TableNormal"/>
    <w:uiPriority w:val="44"/>
    <w:rsid w:val="00C37B1B"/>
    <w:pPr>
      <w:spacing w:after="0" w:line="240" w:lineRule="auto"/>
    </w:pPr>
    <w:rPr>
      <w:rFonts w:eastAsiaTheme="minorHAnsi"/>
      <w:lang w:val="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921BF0"/>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SpacingChar">
    <w:name w:val="No Spacing Char"/>
    <w:link w:val="NoSpacing"/>
    <w:uiPriority w:val="1"/>
    <w:locked/>
    <w:rsid w:val="00B7027E"/>
    <w:rPr>
      <w:rFonts w:eastAsiaTheme="minorEastAsia"/>
      <w:lang w:val="id-ID" w:eastAsia="id-ID"/>
    </w:rPr>
  </w:style>
  <w:style w:type="paragraph" w:customStyle="1" w:styleId="Alishlah24HEading4">
    <w:name w:val="Alishlah_2.4 HEading4"/>
    <w:basedOn w:val="Heading3"/>
    <w:link w:val="Alishlah24HEading4Char"/>
    <w:qFormat/>
    <w:rsid w:val="002B31FD"/>
    <w:pPr>
      <w:spacing w:before="0"/>
    </w:pPr>
    <w:rPr>
      <w:rFonts w:ascii="Palatino Linotype" w:hAnsi="Palatino Linotype" w:cs="Times New Roman"/>
      <w:i/>
      <w:color w:val="auto"/>
      <w:sz w:val="20"/>
      <w:szCs w:val="20"/>
    </w:rPr>
  </w:style>
  <w:style w:type="character" w:customStyle="1" w:styleId="Alishlah24HEading4Char">
    <w:name w:val="Alishlah_2.4 HEading4 Char"/>
    <w:basedOn w:val="Heading3Char"/>
    <w:link w:val="Alishlah24HEading4"/>
    <w:rsid w:val="002B31FD"/>
    <w:rPr>
      <w:rFonts w:ascii="Palatino Linotype" w:eastAsiaTheme="majorEastAsia" w:hAnsi="Palatino Linotype" w:cs="Times New Roman"/>
      <w:i/>
      <w:color w:val="1F3763" w:themeColor="accent1" w:themeShade="7F"/>
      <w:sz w:val="20"/>
      <w:szCs w:val="20"/>
    </w:rPr>
  </w:style>
  <w:style w:type="paragraph" w:customStyle="1" w:styleId="msonormal0">
    <w:name w:val="msonormal"/>
    <w:basedOn w:val="Normal"/>
    <w:rsid w:val="000F3ED6"/>
    <w:pPr>
      <w:spacing w:before="100" w:beforeAutospacing="1" w:after="100" w:afterAutospacing="1" w:line="240" w:lineRule="auto"/>
    </w:pPr>
    <w:rPr>
      <w:rFonts w:ascii="Times New Roman" w:eastAsia="Times New Roman" w:hAnsi="Times New Roman" w:cs="Times New Roman"/>
      <w:sz w:val="24"/>
      <w:szCs w:val="24"/>
      <w:lang w:eastAsia="en-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SimSun"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qFormat="1"/>
    <w:lsdException w:name="footer" w:qFormat="1"/>
    <w:lsdException w:name="caption" w:uiPriority="35" w:qFormat="1"/>
    <w:lsdException w:name="footnote reference" w:qFormat="1"/>
    <w:lsdException w:name="annotation reference"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qFormat="1"/>
    <w:lsdException w:name="HTML Preformatted"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8858AA"/>
    <w:pPr>
      <w:keepNext/>
      <w:spacing w:before="360" w:after="60" w:line="360" w:lineRule="auto"/>
      <w:ind w:right="567"/>
      <w:contextualSpacing/>
      <w:outlineLvl w:val="0"/>
    </w:pPr>
    <w:rPr>
      <w:rFonts w:ascii="Times New Roman" w:eastAsia="Times New Roman" w:hAnsi="Times New Roman" w:cs="Arial"/>
      <w:b/>
      <w:bCs/>
      <w:kern w:val="32"/>
      <w:sz w:val="24"/>
      <w:szCs w:val="32"/>
      <w:lang w:val="en-GB" w:eastAsia="en-GB"/>
    </w:rPr>
  </w:style>
  <w:style w:type="paragraph" w:styleId="Heading2">
    <w:name w:val="heading 2"/>
    <w:basedOn w:val="Normal"/>
    <w:next w:val="Normal"/>
    <w:link w:val="Heading2Char"/>
    <w:uiPriority w:val="9"/>
    <w:unhideWhenUsed/>
    <w:qFormat/>
    <w:rsid w:val="008858A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858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ishlah12title">
    <w:name w:val="Alishlah_1.2_title"/>
    <w:next w:val="Alishlah13authornames"/>
    <w:qFormat/>
    <w:rsid w:val="00727D5A"/>
    <w:pPr>
      <w:adjustRightInd w:val="0"/>
      <w:snapToGrid w:val="0"/>
      <w:spacing w:before="600" w:after="240" w:line="400" w:lineRule="exact"/>
      <w:jc w:val="both"/>
    </w:pPr>
    <w:rPr>
      <w:rFonts w:ascii="Palatino Linotype" w:eastAsia="Times New Roman" w:hAnsi="Palatino Linotype" w:cs="Times New Roman"/>
      <w:b/>
      <w:snapToGrid w:val="0"/>
      <w:color w:val="000000"/>
      <w:sz w:val="28"/>
      <w:szCs w:val="28"/>
      <w:lang w:val="en-GB" w:eastAsia="de-DE" w:bidi="en-US"/>
    </w:rPr>
  </w:style>
  <w:style w:type="paragraph" w:customStyle="1" w:styleId="Alishlah13authornames">
    <w:name w:val="Alishlah_1.3_authornames"/>
    <w:basedOn w:val="Normal"/>
    <w:next w:val="Alishlah14history"/>
    <w:qFormat/>
    <w:rsid w:val="008E64A2"/>
    <w:pPr>
      <w:adjustRightInd w:val="0"/>
      <w:snapToGrid w:val="0"/>
      <w:spacing w:after="120" w:line="260" w:lineRule="atLeast"/>
    </w:pPr>
    <w:rPr>
      <w:rFonts w:ascii="Palatino Linotype" w:eastAsia="Times New Roman" w:hAnsi="Palatino Linotype" w:cs="Times New Roman"/>
      <w:b/>
      <w:color w:val="000000"/>
      <w:sz w:val="20"/>
      <w:lang w:val="en-US" w:eastAsia="de-DE" w:bidi="en-US"/>
    </w:rPr>
  </w:style>
  <w:style w:type="paragraph" w:customStyle="1" w:styleId="Alishlah14history">
    <w:name w:val="Alishlah_1.4_history"/>
    <w:basedOn w:val="Normal"/>
    <w:next w:val="Normal"/>
    <w:qFormat/>
    <w:rsid w:val="00E45249"/>
    <w:pPr>
      <w:adjustRightInd w:val="0"/>
      <w:snapToGrid w:val="0"/>
      <w:spacing w:after="0" w:line="240" w:lineRule="auto"/>
    </w:pPr>
    <w:rPr>
      <w:rFonts w:ascii="Palatino Linotype" w:eastAsia="Times New Roman" w:hAnsi="Palatino Linotype" w:cs="Times New Roman"/>
      <w:color w:val="000000"/>
      <w:sz w:val="18"/>
      <w:szCs w:val="20"/>
      <w:lang w:val="en-US" w:eastAsia="de-DE" w:bidi="en-US"/>
    </w:rPr>
  </w:style>
  <w:style w:type="paragraph" w:customStyle="1" w:styleId="Alishlah16affiliation">
    <w:name w:val="Alishlah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val="en-US" w:eastAsia="de-DE" w:bidi="en-US"/>
    </w:rPr>
  </w:style>
  <w:style w:type="paragraph" w:customStyle="1" w:styleId="Alishlah2authorcorrespondence">
    <w:name w:val="Alishlah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val="en-US" w:eastAsia="de-DE" w:bidi="en-US"/>
    </w:rPr>
  </w:style>
  <w:style w:type="paragraph" w:customStyle="1" w:styleId="Alishlah17abstract">
    <w:name w:val="Alishlah_1.7_abstract"/>
    <w:basedOn w:val="Alishlah31text"/>
    <w:next w:val="Alishlah18keywords"/>
    <w:qFormat/>
    <w:rsid w:val="00E45249"/>
    <w:pPr>
      <w:spacing w:line="240" w:lineRule="auto"/>
      <w:ind w:left="113" w:firstLine="0"/>
    </w:pPr>
    <w:rPr>
      <w:snapToGrid/>
      <w:szCs w:val="20"/>
    </w:rPr>
  </w:style>
  <w:style w:type="paragraph" w:customStyle="1" w:styleId="Alishlah18keywords">
    <w:name w:val="Alishlah_1.8_keywords"/>
    <w:basedOn w:val="Alishlah31text"/>
    <w:next w:val="Normal"/>
    <w:qFormat/>
    <w:rsid w:val="00E45249"/>
    <w:pPr>
      <w:spacing w:line="240" w:lineRule="auto"/>
      <w:ind w:left="37" w:firstLine="0"/>
    </w:pPr>
    <w:rPr>
      <w:sz w:val="18"/>
      <w:szCs w:val="18"/>
    </w:rPr>
  </w:style>
  <w:style w:type="paragraph" w:customStyle="1" w:styleId="Alishlah31text">
    <w:name w:val="Alishlah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val="en-US" w:eastAsia="de-DE" w:bidi="en-US"/>
    </w:rPr>
  </w:style>
  <w:style w:type="paragraph" w:customStyle="1" w:styleId="Alishlah21heading1">
    <w:name w:val="Alishlah_2.1_heading1"/>
    <w:basedOn w:val="Normal"/>
    <w:qFormat/>
    <w:rsid w:val="008E64A2"/>
    <w:pPr>
      <w:numPr>
        <w:numId w:val="3"/>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val="en-US" w:eastAsia="zh-CN" w:bidi="en-US"/>
    </w:rPr>
  </w:style>
  <w:style w:type="paragraph" w:customStyle="1" w:styleId="Alishlah32textnoindent">
    <w:name w:val="Alishlah_3.2_text_no_indent"/>
    <w:basedOn w:val="Alishlah31text"/>
    <w:qFormat/>
    <w:rsid w:val="008E64A2"/>
    <w:pPr>
      <w:ind w:firstLine="0"/>
    </w:pPr>
  </w:style>
  <w:style w:type="paragraph" w:customStyle="1" w:styleId="Alishlah33textspaceafter">
    <w:name w:val="Alishlah_3.3_text_space_after"/>
    <w:basedOn w:val="Alishlah31text"/>
    <w:qFormat/>
    <w:rsid w:val="008E64A2"/>
    <w:pPr>
      <w:spacing w:after="240"/>
    </w:pPr>
  </w:style>
  <w:style w:type="paragraph" w:customStyle="1" w:styleId="Alishlah34textspacebefore">
    <w:name w:val="Alishlah_3.4_text_space_before"/>
    <w:basedOn w:val="Alishlah31text"/>
    <w:qFormat/>
    <w:rsid w:val="008E64A2"/>
    <w:pPr>
      <w:spacing w:before="240"/>
    </w:pPr>
  </w:style>
  <w:style w:type="paragraph" w:customStyle="1" w:styleId="Alishlah35textbeforelist">
    <w:name w:val="Alishlah_3.5_text_before_list"/>
    <w:basedOn w:val="Alishlah31text"/>
    <w:qFormat/>
    <w:rsid w:val="008E64A2"/>
    <w:pPr>
      <w:spacing w:after="120"/>
    </w:pPr>
  </w:style>
  <w:style w:type="paragraph" w:customStyle="1" w:styleId="Alishlah36textafterlist">
    <w:name w:val="Alishlah_3.6_text_after_list"/>
    <w:basedOn w:val="Alishlah31text"/>
    <w:qFormat/>
    <w:rsid w:val="008E64A2"/>
    <w:pPr>
      <w:spacing w:before="120"/>
    </w:pPr>
  </w:style>
  <w:style w:type="paragraph" w:customStyle="1" w:styleId="Alishlah37itemize">
    <w:name w:val="Alishlah_3.7_itemize"/>
    <w:basedOn w:val="Alishlah31text"/>
    <w:qFormat/>
    <w:rsid w:val="008E64A2"/>
    <w:pPr>
      <w:numPr>
        <w:numId w:val="1"/>
      </w:numPr>
      <w:ind w:left="425" w:hanging="425"/>
    </w:pPr>
  </w:style>
  <w:style w:type="paragraph" w:customStyle="1" w:styleId="Alishlah38bullet">
    <w:name w:val="Alishlah_3.8_bullet"/>
    <w:basedOn w:val="Alishlah31text"/>
    <w:qFormat/>
    <w:rsid w:val="008E64A2"/>
    <w:pPr>
      <w:numPr>
        <w:numId w:val="2"/>
      </w:numPr>
      <w:ind w:left="425" w:hanging="425"/>
    </w:pPr>
  </w:style>
  <w:style w:type="paragraph" w:customStyle="1" w:styleId="Alishlah39equation">
    <w:name w:val="Alishlah_3.9_equation"/>
    <w:basedOn w:val="Alishlah31text"/>
    <w:qFormat/>
    <w:rsid w:val="008E64A2"/>
    <w:pPr>
      <w:spacing w:before="120" w:after="120"/>
      <w:ind w:left="709" w:firstLine="0"/>
      <w:jc w:val="center"/>
    </w:pPr>
  </w:style>
  <w:style w:type="paragraph" w:customStyle="1" w:styleId="Alishlah3aequationnumber">
    <w:name w:val="Alishlah_3.a_equation_number"/>
    <w:basedOn w:val="Alishlah31text"/>
    <w:qFormat/>
    <w:rsid w:val="008E64A2"/>
    <w:pPr>
      <w:spacing w:before="120" w:after="120" w:line="240" w:lineRule="auto"/>
      <w:ind w:firstLine="0"/>
      <w:jc w:val="right"/>
    </w:pPr>
  </w:style>
  <w:style w:type="paragraph" w:customStyle="1" w:styleId="Alishlah62Acknowledgments">
    <w:name w:val="Alishlah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val="en-US" w:eastAsia="de-DE" w:bidi="en-US"/>
    </w:rPr>
  </w:style>
  <w:style w:type="paragraph" w:customStyle="1" w:styleId="Alishlah41tablecaption">
    <w:name w:val="Alishlah_4.1_table_caption"/>
    <w:basedOn w:val="Alishlah62Acknowledgments"/>
    <w:qFormat/>
    <w:rsid w:val="0048254D"/>
    <w:pPr>
      <w:spacing w:before="240" w:after="120" w:line="260" w:lineRule="atLeast"/>
      <w:ind w:left="425" w:right="425"/>
      <w:jc w:val="center"/>
    </w:pPr>
    <w:rPr>
      <w:rFonts w:eastAsia="Georgia"/>
      <w:b/>
      <w:bCs/>
      <w:snapToGrid/>
      <w:szCs w:val="22"/>
    </w:rPr>
  </w:style>
  <w:style w:type="paragraph" w:customStyle="1" w:styleId="Alishlah42tablebody">
    <w:name w:val="Alishlah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Alishlah43tablefooter">
    <w:name w:val="Alishlah_4.3_table_footer"/>
    <w:basedOn w:val="Alishlah41tablecaption"/>
    <w:next w:val="Alishlah31text"/>
    <w:qFormat/>
    <w:rsid w:val="002B31FD"/>
    <w:pPr>
      <w:spacing w:before="0"/>
      <w:ind w:left="0" w:right="0"/>
    </w:pPr>
    <w:rPr>
      <w:b w:val="0"/>
      <w:bCs w:val="0"/>
    </w:rPr>
  </w:style>
  <w:style w:type="paragraph" w:customStyle="1" w:styleId="Alishlah51figurecaption">
    <w:name w:val="Alishlah_5.1_figure_caption"/>
    <w:basedOn w:val="Alishlah62Acknowledgments"/>
    <w:qFormat/>
    <w:rsid w:val="008E64A2"/>
    <w:pPr>
      <w:spacing w:after="240" w:line="260" w:lineRule="atLeast"/>
      <w:ind w:left="425" w:right="425"/>
    </w:pPr>
    <w:rPr>
      <w:snapToGrid/>
    </w:rPr>
  </w:style>
  <w:style w:type="paragraph" w:customStyle="1" w:styleId="Alishlah52figure">
    <w:name w:val="Alishlah_5.2_figure"/>
    <w:qFormat/>
    <w:rsid w:val="008E64A2"/>
    <w:pPr>
      <w:spacing w:after="0" w:line="240" w:lineRule="auto"/>
      <w:jc w:val="center"/>
    </w:pPr>
    <w:rPr>
      <w:rFonts w:ascii="Palatino Linotype" w:eastAsia="Times New Roman" w:hAnsi="Palatino Linotype" w:cs="Times New Roman"/>
      <w:snapToGrid w:val="0"/>
      <w:color w:val="000000"/>
      <w:sz w:val="24"/>
      <w:szCs w:val="20"/>
      <w:lang w:val="en-US"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val="en-US" w:eastAsia="de-CH"/>
    </w:rPr>
  </w:style>
  <w:style w:type="paragraph" w:customStyle="1" w:styleId="Alishlah81Quote">
    <w:name w:val="Alishlah_8.1_Quote"/>
    <w:basedOn w:val="Alishlah32textnoindent"/>
    <w:qFormat/>
    <w:rsid w:val="00056E9C"/>
    <w:pPr>
      <w:ind w:left="426"/>
    </w:pPr>
    <w:rPr>
      <w:iCs/>
    </w:rPr>
  </w:style>
  <w:style w:type="paragraph" w:customStyle="1" w:styleId="Alishlah23heading3">
    <w:name w:val="Alishlah_2.3_heading3"/>
    <w:basedOn w:val="Alishlah31text"/>
    <w:qFormat/>
    <w:rsid w:val="008E64A2"/>
    <w:pPr>
      <w:spacing w:before="240" w:after="120"/>
      <w:ind w:firstLine="0"/>
      <w:jc w:val="left"/>
      <w:outlineLvl w:val="2"/>
    </w:pPr>
  </w:style>
  <w:style w:type="paragraph" w:customStyle="1" w:styleId="Alishlah22heading2">
    <w:name w:val="Alishlah_2.2_heading2"/>
    <w:basedOn w:val="Normal"/>
    <w:qFormat/>
    <w:rsid w:val="00E45249"/>
    <w:pPr>
      <w:kinsoku w:val="0"/>
      <w:overflowPunct w:val="0"/>
      <w:autoSpaceDE w:val="0"/>
      <w:autoSpaceDN w:val="0"/>
      <w:adjustRightInd w:val="0"/>
      <w:snapToGrid w:val="0"/>
      <w:spacing w:before="240" w:after="120" w:line="260" w:lineRule="atLeast"/>
      <w:outlineLvl w:val="1"/>
    </w:pPr>
    <w:rPr>
      <w:rFonts w:ascii="Palatino Linotype" w:eastAsia="Georgia" w:hAnsi="Palatino Linotype" w:cs="Times New Roman"/>
      <w:b/>
      <w:bCs/>
      <w:i/>
      <w:noProof/>
      <w:snapToGrid w:val="0"/>
      <w:color w:val="000000"/>
      <w:sz w:val="20"/>
      <w:lang w:val="en-US" w:eastAsia="de-DE" w:bidi="en-US"/>
    </w:rPr>
  </w:style>
  <w:style w:type="paragraph" w:customStyle="1" w:styleId="Alishlah71References">
    <w:name w:val="Alishlah_7.1_References"/>
    <w:basedOn w:val="Normal"/>
    <w:qFormat/>
    <w:rsid w:val="0048254D"/>
    <w:pPr>
      <w:widowControl w:val="0"/>
      <w:autoSpaceDE w:val="0"/>
      <w:autoSpaceDN w:val="0"/>
      <w:adjustRightInd w:val="0"/>
      <w:spacing w:after="0" w:line="240" w:lineRule="atLeast"/>
      <w:ind w:left="480" w:hanging="480"/>
      <w:jc w:val="both"/>
    </w:pPr>
    <w:rPr>
      <w:rFonts w:ascii="Palatino Linotype" w:hAnsi="Palatino Linotype" w:cs="Times New Roman"/>
      <w:noProof/>
      <w:sz w:val="20"/>
      <w:szCs w:val="20"/>
    </w:rPr>
  </w:style>
  <w:style w:type="character" w:styleId="Hyperlink">
    <w:name w:val="Hyperlink"/>
    <w:uiPriority w:val="99"/>
    <w:unhideWhenUsed/>
    <w:qFormat/>
    <w:rsid w:val="008E64A2"/>
    <w:rPr>
      <w:color w:val="0563C1"/>
      <w:u w:val="single"/>
    </w:rPr>
  </w:style>
  <w:style w:type="paragraph" w:styleId="Header">
    <w:name w:val="header"/>
    <w:basedOn w:val="Normal"/>
    <w:link w:val="HeaderChar"/>
    <w:uiPriority w:val="99"/>
    <w:unhideWhenUsed/>
    <w:qFormat/>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8E64A2"/>
  </w:style>
  <w:style w:type="paragraph" w:styleId="Footer">
    <w:name w:val="footer"/>
    <w:basedOn w:val="Normal"/>
    <w:link w:val="FooterChar"/>
    <w:uiPriority w:val="99"/>
    <w:unhideWhenUsed/>
    <w:qFormat/>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8E64A2"/>
  </w:style>
  <w:style w:type="paragraph" w:styleId="FootnoteText">
    <w:name w:val="footnote text"/>
    <w:aliases w:val="Char"/>
    <w:basedOn w:val="Normal"/>
    <w:link w:val="FootnoteTextChar"/>
    <w:uiPriority w:val="99"/>
    <w:unhideWhenUsed/>
    <w:qFormat/>
    <w:rsid w:val="00056E9C"/>
    <w:pPr>
      <w:spacing w:after="0" w:line="240" w:lineRule="auto"/>
    </w:pPr>
    <w:rPr>
      <w:sz w:val="20"/>
      <w:szCs w:val="20"/>
    </w:rPr>
  </w:style>
  <w:style w:type="character" w:customStyle="1" w:styleId="FootnoteTextChar">
    <w:name w:val="Footnote Text Char"/>
    <w:aliases w:val="Char Char"/>
    <w:basedOn w:val="DefaultParagraphFont"/>
    <w:link w:val="FootnoteText"/>
    <w:uiPriority w:val="99"/>
    <w:qFormat/>
    <w:rsid w:val="00056E9C"/>
    <w:rPr>
      <w:sz w:val="20"/>
      <w:szCs w:val="20"/>
    </w:rPr>
  </w:style>
  <w:style w:type="character" w:styleId="FootnoteReference">
    <w:name w:val="footnote reference"/>
    <w:basedOn w:val="DefaultParagraphFont"/>
    <w:uiPriority w:val="99"/>
    <w:unhideWhenUsed/>
    <w:qFormat/>
    <w:rsid w:val="00056E9C"/>
    <w:rPr>
      <w:vertAlign w:val="superscript"/>
    </w:rPr>
  </w:style>
  <w:style w:type="character" w:customStyle="1" w:styleId="UnresolvedMention1">
    <w:name w:val="Unresolved Mention1"/>
    <w:basedOn w:val="DefaultParagraphFont"/>
    <w:uiPriority w:val="99"/>
    <w:semiHidden/>
    <w:unhideWhenUsed/>
    <w:qFormat/>
    <w:rsid w:val="00BF0A78"/>
    <w:rPr>
      <w:color w:val="605E5C"/>
      <w:shd w:val="clear" w:color="auto" w:fill="E1DFDD"/>
    </w:rPr>
  </w:style>
  <w:style w:type="character" w:customStyle="1" w:styleId="Heading1Char">
    <w:name w:val="Heading 1 Char"/>
    <w:basedOn w:val="DefaultParagraphFont"/>
    <w:link w:val="Heading1"/>
    <w:qFormat/>
    <w:rsid w:val="008858AA"/>
    <w:rPr>
      <w:rFonts w:ascii="Times New Roman" w:eastAsia="Times New Roman" w:hAnsi="Times New Roman" w:cs="Arial"/>
      <w:b/>
      <w:bCs/>
      <w:kern w:val="32"/>
      <w:sz w:val="24"/>
      <w:szCs w:val="32"/>
      <w:lang w:val="en-GB" w:eastAsia="en-GB"/>
    </w:rPr>
  </w:style>
  <w:style w:type="character" w:customStyle="1" w:styleId="Heading2Char">
    <w:name w:val="Heading 2 Char"/>
    <w:basedOn w:val="DefaultParagraphFont"/>
    <w:link w:val="Heading2"/>
    <w:uiPriority w:val="9"/>
    <w:qFormat/>
    <w:rsid w:val="008858AA"/>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qFormat/>
    <w:rsid w:val="008858AA"/>
    <w:rPr>
      <w:rFonts w:asciiTheme="majorHAnsi" w:eastAsiaTheme="majorEastAsia" w:hAnsiTheme="majorHAnsi" w:cstheme="majorBidi"/>
      <w:color w:val="1F3763" w:themeColor="accent1" w:themeShade="7F"/>
      <w:sz w:val="24"/>
      <w:szCs w:val="24"/>
    </w:rPr>
  </w:style>
  <w:style w:type="character" w:styleId="Strong">
    <w:name w:val="Strong"/>
    <w:basedOn w:val="DefaultParagraphFont"/>
    <w:uiPriority w:val="22"/>
    <w:qFormat/>
    <w:rsid w:val="005A7A9C"/>
    <w:rPr>
      <w:b/>
      <w:bCs/>
    </w:rPr>
  </w:style>
  <w:style w:type="paragraph" w:styleId="NormalWeb">
    <w:name w:val="Normal (Web)"/>
    <w:basedOn w:val="Normal"/>
    <w:uiPriority w:val="99"/>
    <w:unhideWhenUsed/>
    <w:qFormat/>
    <w:rsid w:val="00966B3D"/>
    <w:rPr>
      <w:rFonts w:ascii="Times New Roman" w:hAnsi="Times New Roman" w:cs="Times New Roman"/>
      <w:sz w:val="24"/>
      <w:szCs w:val="24"/>
    </w:rPr>
  </w:style>
  <w:style w:type="paragraph" w:styleId="ListParagraph">
    <w:name w:val="List Paragraph"/>
    <w:aliases w:val="Body of text"/>
    <w:basedOn w:val="Normal"/>
    <w:link w:val="ListParagraphChar"/>
    <w:uiPriority w:val="34"/>
    <w:qFormat/>
    <w:rsid w:val="00966B3D"/>
    <w:pPr>
      <w:spacing w:after="200" w:line="276" w:lineRule="auto"/>
      <w:ind w:left="720"/>
      <w:contextualSpacing/>
    </w:pPr>
    <w:rPr>
      <w:rFonts w:eastAsiaTheme="minorEastAsia" w:cs="Arial"/>
      <w:lang w:val="id-ID"/>
    </w:rPr>
  </w:style>
  <w:style w:type="character" w:styleId="CommentReference">
    <w:name w:val="annotation reference"/>
    <w:basedOn w:val="DefaultParagraphFont"/>
    <w:uiPriority w:val="99"/>
    <w:semiHidden/>
    <w:unhideWhenUsed/>
    <w:qFormat/>
    <w:rsid w:val="00366DA9"/>
    <w:rPr>
      <w:sz w:val="16"/>
      <w:szCs w:val="16"/>
    </w:rPr>
  </w:style>
  <w:style w:type="paragraph" w:styleId="CommentText">
    <w:name w:val="annotation text"/>
    <w:basedOn w:val="Normal"/>
    <w:link w:val="CommentTextChar"/>
    <w:uiPriority w:val="99"/>
    <w:semiHidden/>
    <w:unhideWhenUsed/>
    <w:qFormat/>
    <w:rsid w:val="00366DA9"/>
    <w:pPr>
      <w:spacing w:line="240" w:lineRule="auto"/>
    </w:pPr>
    <w:rPr>
      <w:sz w:val="20"/>
      <w:szCs w:val="20"/>
    </w:rPr>
  </w:style>
  <w:style w:type="character" w:customStyle="1" w:styleId="CommentTextChar">
    <w:name w:val="Comment Text Char"/>
    <w:basedOn w:val="DefaultParagraphFont"/>
    <w:link w:val="CommentText"/>
    <w:uiPriority w:val="99"/>
    <w:semiHidden/>
    <w:qFormat/>
    <w:rsid w:val="00366DA9"/>
    <w:rPr>
      <w:sz w:val="20"/>
      <w:szCs w:val="20"/>
    </w:rPr>
  </w:style>
  <w:style w:type="paragraph" w:styleId="CommentSubject">
    <w:name w:val="annotation subject"/>
    <w:basedOn w:val="CommentText"/>
    <w:next w:val="CommentText"/>
    <w:link w:val="CommentSubjectChar"/>
    <w:uiPriority w:val="99"/>
    <w:semiHidden/>
    <w:unhideWhenUsed/>
    <w:qFormat/>
    <w:rsid w:val="00366DA9"/>
    <w:rPr>
      <w:b/>
      <w:bCs/>
    </w:rPr>
  </w:style>
  <w:style w:type="character" w:customStyle="1" w:styleId="CommentSubjectChar">
    <w:name w:val="Comment Subject Char"/>
    <w:basedOn w:val="CommentTextChar"/>
    <w:link w:val="CommentSubject"/>
    <w:uiPriority w:val="99"/>
    <w:semiHidden/>
    <w:qFormat/>
    <w:rsid w:val="00366DA9"/>
    <w:rPr>
      <w:b/>
      <w:bCs/>
      <w:sz w:val="20"/>
      <w:szCs w:val="20"/>
    </w:rPr>
  </w:style>
  <w:style w:type="paragraph" w:styleId="BalloonText">
    <w:name w:val="Balloon Text"/>
    <w:basedOn w:val="Normal"/>
    <w:link w:val="BalloonTextChar"/>
    <w:uiPriority w:val="99"/>
    <w:semiHidden/>
    <w:unhideWhenUsed/>
    <w:qFormat/>
    <w:rsid w:val="00366D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366DA9"/>
    <w:rPr>
      <w:rFonts w:ascii="Segoe UI" w:hAnsi="Segoe UI" w:cs="Segoe UI"/>
      <w:sz w:val="18"/>
      <w:szCs w:val="18"/>
    </w:rPr>
  </w:style>
  <w:style w:type="character" w:customStyle="1" w:styleId="tlid-translation">
    <w:name w:val="tlid-translation"/>
    <w:basedOn w:val="DefaultParagraphFont"/>
    <w:rsid w:val="007E0F04"/>
  </w:style>
  <w:style w:type="table" w:customStyle="1" w:styleId="PlainTable2">
    <w:name w:val="Plain Table 2"/>
    <w:basedOn w:val="TableNormal"/>
    <w:uiPriority w:val="42"/>
    <w:rsid w:val="007E0F04"/>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8D272B"/>
    <w:pPr>
      <w:spacing w:after="200" w:line="240" w:lineRule="auto"/>
    </w:pPr>
    <w:rPr>
      <w:i/>
      <w:iCs/>
      <w:color w:val="44546A" w:themeColor="text2"/>
      <w:sz w:val="18"/>
      <w:szCs w:val="18"/>
    </w:rPr>
  </w:style>
  <w:style w:type="character" w:customStyle="1" w:styleId="UnresolvedMention2">
    <w:name w:val="Unresolved Mention2"/>
    <w:basedOn w:val="DefaultParagraphFont"/>
    <w:uiPriority w:val="99"/>
    <w:semiHidden/>
    <w:unhideWhenUsed/>
    <w:rsid w:val="005C4902"/>
    <w:rPr>
      <w:color w:val="605E5C"/>
      <w:shd w:val="clear" w:color="auto" w:fill="E1DFDD"/>
    </w:rPr>
  </w:style>
  <w:style w:type="character" w:customStyle="1" w:styleId="UnresolvedMention3">
    <w:name w:val="Unresolved Mention3"/>
    <w:basedOn w:val="DefaultParagraphFont"/>
    <w:uiPriority w:val="99"/>
    <w:semiHidden/>
    <w:unhideWhenUsed/>
    <w:rsid w:val="00784B9B"/>
    <w:rPr>
      <w:color w:val="605E5C"/>
      <w:shd w:val="clear" w:color="auto" w:fill="E1DFDD"/>
    </w:rPr>
  </w:style>
  <w:style w:type="paragraph" w:styleId="TOC1">
    <w:name w:val="toc 1"/>
    <w:basedOn w:val="Normal"/>
    <w:uiPriority w:val="1"/>
    <w:qFormat/>
    <w:rsid w:val="0061136D"/>
    <w:pPr>
      <w:widowControl w:val="0"/>
      <w:autoSpaceDE w:val="0"/>
      <w:autoSpaceDN w:val="0"/>
      <w:spacing w:before="123" w:after="0" w:line="240" w:lineRule="auto"/>
      <w:ind w:right="983"/>
      <w:jc w:val="right"/>
    </w:pPr>
    <w:rPr>
      <w:rFonts w:ascii="Times New Roman" w:eastAsia="Times New Roman" w:hAnsi="Times New Roman" w:cs="Times New Roman"/>
      <w:b/>
      <w:bCs/>
      <w:sz w:val="24"/>
      <w:szCs w:val="24"/>
      <w:lang w:val="en-US" w:bidi="en-US"/>
    </w:rPr>
  </w:style>
  <w:style w:type="paragraph" w:styleId="TOC2">
    <w:name w:val="toc 2"/>
    <w:basedOn w:val="Normal"/>
    <w:uiPriority w:val="1"/>
    <w:qFormat/>
    <w:rsid w:val="0061136D"/>
    <w:pPr>
      <w:widowControl w:val="0"/>
      <w:autoSpaceDE w:val="0"/>
      <w:autoSpaceDN w:val="0"/>
      <w:spacing w:before="122" w:after="0" w:line="240" w:lineRule="auto"/>
      <w:ind w:right="983"/>
      <w:jc w:val="right"/>
    </w:pPr>
    <w:rPr>
      <w:rFonts w:ascii="Times New Roman" w:eastAsia="Times New Roman" w:hAnsi="Times New Roman" w:cs="Times New Roman"/>
      <w:sz w:val="24"/>
      <w:szCs w:val="24"/>
      <w:lang w:val="en-US" w:bidi="en-US"/>
    </w:rPr>
  </w:style>
  <w:style w:type="paragraph" w:styleId="TOC3">
    <w:name w:val="toc 3"/>
    <w:basedOn w:val="Normal"/>
    <w:uiPriority w:val="1"/>
    <w:qFormat/>
    <w:rsid w:val="0061136D"/>
    <w:pPr>
      <w:widowControl w:val="0"/>
      <w:autoSpaceDE w:val="0"/>
      <w:autoSpaceDN w:val="0"/>
      <w:spacing w:before="122" w:after="0" w:line="240" w:lineRule="auto"/>
      <w:ind w:left="1405" w:right="983" w:hanging="1406"/>
      <w:jc w:val="right"/>
    </w:pPr>
    <w:rPr>
      <w:rFonts w:ascii="Times New Roman" w:eastAsia="Times New Roman" w:hAnsi="Times New Roman" w:cs="Times New Roman"/>
      <w:i/>
      <w:sz w:val="24"/>
      <w:szCs w:val="24"/>
      <w:lang w:val="en-US" w:bidi="en-US"/>
    </w:rPr>
  </w:style>
  <w:style w:type="paragraph" w:styleId="BodyText">
    <w:name w:val="Body Text"/>
    <w:basedOn w:val="Normal"/>
    <w:link w:val="BodyTextChar"/>
    <w:uiPriority w:val="1"/>
    <w:qFormat/>
    <w:rsid w:val="0061136D"/>
    <w:pPr>
      <w:widowControl w:val="0"/>
      <w:autoSpaceDE w:val="0"/>
      <w:autoSpaceDN w:val="0"/>
      <w:spacing w:after="0" w:line="240" w:lineRule="auto"/>
    </w:pPr>
    <w:rPr>
      <w:rFonts w:ascii="Times New Roman" w:eastAsia="Times New Roman" w:hAnsi="Times New Roman" w:cs="Times New Roman"/>
      <w:sz w:val="24"/>
      <w:szCs w:val="24"/>
      <w:lang w:val="en-US" w:bidi="en-US"/>
    </w:rPr>
  </w:style>
  <w:style w:type="character" w:customStyle="1" w:styleId="BodyTextChar">
    <w:name w:val="Body Text Char"/>
    <w:basedOn w:val="DefaultParagraphFont"/>
    <w:link w:val="BodyText"/>
    <w:uiPriority w:val="1"/>
    <w:rsid w:val="0061136D"/>
    <w:rPr>
      <w:rFonts w:ascii="Times New Roman" w:eastAsia="Times New Roman" w:hAnsi="Times New Roman" w:cs="Times New Roman"/>
      <w:sz w:val="24"/>
      <w:szCs w:val="24"/>
      <w:lang w:val="en-US" w:bidi="en-US"/>
    </w:rPr>
  </w:style>
  <w:style w:type="paragraph" w:customStyle="1" w:styleId="TableParagraph">
    <w:name w:val="Table Paragraph"/>
    <w:basedOn w:val="Normal"/>
    <w:uiPriority w:val="1"/>
    <w:qFormat/>
    <w:rsid w:val="0061136D"/>
    <w:pPr>
      <w:widowControl w:val="0"/>
      <w:autoSpaceDE w:val="0"/>
      <w:autoSpaceDN w:val="0"/>
      <w:spacing w:after="0" w:line="240" w:lineRule="auto"/>
    </w:pPr>
    <w:rPr>
      <w:rFonts w:ascii="Times New Roman" w:eastAsia="Times New Roman" w:hAnsi="Times New Roman" w:cs="Times New Roman"/>
      <w:lang w:val="en-US" w:bidi="en-US"/>
    </w:rPr>
  </w:style>
  <w:style w:type="character" w:customStyle="1" w:styleId="lc">
    <w:name w:val="lc"/>
    <w:basedOn w:val="DefaultParagraphFont"/>
    <w:rsid w:val="0061136D"/>
  </w:style>
  <w:style w:type="character" w:customStyle="1" w:styleId="kw">
    <w:name w:val="kw"/>
    <w:basedOn w:val="DefaultParagraphFont"/>
    <w:rsid w:val="0061136D"/>
  </w:style>
  <w:style w:type="character" w:customStyle="1" w:styleId="rc">
    <w:name w:val="rc"/>
    <w:basedOn w:val="DefaultParagraphFont"/>
    <w:rsid w:val="0061136D"/>
  </w:style>
  <w:style w:type="character" w:customStyle="1" w:styleId="st">
    <w:name w:val="st"/>
    <w:basedOn w:val="DefaultParagraphFont"/>
    <w:rsid w:val="0061136D"/>
  </w:style>
  <w:style w:type="character" w:customStyle="1" w:styleId="UnresolvedMention">
    <w:name w:val="Unresolved Mention"/>
    <w:basedOn w:val="DefaultParagraphFont"/>
    <w:uiPriority w:val="99"/>
    <w:semiHidden/>
    <w:unhideWhenUsed/>
    <w:rsid w:val="00887B61"/>
    <w:rPr>
      <w:color w:val="605E5C"/>
      <w:shd w:val="clear" w:color="auto" w:fill="E1DFDD"/>
    </w:rPr>
  </w:style>
  <w:style w:type="table" w:styleId="TableGrid">
    <w:name w:val="Table Grid"/>
    <w:basedOn w:val="TableNormal"/>
    <w:uiPriority w:val="59"/>
    <w:qFormat/>
    <w:rsid w:val="00FF5CD8"/>
    <w:pPr>
      <w:spacing w:after="0" w:line="240" w:lineRule="auto"/>
    </w:pPr>
    <w:rPr>
      <w:rFonts w:eastAsiaTheme="minorEastAsia"/>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3">
    <w:name w:val="Body Text Indent 3"/>
    <w:basedOn w:val="Normal"/>
    <w:link w:val="BodyTextIndent3Char"/>
    <w:uiPriority w:val="99"/>
    <w:semiHidden/>
    <w:unhideWhenUsed/>
    <w:rsid w:val="0048254D"/>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48254D"/>
    <w:rPr>
      <w:sz w:val="16"/>
      <w:szCs w:val="16"/>
    </w:rPr>
  </w:style>
  <w:style w:type="character" w:customStyle="1" w:styleId="ListParagraphChar">
    <w:name w:val="List Paragraph Char"/>
    <w:aliases w:val="Body of text Char"/>
    <w:basedOn w:val="DefaultParagraphFont"/>
    <w:link w:val="ListParagraph"/>
    <w:uiPriority w:val="34"/>
    <w:locked/>
    <w:rsid w:val="00C37B1B"/>
    <w:rPr>
      <w:rFonts w:eastAsiaTheme="minorEastAsia" w:cs="Arial"/>
      <w:lang w:val="id-ID"/>
    </w:rPr>
  </w:style>
  <w:style w:type="paragraph" w:styleId="NoSpacing">
    <w:name w:val="No Spacing"/>
    <w:link w:val="NoSpacingChar"/>
    <w:uiPriority w:val="1"/>
    <w:qFormat/>
    <w:rsid w:val="00C37B1B"/>
    <w:pPr>
      <w:spacing w:after="0" w:line="240" w:lineRule="auto"/>
    </w:pPr>
    <w:rPr>
      <w:rFonts w:eastAsiaTheme="minorEastAsia"/>
      <w:lang w:val="id-ID" w:eastAsia="id-ID"/>
    </w:rPr>
  </w:style>
  <w:style w:type="paragraph" w:styleId="HTMLPreformatted">
    <w:name w:val="HTML Preformatted"/>
    <w:basedOn w:val="Normal"/>
    <w:link w:val="HTMLPreformattedChar"/>
    <w:uiPriority w:val="99"/>
    <w:unhideWhenUsed/>
    <w:qFormat/>
    <w:rsid w:val="00C37B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C37B1B"/>
    <w:rPr>
      <w:rFonts w:ascii="Courier New" w:eastAsia="Times New Roman" w:hAnsi="Courier New" w:cs="Courier New"/>
      <w:sz w:val="20"/>
      <w:szCs w:val="20"/>
      <w:lang w:val="en-US"/>
    </w:rPr>
  </w:style>
  <w:style w:type="table" w:customStyle="1" w:styleId="PlainTable4">
    <w:name w:val="Plain Table 4"/>
    <w:basedOn w:val="TableNormal"/>
    <w:uiPriority w:val="44"/>
    <w:rsid w:val="00C37B1B"/>
    <w:pPr>
      <w:spacing w:after="0" w:line="240" w:lineRule="auto"/>
    </w:pPr>
    <w:rPr>
      <w:rFonts w:eastAsiaTheme="minorHAnsi"/>
      <w:lang w:val="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59"/>
    <w:rsid w:val="00921BF0"/>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SpacingChar">
    <w:name w:val="No Spacing Char"/>
    <w:link w:val="NoSpacing"/>
    <w:uiPriority w:val="1"/>
    <w:locked/>
    <w:rsid w:val="00B7027E"/>
    <w:rPr>
      <w:rFonts w:eastAsiaTheme="minorEastAsia"/>
      <w:lang w:val="id-ID" w:eastAsia="id-ID"/>
    </w:rPr>
  </w:style>
  <w:style w:type="paragraph" w:customStyle="1" w:styleId="Alishlah24HEading4">
    <w:name w:val="Alishlah_2.4 HEading4"/>
    <w:basedOn w:val="Heading3"/>
    <w:link w:val="Alishlah24HEading4Char"/>
    <w:qFormat/>
    <w:rsid w:val="002B31FD"/>
    <w:pPr>
      <w:spacing w:before="0"/>
    </w:pPr>
    <w:rPr>
      <w:rFonts w:ascii="Palatino Linotype" w:hAnsi="Palatino Linotype" w:cs="Times New Roman"/>
      <w:i/>
      <w:color w:val="auto"/>
      <w:sz w:val="20"/>
      <w:szCs w:val="20"/>
    </w:rPr>
  </w:style>
  <w:style w:type="character" w:customStyle="1" w:styleId="Alishlah24HEading4Char">
    <w:name w:val="Alishlah_2.4 HEading4 Char"/>
    <w:basedOn w:val="Heading3Char"/>
    <w:link w:val="Alishlah24HEading4"/>
    <w:rsid w:val="002B31FD"/>
    <w:rPr>
      <w:rFonts w:ascii="Palatino Linotype" w:eastAsiaTheme="majorEastAsia" w:hAnsi="Palatino Linotype" w:cs="Times New Roman"/>
      <w:i/>
      <w:color w:val="1F3763" w:themeColor="accent1" w:themeShade="7F"/>
      <w:sz w:val="20"/>
      <w:szCs w:val="20"/>
    </w:rPr>
  </w:style>
  <w:style w:type="paragraph" w:customStyle="1" w:styleId="msonormal0">
    <w:name w:val="msonormal"/>
    <w:basedOn w:val="Normal"/>
    <w:rsid w:val="000F3ED6"/>
    <w:pPr>
      <w:spacing w:before="100" w:beforeAutospacing="1" w:after="100" w:afterAutospacing="1" w:line="240" w:lineRule="auto"/>
    </w:pPr>
    <w:rPr>
      <w:rFonts w:ascii="Times New Roman" w:eastAsia="Times New Roman" w:hAnsi="Times New Roman" w:cs="Times New Roman"/>
      <w:sz w:val="24"/>
      <w:szCs w:val="24"/>
      <w:lang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324273">
      <w:bodyDiv w:val="1"/>
      <w:marLeft w:val="0"/>
      <w:marRight w:val="0"/>
      <w:marTop w:val="0"/>
      <w:marBottom w:val="0"/>
      <w:divBdr>
        <w:top w:val="none" w:sz="0" w:space="0" w:color="auto"/>
        <w:left w:val="none" w:sz="0" w:space="0" w:color="auto"/>
        <w:bottom w:val="none" w:sz="0" w:space="0" w:color="auto"/>
        <w:right w:val="none" w:sz="0" w:space="0" w:color="auto"/>
      </w:divBdr>
    </w:div>
    <w:div w:id="101416107">
      <w:bodyDiv w:val="1"/>
      <w:marLeft w:val="0"/>
      <w:marRight w:val="0"/>
      <w:marTop w:val="0"/>
      <w:marBottom w:val="0"/>
      <w:divBdr>
        <w:top w:val="none" w:sz="0" w:space="0" w:color="auto"/>
        <w:left w:val="none" w:sz="0" w:space="0" w:color="auto"/>
        <w:bottom w:val="none" w:sz="0" w:space="0" w:color="auto"/>
        <w:right w:val="none" w:sz="0" w:space="0" w:color="auto"/>
      </w:divBdr>
    </w:div>
    <w:div w:id="142738560">
      <w:bodyDiv w:val="1"/>
      <w:marLeft w:val="0"/>
      <w:marRight w:val="0"/>
      <w:marTop w:val="0"/>
      <w:marBottom w:val="0"/>
      <w:divBdr>
        <w:top w:val="none" w:sz="0" w:space="0" w:color="auto"/>
        <w:left w:val="none" w:sz="0" w:space="0" w:color="auto"/>
        <w:bottom w:val="none" w:sz="0" w:space="0" w:color="auto"/>
        <w:right w:val="none" w:sz="0" w:space="0" w:color="auto"/>
      </w:divBdr>
    </w:div>
    <w:div w:id="195629970">
      <w:bodyDiv w:val="1"/>
      <w:marLeft w:val="0"/>
      <w:marRight w:val="0"/>
      <w:marTop w:val="0"/>
      <w:marBottom w:val="0"/>
      <w:divBdr>
        <w:top w:val="none" w:sz="0" w:space="0" w:color="auto"/>
        <w:left w:val="none" w:sz="0" w:space="0" w:color="auto"/>
        <w:bottom w:val="none" w:sz="0" w:space="0" w:color="auto"/>
        <w:right w:val="none" w:sz="0" w:space="0" w:color="auto"/>
      </w:divBdr>
    </w:div>
    <w:div w:id="207451430">
      <w:bodyDiv w:val="1"/>
      <w:marLeft w:val="0"/>
      <w:marRight w:val="0"/>
      <w:marTop w:val="0"/>
      <w:marBottom w:val="0"/>
      <w:divBdr>
        <w:top w:val="none" w:sz="0" w:space="0" w:color="auto"/>
        <w:left w:val="none" w:sz="0" w:space="0" w:color="auto"/>
        <w:bottom w:val="none" w:sz="0" w:space="0" w:color="auto"/>
        <w:right w:val="none" w:sz="0" w:space="0" w:color="auto"/>
      </w:divBdr>
    </w:div>
    <w:div w:id="269317879">
      <w:bodyDiv w:val="1"/>
      <w:marLeft w:val="0"/>
      <w:marRight w:val="0"/>
      <w:marTop w:val="0"/>
      <w:marBottom w:val="0"/>
      <w:divBdr>
        <w:top w:val="none" w:sz="0" w:space="0" w:color="auto"/>
        <w:left w:val="none" w:sz="0" w:space="0" w:color="auto"/>
        <w:bottom w:val="none" w:sz="0" w:space="0" w:color="auto"/>
        <w:right w:val="none" w:sz="0" w:space="0" w:color="auto"/>
      </w:divBdr>
    </w:div>
    <w:div w:id="358700256">
      <w:bodyDiv w:val="1"/>
      <w:marLeft w:val="0"/>
      <w:marRight w:val="0"/>
      <w:marTop w:val="0"/>
      <w:marBottom w:val="0"/>
      <w:divBdr>
        <w:top w:val="none" w:sz="0" w:space="0" w:color="auto"/>
        <w:left w:val="none" w:sz="0" w:space="0" w:color="auto"/>
        <w:bottom w:val="none" w:sz="0" w:space="0" w:color="auto"/>
        <w:right w:val="none" w:sz="0" w:space="0" w:color="auto"/>
      </w:divBdr>
    </w:div>
    <w:div w:id="384335053">
      <w:bodyDiv w:val="1"/>
      <w:marLeft w:val="0"/>
      <w:marRight w:val="0"/>
      <w:marTop w:val="0"/>
      <w:marBottom w:val="0"/>
      <w:divBdr>
        <w:top w:val="none" w:sz="0" w:space="0" w:color="auto"/>
        <w:left w:val="none" w:sz="0" w:space="0" w:color="auto"/>
        <w:bottom w:val="none" w:sz="0" w:space="0" w:color="auto"/>
        <w:right w:val="none" w:sz="0" w:space="0" w:color="auto"/>
      </w:divBdr>
    </w:div>
    <w:div w:id="391583877">
      <w:bodyDiv w:val="1"/>
      <w:marLeft w:val="0"/>
      <w:marRight w:val="0"/>
      <w:marTop w:val="0"/>
      <w:marBottom w:val="0"/>
      <w:divBdr>
        <w:top w:val="none" w:sz="0" w:space="0" w:color="auto"/>
        <w:left w:val="none" w:sz="0" w:space="0" w:color="auto"/>
        <w:bottom w:val="none" w:sz="0" w:space="0" w:color="auto"/>
        <w:right w:val="none" w:sz="0" w:space="0" w:color="auto"/>
      </w:divBdr>
    </w:div>
    <w:div w:id="407534032">
      <w:bodyDiv w:val="1"/>
      <w:marLeft w:val="0"/>
      <w:marRight w:val="0"/>
      <w:marTop w:val="0"/>
      <w:marBottom w:val="0"/>
      <w:divBdr>
        <w:top w:val="none" w:sz="0" w:space="0" w:color="auto"/>
        <w:left w:val="none" w:sz="0" w:space="0" w:color="auto"/>
        <w:bottom w:val="none" w:sz="0" w:space="0" w:color="auto"/>
        <w:right w:val="none" w:sz="0" w:space="0" w:color="auto"/>
      </w:divBdr>
    </w:div>
    <w:div w:id="412362763">
      <w:bodyDiv w:val="1"/>
      <w:marLeft w:val="0"/>
      <w:marRight w:val="0"/>
      <w:marTop w:val="0"/>
      <w:marBottom w:val="0"/>
      <w:divBdr>
        <w:top w:val="none" w:sz="0" w:space="0" w:color="auto"/>
        <w:left w:val="none" w:sz="0" w:space="0" w:color="auto"/>
        <w:bottom w:val="none" w:sz="0" w:space="0" w:color="auto"/>
        <w:right w:val="none" w:sz="0" w:space="0" w:color="auto"/>
      </w:divBdr>
    </w:div>
    <w:div w:id="413010094">
      <w:bodyDiv w:val="1"/>
      <w:marLeft w:val="0"/>
      <w:marRight w:val="0"/>
      <w:marTop w:val="0"/>
      <w:marBottom w:val="0"/>
      <w:divBdr>
        <w:top w:val="none" w:sz="0" w:space="0" w:color="auto"/>
        <w:left w:val="none" w:sz="0" w:space="0" w:color="auto"/>
        <w:bottom w:val="none" w:sz="0" w:space="0" w:color="auto"/>
        <w:right w:val="none" w:sz="0" w:space="0" w:color="auto"/>
      </w:divBdr>
    </w:div>
    <w:div w:id="450634083">
      <w:bodyDiv w:val="1"/>
      <w:marLeft w:val="0"/>
      <w:marRight w:val="0"/>
      <w:marTop w:val="0"/>
      <w:marBottom w:val="0"/>
      <w:divBdr>
        <w:top w:val="none" w:sz="0" w:space="0" w:color="auto"/>
        <w:left w:val="none" w:sz="0" w:space="0" w:color="auto"/>
        <w:bottom w:val="none" w:sz="0" w:space="0" w:color="auto"/>
        <w:right w:val="none" w:sz="0" w:space="0" w:color="auto"/>
      </w:divBdr>
    </w:div>
    <w:div w:id="514461800">
      <w:bodyDiv w:val="1"/>
      <w:marLeft w:val="0"/>
      <w:marRight w:val="0"/>
      <w:marTop w:val="0"/>
      <w:marBottom w:val="0"/>
      <w:divBdr>
        <w:top w:val="none" w:sz="0" w:space="0" w:color="auto"/>
        <w:left w:val="none" w:sz="0" w:space="0" w:color="auto"/>
        <w:bottom w:val="none" w:sz="0" w:space="0" w:color="auto"/>
        <w:right w:val="none" w:sz="0" w:space="0" w:color="auto"/>
      </w:divBdr>
    </w:div>
    <w:div w:id="569851219">
      <w:bodyDiv w:val="1"/>
      <w:marLeft w:val="0"/>
      <w:marRight w:val="0"/>
      <w:marTop w:val="0"/>
      <w:marBottom w:val="0"/>
      <w:divBdr>
        <w:top w:val="none" w:sz="0" w:space="0" w:color="auto"/>
        <w:left w:val="none" w:sz="0" w:space="0" w:color="auto"/>
        <w:bottom w:val="none" w:sz="0" w:space="0" w:color="auto"/>
        <w:right w:val="none" w:sz="0" w:space="0" w:color="auto"/>
      </w:divBdr>
    </w:div>
    <w:div w:id="604268494">
      <w:bodyDiv w:val="1"/>
      <w:marLeft w:val="0"/>
      <w:marRight w:val="0"/>
      <w:marTop w:val="0"/>
      <w:marBottom w:val="0"/>
      <w:divBdr>
        <w:top w:val="none" w:sz="0" w:space="0" w:color="auto"/>
        <w:left w:val="none" w:sz="0" w:space="0" w:color="auto"/>
        <w:bottom w:val="none" w:sz="0" w:space="0" w:color="auto"/>
        <w:right w:val="none" w:sz="0" w:space="0" w:color="auto"/>
      </w:divBdr>
    </w:div>
    <w:div w:id="669604388">
      <w:bodyDiv w:val="1"/>
      <w:marLeft w:val="0"/>
      <w:marRight w:val="0"/>
      <w:marTop w:val="0"/>
      <w:marBottom w:val="0"/>
      <w:divBdr>
        <w:top w:val="none" w:sz="0" w:space="0" w:color="auto"/>
        <w:left w:val="none" w:sz="0" w:space="0" w:color="auto"/>
        <w:bottom w:val="none" w:sz="0" w:space="0" w:color="auto"/>
        <w:right w:val="none" w:sz="0" w:space="0" w:color="auto"/>
      </w:divBdr>
    </w:div>
    <w:div w:id="671100971">
      <w:bodyDiv w:val="1"/>
      <w:marLeft w:val="0"/>
      <w:marRight w:val="0"/>
      <w:marTop w:val="0"/>
      <w:marBottom w:val="0"/>
      <w:divBdr>
        <w:top w:val="none" w:sz="0" w:space="0" w:color="auto"/>
        <w:left w:val="none" w:sz="0" w:space="0" w:color="auto"/>
        <w:bottom w:val="none" w:sz="0" w:space="0" w:color="auto"/>
        <w:right w:val="none" w:sz="0" w:space="0" w:color="auto"/>
      </w:divBdr>
    </w:div>
    <w:div w:id="866066288">
      <w:bodyDiv w:val="1"/>
      <w:marLeft w:val="0"/>
      <w:marRight w:val="0"/>
      <w:marTop w:val="0"/>
      <w:marBottom w:val="0"/>
      <w:divBdr>
        <w:top w:val="none" w:sz="0" w:space="0" w:color="auto"/>
        <w:left w:val="none" w:sz="0" w:space="0" w:color="auto"/>
        <w:bottom w:val="none" w:sz="0" w:space="0" w:color="auto"/>
        <w:right w:val="none" w:sz="0" w:space="0" w:color="auto"/>
      </w:divBdr>
    </w:div>
    <w:div w:id="917784150">
      <w:bodyDiv w:val="1"/>
      <w:marLeft w:val="0"/>
      <w:marRight w:val="0"/>
      <w:marTop w:val="0"/>
      <w:marBottom w:val="0"/>
      <w:divBdr>
        <w:top w:val="none" w:sz="0" w:space="0" w:color="auto"/>
        <w:left w:val="none" w:sz="0" w:space="0" w:color="auto"/>
        <w:bottom w:val="none" w:sz="0" w:space="0" w:color="auto"/>
        <w:right w:val="none" w:sz="0" w:space="0" w:color="auto"/>
      </w:divBdr>
    </w:div>
    <w:div w:id="933511356">
      <w:bodyDiv w:val="1"/>
      <w:marLeft w:val="0"/>
      <w:marRight w:val="0"/>
      <w:marTop w:val="0"/>
      <w:marBottom w:val="0"/>
      <w:divBdr>
        <w:top w:val="none" w:sz="0" w:space="0" w:color="auto"/>
        <w:left w:val="none" w:sz="0" w:space="0" w:color="auto"/>
        <w:bottom w:val="none" w:sz="0" w:space="0" w:color="auto"/>
        <w:right w:val="none" w:sz="0" w:space="0" w:color="auto"/>
      </w:divBdr>
    </w:div>
    <w:div w:id="1010258053">
      <w:bodyDiv w:val="1"/>
      <w:marLeft w:val="0"/>
      <w:marRight w:val="0"/>
      <w:marTop w:val="0"/>
      <w:marBottom w:val="0"/>
      <w:divBdr>
        <w:top w:val="none" w:sz="0" w:space="0" w:color="auto"/>
        <w:left w:val="none" w:sz="0" w:space="0" w:color="auto"/>
        <w:bottom w:val="none" w:sz="0" w:space="0" w:color="auto"/>
        <w:right w:val="none" w:sz="0" w:space="0" w:color="auto"/>
      </w:divBdr>
    </w:div>
    <w:div w:id="1108280875">
      <w:bodyDiv w:val="1"/>
      <w:marLeft w:val="0"/>
      <w:marRight w:val="0"/>
      <w:marTop w:val="0"/>
      <w:marBottom w:val="0"/>
      <w:divBdr>
        <w:top w:val="none" w:sz="0" w:space="0" w:color="auto"/>
        <w:left w:val="none" w:sz="0" w:space="0" w:color="auto"/>
        <w:bottom w:val="none" w:sz="0" w:space="0" w:color="auto"/>
        <w:right w:val="none" w:sz="0" w:space="0" w:color="auto"/>
      </w:divBdr>
    </w:div>
    <w:div w:id="1124155638">
      <w:bodyDiv w:val="1"/>
      <w:marLeft w:val="0"/>
      <w:marRight w:val="0"/>
      <w:marTop w:val="0"/>
      <w:marBottom w:val="0"/>
      <w:divBdr>
        <w:top w:val="none" w:sz="0" w:space="0" w:color="auto"/>
        <w:left w:val="none" w:sz="0" w:space="0" w:color="auto"/>
        <w:bottom w:val="none" w:sz="0" w:space="0" w:color="auto"/>
        <w:right w:val="none" w:sz="0" w:space="0" w:color="auto"/>
      </w:divBdr>
    </w:div>
    <w:div w:id="1125151618">
      <w:bodyDiv w:val="1"/>
      <w:marLeft w:val="0"/>
      <w:marRight w:val="0"/>
      <w:marTop w:val="0"/>
      <w:marBottom w:val="0"/>
      <w:divBdr>
        <w:top w:val="none" w:sz="0" w:space="0" w:color="auto"/>
        <w:left w:val="none" w:sz="0" w:space="0" w:color="auto"/>
        <w:bottom w:val="none" w:sz="0" w:space="0" w:color="auto"/>
        <w:right w:val="none" w:sz="0" w:space="0" w:color="auto"/>
      </w:divBdr>
    </w:div>
    <w:div w:id="1132285068">
      <w:bodyDiv w:val="1"/>
      <w:marLeft w:val="0"/>
      <w:marRight w:val="0"/>
      <w:marTop w:val="0"/>
      <w:marBottom w:val="0"/>
      <w:divBdr>
        <w:top w:val="none" w:sz="0" w:space="0" w:color="auto"/>
        <w:left w:val="none" w:sz="0" w:space="0" w:color="auto"/>
        <w:bottom w:val="none" w:sz="0" w:space="0" w:color="auto"/>
        <w:right w:val="none" w:sz="0" w:space="0" w:color="auto"/>
      </w:divBdr>
    </w:div>
    <w:div w:id="1145465522">
      <w:bodyDiv w:val="1"/>
      <w:marLeft w:val="0"/>
      <w:marRight w:val="0"/>
      <w:marTop w:val="0"/>
      <w:marBottom w:val="0"/>
      <w:divBdr>
        <w:top w:val="none" w:sz="0" w:space="0" w:color="auto"/>
        <w:left w:val="none" w:sz="0" w:space="0" w:color="auto"/>
        <w:bottom w:val="none" w:sz="0" w:space="0" w:color="auto"/>
        <w:right w:val="none" w:sz="0" w:space="0" w:color="auto"/>
      </w:divBdr>
    </w:div>
    <w:div w:id="1203250350">
      <w:bodyDiv w:val="1"/>
      <w:marLeft w:val="0"/>
      <w:marRight w:val="0"/>
      <w:marTop w:val="0"/>
      <w:marBottom w:val="0"/>
      <w:divBdr>
        <w:top w:val="none" w:sz="0" w:space="0" w:color="auto"/>
        <w:left w:val="none" w:sz="0" w:space="0" w:color="auto"/>
        <w:bottom w:val="none" w:sz="0" w:space="0" w:color="auto"/>
        <w:right w:val="none" w:sz="0" w:space="0" w:color="auto"/>
      </w:divBdr>
    </w:div>
    <w:div w:id="1203443581">
      <w:bodyDiv w:val="1"/>
      <w:marLeft w:val="0"/>
      <w:marRight w:val="0"/>
      <w:marTop w:val="0"/>
      <w:marBottom w:val="0"/>
      <w:divBdr>
        <w:top w:val="none" w:sz="0" w:space="0" w:color="auto"/>
        <w:left w:val="none" w:sz="0" w:space="0" w:color="auto"/>
        <w:bottom w:val="none" w:sz="0" w:space="0" w:color="auto"/>
        <w:right w:val="none" w:sz="0" w:space="0" w:color="auto"/>
      </w:divBdr>
    </w:div>
    <w:div w:id="1250777268">
      <w:bodyDiv w:val="1"/>
      <w:marLeft w:val="0"/>
      <w:marRight w:val="0"/>
      <w:marTop w:val="0"/>
      <w:marBottom w:val="0"/>
      <w:divBdr>
        <w:top w:val="none" w:sz="0" w:space="0" w:color="auto"/>
        <w:left w:val="none" w:sz="0" w:space="0" w:color="auto"/>
        <w:bottom w:val="none" w:sz="0" w:space="0" w:color="auto"/>
        <w:right w:val="none" w:sz="0" w:space="0" w:color="auto"/>
      </w:divBdr>
    </w:div>
    <w:div w:id="1390032037">
      <w:bodyDiv w:val="1"/>
      <w:marLeft w:val="0"/>
      <w:marRight w:val="0"/>
      <w:marTop w:val="0"/>
      <w:marBottom w:val="0"/>
      <w:divBdr>
        <w:top w:val="none" w:sz="0" w:space="0" w:color="auto"/>
        <w:left w:val="none" w:sz="0" w:space="0" w:color="auto"/>
        <w:bottom w:val="none" w:sz="0" w:space="0" w:color="auto"/>
        <w:right w:val="none" w:sz="0" w:space="0" w:color="auto"/>
      </w:divBdr>
    </w:div>
    <w:div w:id="1404990139">
      <w:bodyDiv w:val="1"/>
      <w:marLeft w:val="0"/>
      <w:marRight w:val="0"/>
      <w:marTop w:val="0"/>
      <w:marBottom w:val="0"/>
      <w:divBdr>
        <w:top w:val="none" w:sz="0" w:space="0" w:color="auto"/>
        <w:left w:val="none" w:sz="0" w:space="0" w:color="auto"/>
        <w:bottom w:val="none" w:sz="0" w:space="0" w:color="auto"/>
        <w:right w:val="none" w:sz="0" w:space="0" w:color="auto"/>
      </w:divBdr>
    </w:div>
    <w:div w:id="1429471832">
      <w:bodyDiv w:val="1"/>
      <w:marLeft w:val="0"/>
      <w:marRight w:val="0"/>
      <w:marTop w:val="0"/>
      <w:marBottom w:val="0"/>
      <w:divBdr>
        <w:top w:val="none" w:sz="0" w:space="0" w:color="auto"/>
        <w:left w:val="none" w:sz="0" w:space="0" w:color="auto"/>
        <w:bottom w:val="none" w:sz="0" w:space="0" w:color="auto"/>
        <w:right w:val="none" w:sz="0" w:space="0" w:color="auto"/>
      </w:divBdr>
    </w:div>
    <w:div w:id="1508665699">
      <w:bodyDiv w:val="1"/>
      <w:marLeft w:val="0"/>
      <w:marRight w:val="0"/>
      <w:marTop w:val="0"/>
      <w:marBottom w:val="0"/>
      <w:divBdr>
        <w:top w:val="none" w:sz="0" w:space="0" w:color="auto"/>
        <w:left w:val="none" w:sz="0" w:space="0" w:color="auto"/>
        <w:bottom w:val="none" w:sz="0" w:space="0" w:color="auto"/>
        <w:right w:val="none" w:sz="0" w:space="0" w:color="auto"/>
      </w:divBdr>
    </w:div>
    <w:div w:id="1544556332">
      <w:bodyDiv w:val="1"/>
      <w:marLeft w:val="0"/>
      <w:marRight w:val="0"/>
      <w:marTop w:val="0"/>
      <w:marBottom w:val="0"/>
      <w:divBdr>
        <w:top w:val="none" w:sz="0" w:space="0" w:color="auto"/>
        <w:left w:val="none" w:sz="0" w:space="0" w:color="auto"/>
        <w:bottom w:val="none" w:sz="0" w:space="0" w:color="auto"/>
        <w:right w:val="none" w:sz="0" w:space="0" w:color="auto"/>
      </w:divBdr>
    </w:div>
    <w:div w:id="1571504829">
      <w:bodyDiv w:val="1"/>
      <w:marLeft w:val="0"/>
      <w:marRight w:val="0"/>
      <w:marTop w:val="0"/>
      <w:marBottom w:val="0"/>
      <w:divBdr>
        <w:top w:val="none" w:sz="0" w:space="0" w:color="auto"/>
        <w:left w:val="none" w:sz="0" w:space="0" w:color="auto"/>
        <w:bottom w:val="none" w:sz="0" w:space="0" w:color="auto"/>
        <w:right w:val="none" w:sz="0" w:space="0" w:color="auto"/>
      </w:divBdr>
    </w:div>
    <w:div w:id="1585383375">
      <w:bodyDiv w:val="1"/>
      <w:marLeft w:val="0"/>
      <w:marRight w:val="0"/>
      <w:marTop w:val="0"/>
      <w:marBottom w:val="0"/>
      <w:divBdr>
        <w:top w:val="none" w:sz="0" w:space="0" w:color="auto"/>
        <w:left w:val="none" w:sz="0" w:space="0" w:color="auto"/>
        <w:bottom w:val="none" w:sz="0" w:space="0" w:color="auto"/>
        <w:right w:val="none" w:sz="0" w:space="0" w:color="auto"/>
      </w:divBdr>
    </w:div>
    <w:div w:id="1593662021">
      <w:bodyDiv w:val="1"/>
      <w:marLeft w:val="0"/>
      <w:marRight w:val="0"/>
      <w:marTop w:val="0"/>
      <w:marBottom w:val="0"/>
      <w:divBdr>
        <w:top w:val="none" w:sz="0" w:space="0" w:color="auto"/>
        <w:left w:val="none" w:sz="0" w:space="0" w:color="auto"/>
        <w:bottom w:val="none" w:sz="0" w:space="0" w:color="auto"/>
        <w:right w:val="none" w:sz="0" w:space="0" w:color="auto"/>
      </w:divBdr>
    </w:div>
    <w:div w:id="1623881840">
      <w:bodyDiv w:val="1"/>
      <w:marLeft w:val="0"/>
      <w:marRight w:val="0"/>
      <w:marTop w:val="0"/>
      <w:marBottom w:val="0"/>
      <w:divBdr>
        <w:top w:val="none" w:sz="0" w:space="0" w:color="auto"/>
        <w:left w:val="none" w:sz="0" w:space="0" w:color="auto"/>
        <w:bottom w:val="none" w:sz="0" w:space="0" w:color="auto"/>
        <w:right w:val="none" w:sz="0" w:space="0" w:color="auto"/>
      </w:divBdr>
    </w:div>
    <w:div w:id="1703240760">
      <w:bodyDiv w:val="1"/>
      <w:marLeft w:val="0"/>
      <w:marRight w:val="0"/>
      <w:marTop w:val="0"/>
      <w:marBottom w:val="0"/>
      <w:divBdr>
        <w:top w:val="none" w:sz="0" w:space="0" w:color="auto"/>
        <w:left w:val="none" w:sz="0" w:space="0" w:color="auto"/>
        <w:bottom w:val="none" w:sz="0" w:space="0" w:color="auto"/>
        <w:right w:val="none" w:sz="0" w:space="0" w:color="auto"/>
      </w:divBdr>
    </w:div>
    <w:div w:id="1703549868">
      <w:bodyDiv w:val="1"/>
      <w:marLeft w:val="0"/>
      <w:marRight w:val="0"/>
      <w:marTop w:val="0"/>
      <w:marBottom w:val="0"/>
      <w:divBdr>
        <w:top w:val="none" w:sz="0" w:space="0" w:color="auto"/>
        <w:left w:val="none" w:sz="0" w:space="0" w:color="auto"/>
        <w:bottom w:val="none" w:sz="0" w:space="0" w:color="auto"/>
        <w:right w:val="none" w:sz="0" w:space="0" w:color="auto"/>
      </w:divBdr>
    </w:div>
    <w:div w:id="1803451418">
      <w:bodyDiv w:val="1"/>
      <w:marLeft w:val="0"/>
      <w:marRight w:val="0"/>
      <w:marTop w:val="0"/>
      <w:marBottom w:val="0"/>
      <w:divBdr>
        <w:top w:val="none" w:sz="0" w:space="0" w:color="auto"/>
        <w:left w:val="none" w:sz="0" w:space="0" w:color="auto"/>
        <w:bottom w:val="none" w:sz="0" w:space="0" w:color="auto"/>
        <w:right w:val="none" w:sz="0" w:space="0" w:color="auto"/>
      </w:divBdr>
    </w:div>
    <w:div w:id="1818953712">
      <w:bodyDiv w:val="1"/>
      <w:marLeft w:val="0"/>
      <w:marRight w:val="0"/>
      <w:marTop w:val="0"/>
      <w:marBottom w:val="0"/>
      <w:divBdr>
        <w:top w:val="none" w:sz="0" w:space="0" w:color="auto"/>
        <w:left w:val="none" w:sz="0" w:space="0" w:color="auto"/>
        <w:bottom w:val="none" w:sz="0" w:space="0" w:color="auto"/>
        <w:right w:val="none" w:sz="0" w:space="0" w:color="auto"/>
      </w:divBdr>
    </w:div>
    <w:div w:id="1843012332">
      <w:bodyDiv w:val="1"/>
      <w:marLeft w:val="0"/>
      <w:marRight w:val="0"/>
      <w:marTop w:val="0"/>
      <w:marBottom w:val="0"/>
      <w:divBdr>
        <w:top w:val="none" w:sz="0" w:space="0" w:color="auto"/>
        <w:left w:val="none" w:sz="0" w:space="0" w:color="auto"/>
        <w:bottom w:val="none" w:sz="0" w:space="0" w:color="auto"/>
        <w:right w:val="none" w:sz="0" w:space="0" w:color="auto"/>
      </w:divBdr>
    </w:div>
    <w:div w:id="1975788921">
      <w:bodyDiv w:val="1"/>
      <w:marLeft w:val="0"/>
      <w:marRight w:val="0"/>
      <w:marTop w:val="0"/>
      <w:marBottom w:val="0"/>
      <w:divBdr>
        <w:top w:val="none" w:sz="0" w:space="0" w:color="auto"/>
        <w:left w:val="none" w:sz="0" w:space="0" w:color="auto"/>
        <w:bottom w:val="none" w:sz="0" w:space="0" w:color="auto"/>
        <w:right w:val="none" w:sz="0" w:space="0" w:color="auto"/>
      </w:divBdr>
    </w:div>
    <w:div w:id="1987929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izwardi@unp.ac.id" TargetMode="External"/><Relationship Id="rId18" Type="http://schemas.openxmlformats.org/officeDocument/2006/relationships/image" Target="media/image2.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footnotes" Target="footnotes.xml"/><Relationship Id="rId12" Type="http://schemas.openxmlformats.org/officeDocument/2006/relationships/hyperlink" Target="mailto:ganefri@unp.ac.id" TargetMode="External"/><Relationship Id="rId17" Type="http://schemas.openxmlformats.org/officeDocument/2006/relationships/image" Target="media/image1.png"/><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creativecommons.org/licenses/by-nc-sa/4.0/" TargetMode="Externa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urhasan@ft.unp.ac.id" TargetMode="External"/><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mailto:krisma@ft.unp.ac.id" TargetMode="External"/><Relationship Id="rId23" Type="http://schemas.openxmlformats.org/officeDocument/2006/relationships/footer" Target="footer1.xml"/><Relationship Id="rId10" Type="http://schemas.openxmlformats.org/officeDocument/2006/relationships/hyperlink" Target="mailto:giatman@ft.unp.ac.id" TargetMode="External"/><Relationship Id="rId19"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hyperlink" Target="mailto:harleni.lhenie@gmail.com" TargetMode="External"/><Relationship Id="rId14" Type="http://schemas.openxmlformats.org/officeDocument/2006/relationships/hyperlink" Target="mailto:ridwanftunp@gmail.com" TargetMode="External"/><Relationship Id="rId22" Type="http://schemas.openxmlformats.org/officeDocument/2006/relationships/header" Target="header1.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ownloads\Template-2022%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EA9EF5-845F-401C-9824-7C9A981D4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Template-2022 (1)</Template>
  <TotalTime>1</TotalTime>
  <Pages>11</Pages>
  <Words>15962</Words>
  <Characters>90990</Characters>
  <Application>Microsoft Office Word</Application>
  <DocSecurity>0</DocSecurity>
  <Lines>758</Lines>
  <Paragraphs>213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 aprilianda</dc:creator>
  <cp:lastModifiedBy>Windows User</cp:lastModifiedBy>
  <cp:revision>2</cp:revision>
  <cp:lastPrinted>2022-03-12T14:54:00Z</cp:lastPrinted>
  <dcterms:created xsi:type="dcterms:W3CDTF">2025-06-15T05:52:00Z</dcterms:created>
  <dcterms:modified xsi:type="dcterms:W3CDTF">2025-06-15T05:52:00Z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http://www.zotero.org/styles/african-online-scientific-information-systems-harvard</vt:lpwstr>
  </property>
  <property fmtid="{D5CDD505-2E9C-101B-9397-08002B2CF9AE}" pid="3" name="Mendeley Recent Style Name 0_1">
    <vt:lpwstr>African Online Scientific Information Systems - Harvard</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https://csl.mendeley.com/styles/454157031/apa-2-tes</vt:lpwstr>
  </property>
  <property fmtid="{D5CDD505-2E9C-101B-9397-08002B2CF9AE}" pid="9" name="Mendeley Recent Style Name 3_1">
    <vt:lpwstr>American Psychological Association 7th edition - B. busro, M.Ag</vt:lpwstr>
  </property>
  <property fmtid="{D5CDD505-2E9C-101B-9397-08002B2CF9AE}" pid="10" name="Mendeley Recent Style Id 4_1">
    <vt:lpwstr>http://csl.mendeley.com/styles/454157031/apa-2-tes</vt:lpwstr>
  </property>
  <property fmtid="{D5CDD505-2E9C-101B-9397-08002B2CF9AE}" pid="11" name="Mendeley Recent Style Name 4_1">
    <vt:lpwstr>American Psychological Association 7th edition - B. busro, M.Ag</vt:lpwstr>
  </property>
  <property fmtid="{D5CDD505-2E9C-101B-9397-08002B2CF9AE}" pid="12" name="Mendeley Recent Style Id 5_1">
    <vt:lpwstr>http://csl.mendeley.com/styles/454157031/american-sociological-association-edit</vt:lpwstr>
  </property>
  <property fmtid="{D5CDD505-2E9C-101B-9397-08002B2CF9AE}" pid="13" name="Mendeley Recent Style Name 5_1">
    <vt:lpwstr>American Sociological Association 6th edition - B. busro</vt:lpwstr>
  </property>
  <property fmtid="{D5CDD505-2E9C-101B-9397-08002B2CF9AE}" pid="14" name="Mendeley Recent Style Id 6_1">
    <vt:lpwstr>http://www.zotero.org/styles/chicago-fullnote-bibliography</vt:lpwstr>
  </property>
  <property fmtid="{D5CDD505-2E9C-101B-9397-08002B2CF9AE}" pid="15" name="Mendeley Recent Style Name 6_1">
    <vt:lpwstr>Chicago Manual of Style 17th edition (full note)</vt:lpwstr>
  </property>
  <property fmtid="{D5CDD505-2E9C-101B-9397-08002B2CF9AE}" pid="16" name="Mendeley Recent Style Id 7_1">
    <vt:lpwstr>http://www.zotero.org/styles/council-of-science-editors-author-date</vt:lpwstr>
  </property>
  <property fmtid="{D5CDD505-2E9C-101B-9397-08002B2CF9AE}" pid="17" name="Mendeley Recent Style Name 7_1">
    <vt:lpwstr>Council of Science Editors, Name-Year (author-date)</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http://www.zotero.org/styles/university-of-south-africa-harvard</vt:lpwstr>
  </property>
  <property fmtid="{D5CDD505-2E9C-101B-9397-08002B2CF9AE}" pid="21" name="Mendeley Recent Style Name 9_1">
    <vt:lpwstr>University of South Africa - Harvard</vt:lpwstr>
  </property>
  <property fmtid="{D5CDD505-2E9C-101B-9397-08002B2CF9AE}" pid="22" name="Mendeley Document_1">
    <vt:lpwstr>True</vt:lpwstr>
  </property>
  <property fmtid="{D5CDD505-2E9C-101B-9397-08002B2CF9AE}" pid="23" name="Mendeley Unique User Id_1">
    <vt:lpwstr>5b27c16e-2bc6-39f0-b10d-71fd29ed368b</vt:lpwstr>
  </property>
  <property fmtid="{D5CDD505-2E9C-101B-9397-08002B2CF9AE}" pid="24" name="Mendeley Citation Style_1">
    <vt:lpwstr>http://www.zotero.org/styles/apa-6th-edition</vt:lpwstr>
  </property>
</Properties>
</file>