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4A2" w:rsidRPr="00A75CB1" w:rsidRDefault="00137609" w:rsidP="00727D5A">
      <w:pPr>
        <w:pStyle w:val="Alishlah12title"/>
      </w:pPr>
      <w:r>
        <w:t>The Impact of Inquiry-Based Learning on Student Learning Outcomes: A Meta-Analysis</w:t>
      </w:r>
    </w:p>
    <w:p w:rsidR="00137609" w:rsidRPr="00137609" w:rsidRDefault="00137609" w:rsidP="00137609">
      <w:pPr>
        <w:spacing w:line="240" w:lineRule="auto"/>
        <w:ind w:left="-105"/>
        <w:rPr>
          <w:rFonts w:ascii="Palatino Linotype" w:eastAsia="Book Antiqua" w:hAnsi="Palatino Linotype" w:cs="Book Antiqua"/>
          <w:sz w:val="20"/>
          <w:szCs w:val="20"/>
        </w:rPr>
      </w:pPr>
      <w:r w:rsidRPr="00137609">
        <w:rPr>
          <w:rFonts w:ascii="Palatino Linotype" w:eastAsia="Book Antiqua" w:hAnsi="Palatino Linotype" w:cs="Book Antiqua"/>
          <w:sz w:val="20"/>
          <w:szCs w:val="20"/>
          <w:lang w:val="id-ID"/>
        </w:rPr>
        <w:t>Harleni</w:t>
      </w:r>
      <w:r w:rsidRPr="00137609">
        <w:rPr>
          <w:rFonts w:ascii="Palatino Linotype" w:eastAsia="Book Antiqua" w:hAnsi="Palatino Linotype" w:cs="Book Antiqua"/>
          <w:sz w:val="20"/>
          <w:szCs w:val="20"/>
          <w:vertAlign w:val="superscript"/>
        </w:rPr>
        <w:t>1*</w:t>
      </w:r>
      <w:r w:rsidRPr="00137609">
        <w:rPr>
          <w:rFonts w:ascii="Palatino Linotype" w:eastAsia="Book Antiqua" w:hAnsi="Palatino Linotype" w:cs="Book Antiqua"/>
          <w:sz w:val="20"/>
          <w:szCs w:val="20"/>
        </w:rPr>
        <w:t xml:space="preserve">, </w:t>
      </w:r>
      <w:proofErr w:type="spellStart"/>
      <w:r w:rsidRPr="00137609">
        <w:rPr>
          <w:rFonts w:ascii="Palatino Linotype" w:eastAsia="Book Antiqua" w:hAnsi="Palatino Linotype" w:cs="Book Antiqua"/>
          <w:sz w:val="20"/>
          <w:szCs w:val="20"/>
        </w:rPr>
        <w:t>Asmar</w:t>
      </w:r>
      <w:proofErr w:type="spellEnd"/>
      <w:r w:rsidRPr="00137609">
        <w:rPr>
          <w:rFonts w:ascii="Palatino Linotype" w:eastAsia="Book Antiqua" w:hAnsi="Palatino Linotype" w:cs="Book Antiqua"/>
          <w:sz w:val="20"/>
          <w:szCs w:val="20"/>
        </w:rPr>
        <w:t xml:space="preserve"> Yulastri</w:t>
      </w:r>
      <w:r w:rsidRPr="00137609">
        <w:rPr>
          <w:rFonts w:ascii="Palatino Linotype" w:eastAsia="Book Antiqua" w:hAnsi="Palatino Linotype" w:cs="Book Antiqua"/>
          <w:sz w:val="20"/>
          <w:szCs w:val="20"/>
          <w:vertAlign w:val="superscript"/>
        </w:rPr>
        <w:t>2</w:t>
      </w:r>
      <w:r w:rsidRPr="00137609">
        <w:rPr>
          <w:rFonts w:ascii="Palatino Linotype" w:eastAsia="Book Antiqua" w:hAnsi="Palatino Linotype" w:cs="Book Antiqua"/>
          <w:sz w:val="20"/>
          <w:szCs w:val="20"/>
        </w:rPr>
        <w:t>, Ganefri</w:t>
      </w:r>
      <w:r w:rsidRPr="00137609">
        <w:rPr>
          <w:rFonts w:ascii="Palatino Linotype" w:eastAsia="Book Antiqua" w:hAnsi="Palatino Linotype" w:cs="Book Antiqua"/>
          <w:sz w:val="20"/>
          <w:szCs w:val="20"/>
          <w:vertAlign w:val="superscript"/>
        </w:rPr>
        <w:t>3</w:t>
      </w:r>
      <w:r w:rsidRPr="00137609">
        <w:rPr>
          <w:rFonts w:ascii="Palatino Linotype" w:eastAsia="Book Antiqua" w:hAnsi="Palatino Linotype" w:cs="Book Antiqua"/>
          <w:sz w:val="20"/>
          <w:szCs w:val="20"/>
        </w:rPr>
        <w:t>, M. Giatman</w:t>
      </w:r>
      <w:proofErr w:type="gramStart"/>
      <w:r w:rsidRPr="00137609">
        <w:rPr>
          <w:rFonts w:ascii="Palatino Linotype" w:eastAsia="Book Antiqua" w:hAnsi="Palatino Linotype" w:cs="Book Antiqua"/>
          <w:sz w:val="20"/>
          <w:szCs w:val="20"/>
          <w:vertAlign w:val="superscript"/>
        </w:rPr>
        <w:t xml:space="preserve">3 </w:t>
      </w:r>
      <w:r w:rsidRPr="00137609">
        <w:rPr>
          <w:rFonts w:ascii="Palatino Linotype" w:eastAsia="Book Antiqua" w:hAnsi="Palatino Linotype" w:cs="Book Antiqua"/>
          <w:sz w:val="20"/>
          <w:szCs w:val="20"/>
        </w:rPr>
        <w:t>,</w:t>
      </w:r>
      <w:proofErr w:type="gramEnd"/>
      <w:r w:rsidRPr="00137609">
        <w:rPr>
          <w:rFonts w:ascii="Palatino Linotype" w:eastAsia="Book Antiqua" w:hAnsi="Palatino Linotype" w:cs="Book Antiqua"/>
          <w:sz w:val="20"/>
          <w:szCs w:val="20"/>
        </w:rPr>
        <w:t xml:space="preserve"> Dedy Irfan</w:t>
      </w:r>
      <w:r w:rsidRPr="00137609">
        <w:rPr>
          <w:rFonts w:ascii="Palatino Linotype" w:eastAsia="Book Antiqua" w:hAnsi="Palatino Linotype" w:cs="Book Antiqua"/>
          <w:sz w:val="20"/>
          <w:szCs w:val="20"/>
          <w:vertAlign w:val="superscript"/>
        </w:rPr>
        <w:t xml:space="preserve">4 </w:t>
      </w:r>
      <w:r w:rsidRPr="00137609">
        <w:rPr>
          <w:rFonts w:ascii="Palatino Linotype" w:eastAsia="Book Antiqua" w:hAnsi="Palatino Linotype" w:cs="Book Antiqua"/>
          <w:sz w:val="20"/>
          <w:szCs w:val="20"/>
        </w:rPr>
        <w:t xml:space="preserve">, </w:t>
      </w:r>
      <w:proofErr w:type="spellStart"/>
      <w:r w:rsidRPr="00137609">
        <w:rPr>
          <w:rFonts w:ascii="Palatino Linotype" w:eastAsia="Book Antiqua" w:hAnsi="Palatino Linotype" w:cs="Book Antiqua"/>
          <w:sz w:val="20"/>
          <w:szCs w:val="20"/>
        </w:rPr>
        <w:t>Hansi</w:t>
      </w:r>
      <w:proofErr w:type="spellEnd"/>
      <w:r w:rsidRPr="00137609">
        <w:rPr>
          <w:rFonts w:ascii="Palatino Linotype" w:eastAsia="Book Antiqua" w:hAnsi="Palatino Linotype" w:cs="Book Antiqua"/>
          <w:sz w:val="20"/>
          <w:szCs w:val="20"/>
        </w:rPr>
        <w:t xml:space="preserve"> Effendi</w:t>
      </w:r>
      <w:r w:rsidRPr="00137609">
        <w:rPr>
          <w:rFonts w:ascii="Palatino Linotype" w:eastAsia="Book Antiqua" w:hAnsi="Palatino Linotype" w:cs="Book Antiqua"/>
          <w:sz w:val="20"/>
          <w:szCs w:val="20"/>
          <w:vertAlign w:val="superscript"/>
        </w:rPr>
        <w:t>5</w:t>
      </w:r>
    </w:p>
    <w:p w:rsidR="00137609" w:rsidRPr="00137609" w:rsidRDefault="00137609" w:rsidP="00137609">
      <w:pPr>
        <w:spacing w:line="240" w:lineRule="auto"/>
        <w:ind w:left="-105"/>
        <w:jc w:val="both"/>
        <w:rPr>
          <w:rFonts w:ascii="Palatino Linotype" w:eastAsia="Book Antiqua" w:hAnsi="Palatino Linotype" w:cs="Book Antiqua"/>
          <w:sz w:val="20"/>
          <w:szCs w:val="20"/>
        </w:rPr>
      </w:pPr>
      <w:r w:rsidRPr="00137609">
        <w:rPr>
          <w:rFonts w:ascii="Palatino Linotype" w:eastAsia="Book Antiqua" w:hAnsi="Palatino Linotype" w:cs="Book Antiqua"/>
          <w:sz w:val="20"/>
          <w:szCs w:val="20"/>
          <w:vertAlign w:val="superscript"/>
        </w:rPr>
        <w:t>1</w:t>
      </w:r>
      <w:r w:rsidRPr="00137609">
        <w:rPr>
          <w:rFonts w:ascii="Palatino Linotype" w:eastAsia="Book Antiqua" w:hAnsi="Palatino Linotype" w:cs="Book Antiqua"/>
          <w:sz w:val="20"/>
          <w:szCs w:val="20"/>
        </w:rPr>
        <w:t xml:space="preserve">, </w:t>
      </w:r>
      <w:proofErr w:type="spellStart"/>
      <w:r w:rsidRPr="00137609">
        <w:rPr>
          <w:rFonts w:ascii="Palatino Linotype" w:eastAsia="Book Antiqua" w:hAnsi="Palatino Linotype" w:cs="Book Antiqua"/>
          <w:sz w:val="20"/>
          <w:szCs w:val="20"/>
        </w:rPr>
        <w:t>Universitas</w:t>
      </w:r>
      <w:proofErr w:type="spellEnd"/>
      <w:r w:rsidRPr="00137609">
        <w:rPr>
          <w:rFonts w:ascii="Palatino Linotype" w:eastAsia="Book Antiqua" w:hAnsi="Palatino Linotype" w:cs="Book Antiqua"/>
          <w:sz w:val="20"/>
          <w:szCs w:val="20"/>
        </w:rPr>
        <w:t xml:space="preserve"> </w:t>
      </w:r>
      <w:r w:rsidRPr="00137609">
        <w:rPr>
          <w:rFonts w:ascii="Palatino Linotype" w:eastAsia="Book Antiqua" w:hAnsi="Palatino Linotype" w:cs="Book Antiqua"/>
          <w:sz w:val="20"/>
          <w:szCs w:val="20"/>
          <w:lang w:val="id-ID"/>
        </w:rPr>
        <w:t>Perintis</w:t>
      </w:r>
      <w:r w:rsidRPr="00137609">
        <w:rPr>
          <w:rFonts w:ascii="Palatino Linotype" w:eastAsia="Book Antiqua" w:hAnsi="Palatino Linotype" w:cs="Book Antiqua"/>
          <w:sz w:val="20"/>
          <w:szCs w:val="20"/>
        </w:rPr>
        <w:t xml:space="preserve"> Indonesia, Indonesia.</w:t>
      </w:r>
    </w:p>
    <w:p w:rsidR="00B72F3D" w:rsidRPr="00137609" w:rsidRDefault="00137609" w:rsidP="00137609">
      <w:pPr>
        <w:pStyle w:val="Alishlah13authornames"/>
        <w:spacing w:line="240" w:lineRule="auto"/>
        <w:rPr>
          <w:b w:val="0"/>
          <w:color w:val="auto"/>
          <w:lang w:val="en-GB"/>
        </w:rPr>
      </w:pPr>
      <w:r w:rsidRPr="00137609">
        <w:rPr>
          <w:rFonts w:eastAsia="Book Antiqua" w:cs="Book Antiqua"/>
          <w:b w:val="0"/>
          <w:szCs w:val="20"/>
          <w:vertAlign w:val="superscript"/>
        </w:rPr>
        <w:t>2, 3, 4, 5</w:t>
      </w:r>
      <w:r w:rsidRPr="00137609">
        <w:rPr>
          <w:rFonts w:eastAsia="Book Antiqua" w:cs="Book Antiqua"/>
          <w:b w:val="0"/>
          <w:szCs w:val="20"/>
        </w:rPr>
        <w:t xml:space="preserve"> Faculty of Engineering, </w:t>
      </w:r>
      <w:proofErr w:type="spellStart"/>
      <w:r w:rsidRPr="00137609">
        <w:rPr>
          <w:rFonts w:eastAsia="Book Antiqua" w:cs="Book Antiqua"/>
          <w:b w:val="0"/>
          <w:szCs w:val="20"/>
        </w:rPr>
        <w:t>Universitas</w:t>
      </w:r>
      <w:proofErr w:type="spellEnd"/>
      <w:r w:rsidRPr="00137609">
        <w:rPr>
          <w:rFonts w:eastAsia="Book Antiqua" w:cs="Book Antiqua"/>
          <w:b w:val="0"/>
          <w:szCs w:val="20"/>
        </w:rPr>
        <w:t xml:space="preserve"> Negeri Padang, Padang, Indonesia</w:t>
      </w:r>
    </w:p>
    <w:p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rsidTr="0048254D">
        <w:trPr>
          <w:jc w:val="center"/>
        </w:trPr>
        <w:tc>
          <w:tcPr>
            <w:tcW w:w="2787" w:type="dxa"/>
            <w:tcBorders>
              <w:top w:val="double" w:sz="4" w:space="0" w:color="auto"/>
              <w:left w:val="nil"/>
              <w:bottom w:val="single" w:sz="4" w:space="0" w:color="auto"/>
              <w:right w:val="nil"/>
            </w:tcBorders>
          </w:tcPr>
          <w:p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8E03B0" w:rsidTr="0048254D">
        <w:trPr>
          <w:trHeight w:val="1268"/>
          <w:jc w:val="center"/>
        </w:trPr>
        <w:tc>
          <w:tcPr>
            <w:tcW w:w="2787" w:type="dxa"/>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rsidR="0048254D" w:rsidRPr="0048254D" w:rsidRDefault="00137609" w:rsidP="00137609">
            <w:pPr>
              <w:pStyle w:val="Alishlah18keywords"/>
            </w:pPr>
            <w:r>
              <w:t>Inquiry-Based Learning on Student Learning Outcomes: A Meta-Analysis</w:t>
            </w:r>
          </w:p>
        </w:tc>
        <w:tc>
          <w:tcPr>
            <w:tcW w:w="282" w:type="dxa"/>
            <w:vMerge w:val="restart"/>
            <w:tcBorders>
              <w:top w:val="nil"/>
              <w:left w:val="nil"/>
              <w:bottom w:val="nil"/>
              <w:right w:val="nil"/>
            </w:tcBorders>
          </w:tcPr>
          <w:p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rsidR="008E03B0" w:rsidRDefault="002B31FD" w:rsidP="008E03B0">
            <w:pPr>
              <w:pStyle w:val="NormalWeb"/>
              <w:jc w:val="both"/>
              <w:rPr>
                <w:rFonts w:ascii="Palatino Linotype" w:eastAsia="Times New Roman" w:hAnsi="Palatino Linotype"/>
                <w:sz w:val="20"/>
                <w:szCs w:val="20"/>
                <w:lang w:val="id-ID" w:eastAsia="en-ID"/>
              </w:rPr>
            </w:pPr>
            <w:r w:rsidRPr="008E03B0">
              <w:rPr>
                <w:rFonts w:ascii="Palatino Linotype" w:hAnsi="Palatino Linotype"/>
                <w:sz w:val="20"/>
                <w:szCs w:val="20"/>
              </w:rPr>
              <w:t xml:space="preserve">A single </w:t>
            </w:r>
            <w:proofErr w:type="gramStart"/>
            <w:r w:rsidR="008E03B0" w:rsidRPr="008E03B0">
              <w:rPr>
                <w:rFonts w:ascii="Palatino Linotype" w:eastAsia="Times New Roman" w:hAnsi="Palatino Linotype"/>
                <w:sz w:val="20"/>
                <w:szCs w:val="20"/>
                <w:lang w:eastAsia="en-ID"/>
              </w:rPr>
              <w:t>The</w:t>
            </w:r>
            <w:proofErr w:type="gramEnd"/>
            <w:r w:rsidR="008E03B0" w:rsidRPr="008E03B0">
              <w:rPr>
                <w:rFonts w:ascii="Palatino Linotype" w:eastAsia="Times New Roman" w:hAnsi="Palatino Linotype"/>
                <w:sz w:val="20"/>
                <w:szCs w:val="20"/>
                <w:lang w:eastAsia="en-ID"/>
              </w:rPr>
              <w:t xml:space="preserve"> varying impacts of inquiry-based learning, as identified by experts—ranging from significant, moderate, and small positive effects to negative impacts, including the absence of any effect—constitute the central issue of this study. Therefore, this research aims to comprehensively examine the effects of inquiry-based learning based on various studies conducted by researchers worldwide</w:t>
            </w:r>
            <w:r w:rsidR="008E03B0">
              <w:rPr>
                <w:rFonts w:ascii="Palatino Linotype" w:eastAsia="Times New Roman" w:hAnsi="Palatino Linotype"/>
                <w:sz w:val="20"/>
                <w:szCs w:val="20"/>
                <w:lang w:val="id-ID" w:eastAsia="en-ID"/>
              </w:rPr>
              <w:t>.</w:t>
            </w:r>
          </w:p>
          <w:p w:rsidR="008E03B0" w:rsidRDefault="008E03B0" w:rsidP="008E03B0">
            <w:pPr>
              <w:pStyle w:val="NormalWeb"/>
              <w:jc w:val="both"/>
              <w:rPr>
                <w:rFonts w:ascii="Palatino Linotype" w:eastAsia="Times New Roman" w:hAnsi="Palatino Linotype"/>
                <w:sz w:val="20"/>
                <w:szCs w:val="20"/>
                <w:lang w:eastAsia="en-ID"/>
              </w:rPr>
            </w:pPr>
            <w:r w:rsidRPr="008E03B0">
              <w:rPr>
                <w:rFonts w:ascii="Palatino Linotype" w:eastAsia="Times New Roman" w:hAnsi="Palatino Linotype"/>
                <w:sz w:val="20"/>
                <w:szCs w:val="20"/>
                <w:lang w:eastAsia="en-ID"/>
              </w:rPr>
              <w:t>This study employs a meta-analysis method by analyzing research studies published between 2020 and 2024. The article screening process follows the PRISMA method, which consists of three stages: identification, screening, and inclusion. To analyze the research data, the study utilizes the JASP software to achieve more accurate results.</w:t>
            </w:r>
          </w:p>
          <w:p w:rsidR="008E03B0" w:rsidRDefault="008E03B0" w:rsidP="008E03B0">
            <w:pPr>
              <w:pStyle w:val="NormalWeb"/>
              <w:jc w:val="both"/>
              <w:rPr>
                <w:rFonts w:ascii="Palatino Linotype" w:eastAsia="Times New Roman" w:hAnsi="Palatino Linotype"/>
                <w:sz w:val="20"/>
                <w:szCs w:val="20"/>
                <w:lang w:eastAsia="en-ID"/>
              </w:rPr>
            </w:pPr>
            <w:r w:rsidRPr="008E03B0">
              <w:rPr>
                <w:rFonts w:ascii="Palatino Linotype" w:eastAsia="Times New Roman" w:hAnsi="Palatino Linotype"/>
                <w:sz w:val="20"/>
                <w:szCs w:val="20"/>
                <w:lang w:eastAsia="en-ID"/>
              </w:rPr>
              <w:t>The findings indicate that 21 studies have examined the effects of inquiry-based learning. Based on the meta-analysis results, inquiry-based learning has an overall small impact, with an effect size of (d = 0.444). Although the impact is categorized as small, it is still significant in improving student learning outcomes. These findings highlight the importance of inquiry-based learning in enhancing student achievement.</w:t>
            </w:r>
          </w:p>
          <w:p w:rsidR="008E03B0" w:rsidRPr="008E03B0" w:rsidRDefault="008E03B0" w:rsidP="008E03B0">
            <w:pPr>
              <w:pStyle w:val="NormalWeb"/>
              <w:jc w:val="both"/>
              <w:rPr>
                <w:rFonts w:ascii="Palatino Linotype" w:eastAsia="Times New Roman" w:hAnsi="Palatino Linotype"/>
                <w:sz w:val="20"/>
                <w:szCs w:val="20"/>
                <w:lang w:eastAsia="en-ID"/>
              </w:rPr>
            </w:pPr>
            <w:r w:rsidRPr="008E03B0">
              <w:rPr>
                <w:rFonts w:ascii="Palatino Linotype" w:eastAsia="Times New Roman" w:hAnsi="Palatino Linotype"/>
                <w:sz w:val="20"/>
                <w:szCs w:val="20"/>
                <w:lang w:eastAsia="en-ID"/>
              </w:rPr>
              <w:t>The results of this study are expected to provide valuable insights for educators, researchers, and policymakers in optimizing inquiry-based learning as an innovative strategy for 21st-century education.</w:t>
            </w:r>
          </w:p>
          <w:p w:rsidR="0048254D" w:rsidRPr="008E03B0" w:rsidRDefault="0048254D" w:rsidP="008E03B0">
            <w:pPr>
              <w:pStyle w:val="Alishlah17abstract"/>
            </w:pPr>
          </w:p>
        </w:tc>
      </w:tr>
      <w:tr w:rsidR="0048254D" w:rsidRPr="0048254D" w:rsidTr="0048254D">
        <w:trPr>
          <w:trHeight w:val="1231"/>
          <w:jc w:val="center"/>
        </w:trPr>
        <w:tc>
          <w:tcPr>
            <w:tcW w:w="2787" w:type="dxa"/>
            <w:vMerge w:val="restart"/>
            <w:tcBorders>
              <w:top w:val="single" w:sz="4" w:space="0" w:color="auto"/>
              <w:left w:val="nil"/>
              <w:bottom w:val="single" w:sz="4" w:space="0" w:color="auto"/>
              <w:right w:val="nil"/>
            </w:tcBorders>
          </w:tcPr>
          <w:p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rsidR="0048254D" w:rsidRPr="006A6719" w:rsidRDefault="0048254D" w:rsidP="00E45249">
            <w:pPr>
              <w:pStyle w:val="Alishlah14history"/>
            </w:pPr>
            <w:r w:rsidRPr="006A6719">
              <w:t xml:space="preserve">Received </w:t>
            </w:r>
            <w:r w:rsidR="00FA43FF" w:rsidRPr="00FA43FF">
              <w:t>2021-08-14</w:t>
            </w:r>
          </w:p>
          <w:p w:rsidR="0048254D" w:rsidRPr="006A6719" w:rsidRDefault="0048254D" w:rsidP="00E45249">
            <w:pPr>
              <w:pStyle w:val="Alishlah14history"/>
            </w:pPr>
            <w:r w:rsidRPr="006A6719">
              <w:t xml:space="preserve">Revised </w:t>
            </w:r>
            <w:r w:rsidR="00675603" w:rsidRPr="006A6719">
              <w:tab/>
            </w:r>
            <w:r w:rsidR="00FA43FF" w:rsidRPr="00FA43FF">
              <w:t>2021-11-12</w:t>
            </w:r>
          </w:p>
          <w:p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rsidR="0048254D" w:rsidRPr="0048254D" w:rsidRDefault="0048254D" w:rsidP="001C18FA">
            <w:pPr>
              <w:spacing w:before="120"/>
              <w:jc w:val="both"/>
              <w:rPr>
                <w:rFonts w:ascii="Palatino Linotype" w:hAnsi="Palatino Linotype"/>
                <w:iCs/>
                <w:color w:val="000000"/>
                <w:sz w:val="18"/>
                <w:szCs w:val="18"/>
              </w:rPr>
            </w:pPr>
          </w:p>
        </w:tc>
      </w:tr>
      <w:tr w:rsidR="0048254D" w:rsidRPr="0048254D" w:rsidTr="0048254D">
        <w:trPr>
          <w:trHeight w:val="70"/>
          <w:jc w:val="center"/>
        </w:trPr>
        <w:tc>
          <w:tcPr>
            <w:tcW w:w="2787" w:type="dxa"/>
            <w:vMerge/>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8"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04047706" wp14:editId="3A56C479">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rsidTr="0048254D">
        <w:trPr>
          <w:jc w:val="center"/>
        </w:trPr>
        <w:tc>
          <w:tcPr>
            <w:tcW w:w="8845" w:type="dxa"/>
            <w:gridSpan w:val="3"/>
            <w:tcBorders>
              <w:top w:val="nil"/>
              <w:left w:val="nil"/>
              <w:bottom w:val="double" w:sz="4" w:space="0" w:color="auto"/>
              <w:right w:val="nil"/>
            </w:tcBorders>
          </w:tcPr>
          <w:p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rsidR="00137609" w:rsidRPr="00137609" w:rsidRDefault="00137609" w:rsidP="00137609">
            <w:pPr>
              <w:ind w:left="-107"/>
              <w:rPr>
                <w:rFonts w:ascii="Palatino Linotype" w:eastAsia="Book Antiqua" w:hAnsi="Palatino Linotype" w:cs="Book Antiqua"/>
                <w:lang w:val="id-ID"/>
              </w:rPr>
            </w:pPr>
            <w:r w:rsidRPr="00137609">
              <w:rPr>
                <w:rFonts w:ascii="Palatino Linotype" w:eastAsia="Book Antiqua" w:hAnsi="Palatino Linotype" w:cs="Book Antiqua"/>
                <w:lang w:val="id-ID"/>
              </w:rPr>
              <w:t>Harleni</w:t>
            </w:r>
          </w:p>
          <w:p w:rsidR="0048254D" w:rsidRPr="0048254D" w:rsidRDefault="00137609" w:rsidP="00137609">
            <w:pPr>
              <w:ind w:left="-105"/>
            </w:pPr>
            <w:hyperlink r:id="rId10" w:history="1">
              <w:r w:rsidRPr="00137609">
                <w:rPr>
                  <w:rStyle w:val="Hyperlink"/>
                  <w:rFonts w:ascii="Palatino Linotype" w:hAnsi="Palatino Linotype"/>
                </w:rPr>
                <w:t>harleni.lhenie@gmail.com</w:t>
              </w:r>
            </w:hyperlink>
          </w:p>
        </w:tc>
      </w:tr>
    </w:tbl>
    <w:p w:rsidR="008E64A2" w:rsidRPr="00A75CB1" w:rsidRDefault="0048254D" w:rsidP="00A10E86">
      <w:pPr>
        <w:pStyle w:val="Alishlah21heading1"/>
        <w:rPr>
          <w:lang w:val="en-GB"/>
        </w:rPr>
      </w:pPr>
      <w:r w:rsidRPr="00A75CB1">
        <w:rPr>
          <w:lang w:val="en-GB"/>
        </w:rPr>
        <w:t>INTRODUCTION</w:t>
      </w:r>
    </w:p>
    <w:p w:rsidR="008E03B0" w:rsidRDefault="008E03B0" w:rsidP="008E03B0">
      <w:pPr>
        <w:spacing w:before="100" w:beforeAutospacing="1" w:after="100" w:afterAutospacing="1" w:line="240" w:lineRule="auto"/>
        <w:ind w:firstLine="720"/>
        <w:jc w:val="both"/>
        <w:rPr>
          <w:rFonts w:ascii="Palatino Linotype" w:eastAsia="Times New Roman" w:hAnsi="Palatino Linotype"/>
          <w:sz w:val="20"/>
          <w:szCs w:val="20"/>
          <w:lang w:eastAsia="en-ID"/>
        </w:rPr>
      </w:pPr>
      <w:r w:rsidRPr="000E46E9">
        <w:rPr>
          <w:rFonts w:ascii="Palatino Linotype" w:eastAsia="Times New Roman" w:hAnsi="Palatino Linotype"/>
          <w:sz w:val="20"/>
          <w:szCs w:val="20"/>
          <w:lang w:eastAsia="en-ID"/>
        </w:rPr>
        <w:t xml:space="preserve">Improving the quality of education to enhance student learning outcomes is one of the top priorities in the field of education, both internationally and in Indonesia. This effort aims to develop </w:t>
      </w:r>
      <w:r w:rsidRPr="000E46E9">
        <w:rPr>
          <w:rFonts w:ascii="Palatino Linotype" w:eastAsia="Times New Roman" w:hAnsi="Palatino Linotype"/>
          <w:sz w:val="20"/>
          <w:szCs w:val="20"/>
          <w:lang w:eastAsia="en-ID"/>
        </w:rPr>
        <w:lastRenderedPageBreak/>
        <w:t>responsible and knowledgeable human resources capable of facing global challenges (Al Mamun &amp; Lawrie, 2023; Antonio &amp; Prudente, 2023). Thus, quality education not only produces competent and highly knowledgeable generations but also equips them to navigate an increasingly complex global landscape.</w:t>
      </w:r>
    </w:p>
    <w:p w:rsidR="008E03B0" w:rsidRPr="000E46E9" w:rsidRDefault="008E03B0" w:rsidP="008E03B0">
      <w:pPr>
        <w:spacing w:before="100" w:beforeAutospacing="1" w:after="100" w:afterAutospacing="1" w:line="240" w:lineRule="auto"/>
        <w:ind w:firstLine="720"/>
        <w:jc w:val="both"/>
        <w:rPr>
          <w:rFonts w:ascii="Palatino Linotype" w:eastAsia="Times New Roman" w:hAnsi="Palatino Linotype"/>
          <w:sz w:val="20"/>
          <w:szCs w:val="20"/>
          <w:lang w:eastAsia="en-ID"/>
        </w:rPr>
      </w:pPr>
      <w:r w:rsidRPr="000E46E9">
        <w:rPr>
          <w:rFonts w:ascii="Palatino Linotype" w:eastAsia="Times New Roman" w:hAnsi="Palatino Linotype"/>
          <w:sz w:val="20"/>
          <w:szCs w:val="20"/>
          <w:lang w:eastAsia="en-ID"/>
        </w:rPr>
        <w:t>One key indicator of successful learning is student achievement, as good learning outcomes indicate the effectiveness of the educational process in institutions (</w:t>
      </w:r>
      <w:proofErr w:type="spellStart"/>
      <w:r w:rsidRPr="000E46E9">
        <w:rPr>
          <w:rFonts w:ascii="Palatino Linotype" w:eastAsia="Times New Roman" w:hAnsi="Palatino Linotype"/>
          <w:sz w:val="20"/>
          <w:szCs w:val="20"/>
          <w:lang w:eastAsia="en-ID"/>
        </w:rPr>
        <w:t>Asy’ari</w:t>
      </w:r>
      <w:proofErr w:type="spellEnd"/>
      <w:r w:rsidRPr="000E46E9">
        <w:rPr>
          <w:rFonts w:ascii="Palatino Linotype" w:eastAsia="Times New Roman" w:hAnsi="Palatino Linotype"/>
          <w:sz w:val="20"/>
          <w:szCs w:val="20"/>
          <w:lang w:eastAsia="en-ID"/>
        </w:rPr>
        <w:t xml:space="preserve"> et al., 2021). To achieve this, various approaches have been implemented to improve student learning outcomes, one of which is the development and application of inquiry-based learning. This learning model emphasizes student exploration, experimentation/investigation, and active engagement in the learning process (Baker et al., 2021).</w:t>
      </w:r>
    </w:p>
    <w:p w:rsidR="008E03B0" w:rsidRPr="000E46E9" w:rsidRDefault="008E03B0" w:rsidP="008E03B0">
      <w:pPr>
        <w:spacing w:before="100" w:beforeAutospacing="1" w:after="100" w:afterAutospacing="1" w:line="240" w:lineRule="auto"/>
        <w:jc w:val="both"/>
        <w:rPr>
          <w:rFonts w:ascii="Palatino Linotype" w:eastAsia="Times New Roman" w:hAnsi="Palatino Linotype"/>
          <w:sz w:val="20"/>
          <w:szCs w:val="20"/>
          <w:lang w:eastAsia="en-ID"/>
        </w:rPr>
      </w:pPr>
      <w:r w:rsidRPr="000E46E9">
        <w:rPr>
          <w:rFonts w:ascii="Palatino Linotype" w:eastAsia="Times New Roman" w:hAnsi="Palatino Linotype"/>
          <w:sz w:val="20"/>
          <w:szCs w:val="20"/>
          <w:lang w:eastAsia="en-ID"/>
        </w:rPr>
        <w:t xml:space="preserve">Inquiry-based learning is grounded in constructivist theory, where students acquire knowledge through direct participation in the learning process. This theory emphasizes that students should not passively receive information but rather engage actively to build their competencies and knowledge independently. Independently acquired competencies tend to be more deeply ingrained in students compared to passive reception or mere listening (Becker et al., 2020; </w:t>
      </w:r>
      <w:proofErr w:type="spellStart"/>
      <w:r w:rsidRPr="000E46E9">
        <w:rPr>
          <w:rFonts w:ascii="Palatino Linotype" w:eastAsia="Times New Roman" w:hAnsi="Palatino Linotype"/>
          <w:sz w:val="20"/>
          <w:szCs w:val="20"/>
          <w:lang w:eastAsia="en-ID"/>
        </w:rPr>
        <w:t>Bhandary</w:t>
      </w:r>
      <w:proofErr w:type="spellEnd"/>
      <w:r w:rsidRPr="000E46E9">
        <w:rPr>
          <w:rFonts w:ascii="Palatino Linotype" w:eastAsia="Times New Roman" w:hAnsi="Palatino Linotype"/>
          <w:sz w:val="20"/>
          <w:szCs w:val="20"/>
          <w:lang w:eastAsia="en-ID"/>
        </w:rPr>
        <w:t xml:space="preserve"> et al., 2024). By directly involving students in the learning process—encouraging them to ask questions, seek answers independently, and find solutions on their own—this approach is believed to enhance conceptual understanding, critical thinking, creativity, and problem-solving skills. Inquiry-based learning also fosters self-directed learners with a high sense of curiosity, which is essential for facing the dynamic challenges of the global world (Burhan et al., 2022; Chan et al., 2024).</w:t>
      </w:r>
    </w:p>
    <w:p w:rsidR="008E03B0" w:rsidRPr="000E46E9" w:rsidRDefault="008E03B0" w:rsidP="008E03B0">
      <w:pPr>
        <w:spacing w:before="100" w:beforeAutospacing="1" w:after="100" w:afterAutospacing="1" w:line="240" w:lineRule="auto"/>
        <w:ind w:firstLine="720"/>
        <w:jc w:val="both"/>
        <w:rPr>
          <w:rFonts w:ascii="Palatino Linotype" w:eastAsia="Times New Roman" w:hAnsi="Palatino Linotype"/>
          <w:sz w:val="20"/>
          <w:szCs w:val="20"/>
          <w:lang w:eastAsia="en-ID"/>
        </w:rPr>
      </w:pPr>
      <w:r w:rsidRPr="000E46E9">
        <w:rPr>
          <w:rFonts w:ascii="Palatino Linotype" w:eastAsia="Times New Roman" w:hAnsi="Palatino Linotype"/>
          <w:sz w:val="20"/>
          <w:szCs w:val="20"/>
          <w:lang w:eastAsia="en-ID"/>
        </w:rPr>
        <w:t>Inquiry-based learning has been widely implemented in the educational process; however, research findings on its impact vary. This discrepancy necessitates a deeper investigation to comprehensively understand the overall effects of inquiry-based learning on student achievement. Some studies have found that inquiry-based learning significantly enhances students' scientific competencies and technical skills (</w:t>
      </w:r>
      <w:proofErr w:type="spellStart"/>
      <w:r w:rsidRPr="000E46E9">
        <w:rPr>
          <w:rFonts w:ascii="Palatino Linotype" w:eastAsia="Times New Roman" w:hAnsi="Palatino Linotype"/>
          <w:sz w:val="20"/>
          <w:szCs w:val="20"/>
          <w:lang w:eastAsia="en-ID"/>
        </w:rPr>
        <w:t>Juniar</w:t>
      </w:r>
      <w:proofErr w:type="spellEnd"/>
      <w:r w:rsidRPr="000E46E9">
        <w:rPr>
          <w:rFonts w:ascii="Palatino Linotype" w:eastAsia="Times New Roman" w:hAnsi="Palatino Linotype"/>
          <w:sz w:val="20"/>
          <w:szCs w:val="20"/>
          <w:lang w:eastAsia="en-ID"/>
        </w:rPr>
        <w:t xml:space="preserve">, </w:t>
      </w:r>
      <w:proofErr w:type="spellStart"/>
      <w:r w:rsidRPr="000E46E9">
        <w:rPr>
          <w:rFonts w:ascii="Palatino Linotype" w:eastAsia="Times New Roman" w:hAnsi="Palatino Linotype"/>
          <w:sz w:val="20"/>
          <w:szCs w:val="20"/>
          <w:lang w:eastAsia="en-ID"/>
        </w:rPr>
        <w:t>Fardilah</w:t>
      </w:r>
      <w:proofErr w:type="spellEnd"/>
      <w:r w:rsidRPr="000E46E9">
        <w:rPr>
          <w:rFonts w:ascii="Palatino Linotype" w:eastAsia="Times New Roman" w:hAnsi="Palatino Linotype"/>
          <w:sz w:val="20"/>
          <w:szCs w:val="20"/>
          <w:lang w:eastAsia="en-ID"/>
        </w:rPr>
        <w:t xml:space="preserve">, et al., 2021; </w:t>
      </w:r>
      <w:proofErr w:type="spellStart"/>
      <w:r w:rsidRPr="000E46E9">
        <w:rPr>
          <w:rFonts w:ascii="Palatino Linotype" w:eastAsia="Times New Roman" w:hAnsi="Palatino Linotype"/>
          <w:sz w:val="20"/>
          <w:szCs w:val="20"/>
          <w:lang w:eastAsia="en-ID"/>
        </w:rPr>
        <w:t>Nasri</w:t>
      </w:r>
      <w:proofErr w:type="spellEnd"/>
      <w:r w:rsidRPr="000E46E9">
        <w:rPr>
          <w:rFonts w:ascii="Palatino Linotype" w:eastAsia="Times New Roman" w:hAnsi="Palatino Linotype"/>
          <w:sz w:val="20"/>
          <w:szCs w:val="20"/>
          <w:lang w:eastAsia="en-ID"/>
        </w:rPr>
        <w:t xml:space="preserve"> et al., 2023; </w:t>
      </w:r>
      <w:proofErr w:type="spellStart"/>
      <w:r w:rsidRPr="000E46E9">
        <w:rPr>
          <w:rFonts w:ascii="Palatino Linotype" w:eastAsia="Times New Roman" w:hAnsi="Palatino Linotype"/>
          <w:sz w:val="20"/>
          <w:szCs w:val="20"/>
          <w:lang w:eastAsia="en-ID"/>
        </w:rPr>
        <w:t>Shofiyah</w:t>
      </w:r>
      <w:proofErr w:type="spellEnd"/>
      <w:r w:rsidRPr="000E46E9">
        <w:rPr>
          <w:rFonts w:ascii="Palatino Linotype" w:eastAsia="Times New Roman" w:hAnsi="Palatino Linotype"/>
          <w:sz w:val="20"/>
          <w:szCs w:val="20"/>
          <w:lang w:eastAsia="en-ID"/>
        </w:rPr>
        <w:t xml:space="preserve"> et al., 2020). However, preliminary research suggests that only a few studies report a strong impact on student learning outcomes, while most findings indicate a moderate effect. Additionally, some studies have found that inquiry-based learning has a moderate impact on improving critical thinking skills and scientific competencies (</w:t>
      </w:r>
      <w:proofErr w:type="spellStart"/>
      <w:r w:rsidRPr="000E46E9">
        <w:rPr>
          <w:rFonts w:ascii="Palatino Linotype" w:eastAsia="Times New Roman" w:hAnsi="Palatino Linotype"/>
          <w:sz w:val="20"/>
          <w:szCs w:val="20"/>
          <w:lang w:eastAsia="en-ID"/>
        </w:rPr>
        <w:t>Juniar</w:t>
      </w:r>
      <w:proofErr w:type="spellEnd"/>
      <w:r w:rsidRPr="000E46E9">
        <w:rPr>
          <w:rFonts w:ascii="Palatino Linotype" w:eastAsia="Times New Roman" w:hAnsi="Palatino Linotype"/>
          <w:sz w:val="20"/>
          <w:szCs w:val="20"/>
          <w:lang w:eastAsia="en-ID"/>
        </w:rPr>
        <w:t xml:space="preserve">, </w:t>
      </w:r>
      <w:proofErr w:type="spellStart"/>
      <w:r w:rsidRPr="000E46E9">
        <w:rPr>
          <w:rFonts w:ascii="Palatino Linotype" w:eastAsia="Times New Roman" w:hAnsi="Palatino Linotype"/>
          <w:sz w:val="20"/>
          <w:szCs w:val="20"/>
          <w:lang w:eastAsia="en-ID"/>
        </w:rPr>
        <w:t>Fardilah</w:t>
      </w:r>
      <w:proofErr w:type="spellEnd"/>
      <w:r w:rsidRPr="000E46E9">
        <w:rPr>
          <w:rFonts w:ascii="Palatino Linotype" w:eastAsia="Times New Roman" w:hAnsi="Palatino Linotype"/>
          <w:sz w:val="20"/>
          <w:szCs w:val="20"/>
          <w:lang w:eastAsia="en-ID"/>
        </w:rPr>
        <w:t xml:space="preserve">, et al., 2021; </w:t>
      </w:r>
      <w:proofErr w:type="spellStart"/>
      <w:r w:rsidRPr="000E46E9">
        <w:rPr>
          <w:rFonts w:ascii="Palatino Linotype" w:eastAsia="Times New Roman" w:hAnsi="Palatino Linotype"/>
          <w:sz w:val="20"/>
          <w:szCs w:val="20"/>
          <w:lang w:eastAsia="en-ID"/>
        </w:rPr>
        <w:t>Purba</w:t>
      </w:r>
      <w:proofErr w:type="spellEnd"/>
      <w:r w:rsidRPr="000E46E9">
        <w:rPr>
          <w:rFonts w:ascii="Palatino Linotype" w:eastAsia="Times New Roman" w:hAnsi="Palatino Linotype"/>
          <w:sz w:val="20"/>
          <w:szCs w:val="20"/>
          <w:lang w:eastAsia="en-ID"/>
        </w:rPr>
        <w:t xml:space="preserve"> et al., 2021). Conversely, other research suggests that the effect of inquiry-based learning is small in enhancing critical thinking skills, scientific competencies, and student knowledge (</w:t>
      </w:r>
      <w:proofErr w:type="spellStart"/>
      <w:r w:rsidRPr="000E46E9">
        <w:rPr>
          <w:rFonts w:ascii="Palatino Linotype" w:eastAsia="Times New Roman" w:hAnsi="Palatino Linotype"/>
          <w:sz w:val="20"/>
          <w:szCs w:val="20"/>
          <w:lang w:eastAsia="en-ID"/>
        </w:rPr>
        <w:t>Khery</w:t>
      </w:r>
      <w:proofErr w:type="spellEnd"/>
      <w:r w:rsidRPr="000E46E9">
        <w:rPr>
          <w:rFonts w:ascii="Palatino Linotype" w:eastAsia="Times New Roman" w:hAnsi="Palatino Linotype"/>
          <w:sz w:val="20"/>
          <w:szCs w:val="20"/>
          <w:lang w:eastAsia="en-ID"/>
        </w:rPr>
        <w:t xml:space="preserve"> et al., 2020; </w:t>
      </w:r>
      <w:proofErr w:type="spellStart"/>
      <w:r w:rsidRPr="000E46E9">
        <w:rPr>
          <w:rFonts w:ascii="Palatino Linotype" w:eastAsia="Times New Roman" w:hAnsi="Palatino Linotype"/>
          <w:sz w:val="20"/>
          <w:szCs w:val="20"/>
          <w:lang w:eastAsia="en-ID"/>
        </w:rPr>
        <w:t>Noer</w:t>
      </w:r>
      <w:proofErr w:type="spellEnd"/>
      <w:r w:rsidRPr="000E46E9">
        <w:rPr>
          <w:rFonts w:ascii="Palatino Linotype" w:eastAsia="Times New Roman" w:hAnsi="Palatino Linotype"/>
          <w:sz w:val="20"/>
          <w:szCs w:val="20"/>
          <w:lang w:eastAsia="en-ID"/>
        </w:rPr>
        <w:t xml:space="preserve"> et al., 2020; Sharmila et al., 2022).</w:t>
      </w:r>
    </w:p>
    <w:p w:rsidR="008E03B0" w:rsidRPr="000E46E9" w:rsidRDefault="008E03B0" w:rsidP="008E03B0">
      <w:pPr>
        <w:spacing w:before="100" w:beforeAutospacing="1" w:after="100" w:afterAutospacing="1" w:line="240" w:lineRule="auto"/>
        <w:ind w:firstLine="720"/>
        <w:jc w:val="both"/>
        <w:rPr>
          <w:rFonts w:ascii="Palatino Linotype" w:eastAsia="Times New Roman" w:hAnsi="Palatino Linotype"/>
          <w:sz w:val="20"/>
          <w:szCs w:val="20"/>
          <w:lang w:eastAsia="en-ID"/>
        </w:rPr>
      </w:pPr>
      <w:r w:rsidRPr="000E46E9">
        <w:rPr>
          <w:rFonts w:ascii="Palatino Linotype" w:eastAsia="Times New Roman" w:hAnsi="Palatino Linotype"/>
          <w:sz w:val="20"/>
          <w:szCs w:val="20"/>
          <w:lang w:eastAsia="en-ID"/>
        </w:rPr>
        <w:t>Beyond positive impacts—whether large, moderate, or small—some studies have shown that inquiry-based learning has no significant effect on student learning outcomes, particularly in terms of conceptual understanding and critical thinking skills. Previous research has also found that inquiry-based learning does not necessarily enhance students' critical thinking skills (</w:t>
      </w:r>
      <w:proofErr w:type="spellStart"/>
      <w:r w:rsidRPr="000E46E9">
        <w:rPr>
          <w:rFonts w:ascii="Palatino Linotype" w:eastAsia="Times New Roman" w:hAnsi="Palatino Linotype"/>
          <w:sz w:val="20"/>
          <w:szCs w:val="20"/>
          <w:lang w:eastAsia="en-ID"/>
        </w:rPr>
        <w:t>Abidin</w:t>
      </w:r>
      <w:proofErr w:type="spellEnd"/>
      <w:r w:rsidRPr="000E46E9">
        <w:rPr>
          <w:rFonts w:ascii="Palatino Linotype" w:eastAsia="Times New Roman" w:hAnsi="Palatino Linotype"/>
          <w:sz w:val="20"/>
          <w:szCs w:val="20"/>
          <w:lang w:eastAsia="en-ID"/>
        </w:rPr>
        <w:t xml:space="preserve"> et al., 2021; </w:t>
      </w:r>
      <w:proofErr w:type="spellStart"/>
      <w:r w:rsidRPr="000E46E9">
        <w:rPr>
          <w:rFonts w:ascii="Palatino Linotype" w:eastAsia="Times New Roman" w:hAnsi="Palatino Linotype"/>
          <w:sz w:val="20"/>
          <w:szCs w:val="20"/>
          <w:lang w:eastAsia="en-ID"/>
        </w:rPr>
        <w:t>Koes</w:t>
      </w:r>
      <w:proofErr w:type="spellEnd"/>
      <w:r w:rsidRPr="000E46E9">
        <w:rPr>
          <w:rFonts w:ascii="Palatino Linotype" w:eastAsia="Times New Roman" w:hAnsi="Palatino Linotype"/>
          <w:sz w:val="20"/>
          <w:szCs w:val="20"/>
          <w:lang w:eastAsia="en-ID"/>
        </w:rPr>
        <w:t>-H et al., 2020). Moreover, some studies indicate that this learning approach does not significantly improve student knowledge (conceptual understanding) (</w:t>
      </w:r>
      <w:proofErr w:type="spellStart"/>
      <w:r w:rsidRPr="000E46E9">
        <w:rPr>
          <w:rFonts w:ascii="Palatino Linotype" w:eastAsia="Times New Roman" w:hAnsi="Palatino Linotype"/>
          <w:sz w:val="20"/>
          <w:szCs w:val="20"/>
          <w:lang w:eastAsia="en-ID"/>
        </w:rPr>
        <w:t>Abdellateef</w:t>
      </w:r>
      <w:proofErr w:type="spellEnd"/>
      <w:r w:rsidRPr="000E46E9">
        <w:rPr>
          <w:rFonts w:ascii="Palatino Linotype" w:eastAsia="Times New Roman" w:hAnsi="Palatino Linotype"/>
          <w:sz w:val="20"/>
          <w:szCs w:val="20"/>
          <w:lang w:eastAsia="en-ID"/>
        </w:rPr>
        <w:t xml:space="preserve"> </w:t>
      </w:r>
      <w:proofErr w:type="spellStart"/>
      <w:r w:rsidRPr="000E46E9">
        <w:rPr>
          <w:rFonts w:ascii="Palatino Linotype" w:eastAsia="Times New Roman" w:hAnsi="Palatino Linotype"/>
          <w:sz w:val="20"/>
          <w:szCs w:val="20"/>
          <w:lang w:eastAsia="en-ID"/>
        </w:rPr>
        <w:t>Alqawasmi</w:t>
      </w:r>
      <w:proofErr w:type="spellEnd"/>
      <w:r w:rsidRPr="000E46E9">
        <w:rPr>
          <w:rFonts w:ascii="Palatino Linotype" w:eastAsia="Times New Roman" w:hAnsi="Palatino Linotype"/>
          <w:sz w:val="20"/>
          <w:szCs w:val="20"/>
          <w:lang w:eastAsia="en-ID"/>
        </w:rPr>
        <w:t xml:space="preserve"> et al., 2024; </w:t>
      </w:r>
      <w:proofErr w:type="spellStart"/>
      <w:r w:rsidRPr="000E46E9">
        <w:rPr>
          <w:rFonts w:ascii="Palatino Linotype" w:eastAsia="Times New Roman" w:hAnsi="Palatino Linotype"/>
          <w:sz w:val="20"/>
          <w:szCs w:val="20"/>
          <w:lang w:eastAsia="en-ID"/>
        </w:rPr>
        <w:t>Ramnarain</w:t>
      </w:r>
      <w:proofErr w:type="spellEnd"/>
      <w:r w:rsidRPr="000E46E9">
        <w:rPr>
          <w:rFonts w:ascii="Palatino Linotype" w:eastAsia="Times New Roman" w:hAnsi="Palatino Linotype"/>
          <w:sz w:val="20"/>
          <w:szCs w:val="20"/>
          <w:lang w:eastAsia="en-ID"/>
        </w:rPr>
        <w:t xml:space="preserve">, 2024; </w:t>
      </w:r>
      <w:proofErr w:type="spellStart"/>
      <w:r w:rsidRPr="000E46E9">
        <w:rPr>
          <w:rFonts w:ascii="Palatino Linotype" w:eastAsia="Times New Roman" w:hAnsi="Palatino Linotype"/>
          <w:sz w:val="20"/>
          <w:szCs w:val="20"/>
          <w:lang w:eastAsia="en-ID"/>
        </w:rPr>
        <w:t>Thongkoo</w:t>
      </w:r>
      <w:proofErr w:type="spellEnd"/>
      <w:r w:rsidRPr="000E46E9">
        <w:rPr>
          <w:rFonts w:ascii="Palatino Linotype" w:eastAsia="Times New Roman" w:hAnsi="Palatino Linotype"/>
          <w:sz w:val="20"/>
          <w:szCs w:val="20"/>
          <w:lang w:eastAsia="en-ID"/>
        </w:rPr>
        <w:t xml:space="preserve"> et al., 2024). The diversity of these findings presents a fundamental issue in this study, necessitating a comprehensive analysis to determine the true impact of inquiry-based learning on student achievement.</w:t>
      </w:r>
    </w:p>
    <w:p w:rsidR="008E03B0" w:rsidRPr="000E46E9" w:rsidRDefault="008E03B0" w:rsidP="008E03B0">
      <w:pPr>
        <w:spacing w:before="100" w:beforeAutospacing="1" w:after="100" w:afterAutospacing="1" w:line="240" w:lineRule="auto"/>
        <w:ind w:firstLine="720"/>
        <w:jc w:val="both"/>
        <w:rPr>
          <w:rFonts w:ascii="Palatino Linotype" w:eastAsia="Times New Roman" w:hAnsi="Palatino Linotype"/>
          <w:sz w:val="20"/>
          <w:szCs w:val="20"/>
          <w:lang w:eastAsia="en-ID"/>
        </w:rPr>
      </w:pPr>
      <w:r w:rsidRPr="000E46E9">
        <w:rPr>
          <w:rFonts w:ascii="Palatino Linotype" w:eastAsia="Times New Roman" w:hAnsi="Palatino Linotype"/>
          <w:sz w:val="20"/>
          <w:szCs w:val="20"/>
          <w:lang w:eastAsia="en-ID"/>
        </w:rPr>
        <w:t>Understanding the overall impact of inquiry-based learning is crucial for educators and educational institutions to effectively implement this model in the learning process (</w:t>
      </w:r>
      <w:proofErr w:type="spellStart"/>
      <w:r w:rsidRPr="000E46E9">
        <w:rPr>
          <w:rFonts w:ascii="Palatino Linotype" w:eastAsia="Times New Roman" w:hAnsi="Palatino Linotype"/>
          <w:sz w:val="20"/>
          <w:szCs w:val="20"/>
          <w:lang w:eastAsia="en-ID"/>
        </w:rPr>
        <w:t>Sukardi</w:t>
      </w:r>
      <w:proofErr w:type="spellEnd"/>
      <w:r w:rsidRPr="000E46E9">
        <w:rPr>
          <w:rFonts w:ascii="Palatino Linotype" w:eastAsia="Times New Roman" w:hAnsi="Palatino Linotype"/>
          <w:sz w:val="20"/>
          <w:szCs w:val="20"/>
          <w:lang w:eastAsia="en-ID"/>
        </w:rPr>
        <w:t xml:space="preserve"> et al., 2024). Therefore, this study adopts a meta-analysis research method to address the identified research problem. Through meta-analysis, this study synthesizes findings from various research studies to provide a more comprehensive understanding (</w:t>
      </w:r>
      <w:proofErr w:type="spellStart"/>
      <w:r w:rsidRPr="000E46E9">
        <w:rPr>
          <w:rFonts w:ascii="Palatino Linotype" w:eastAsia="Times New Roman" w:hAnsi="Palatino Linotype"/>
          <w:sz w:val="20"/>
          <w:szCs w:val="20"/>
          <w:lang w:eastAsia="en-ID"/>
        </w:rPr>
        <w:t>Setyawan</w:t>
      </w:r>
      <w:proofErr w:type="spellEnd"/>
      <w:r w:rsidRPr="000E46E9">
        <w:rPr>
          <w:rFonts w:ascii="Palatino Linotype" w:eastAsia="Times New Roman" w:hAnsi="Palatino Linotype"/>
          <w:sz w:val="20"/>
          <w:szCs w:val="20"/>
          <w:lang w:eastAsia="en-ID"/>
        </w:rPr>
        <w:t xml:space="preserve"> et al., 2024). The novelty of this study lies in </w:t>
      </w:r>
      <w:r w:rsidRPr="000E46E9">
        <w:rPr>
          <w:rFonts w:ascii="Palatino Linotype" w:eastAsia="Times New Roman" w:hAnsi="Palatino Linotype"/>
          <w:sz w:val="20"/>
          <w:szCs w:val="20"/>
          <w:lang w:eastAsia="en-ID"/>
        </w:rPr>
        <w:lastRenderedPageBreak/>
        <w:t>its holistic examination of the impact of inquiry-based learning, distinguishing it from previous empirical research that focused on specific contexts or populations. This study integrates data from multiple studies conducted in diverse educational settings. Additionally, its findings are expected to bridge gaps in the literature by providing more solid and reliable empirical evidence, thus supporting the development of more effective and evidence-based instructional strategies.</w:t>
      </w:r>
    </w:p>
    <w:p w:rsidR="00727D5A" w:rsidRPr="008E03B0" w:rsidRDefault="008E03B0" w:rsidP="008E03B0">
      <w:pPr>
        <w:spacing w:before="100" w:beforeAutospacing="1" w:after="100" w:afterAutospacing="1" w:line="240" w:lineRule="auto"/>
        <w:ind w:firstLine="720"/>
        <w:jc w:val="both"/>
        <w:rPr>
          <w:rFonts w:ascii="Palatino Linotype" w:eastAsia="Times New Roman" w:hAnsi="Palatino Linotype"/>
          <w:sz w:val="20"/>
          <w:szCs w:val="20"/>
          <w:lang w:eastAsia="en-ID"/>
        </w:rPr>
      </w:pPr>
      <w:r w:rsidRPr="000E46E9">
        <w:rPr>
          <w:rFonts w:ascii="Palatino Linotype" w:eastAsia="Times New Roman" w:hAnsi="Palatino Linotype"/>
          <w:sz w:val="20"/>
          <w:szCs w:val="20"/>
          <w:lang w:eastAsia="en-ID"/>
        </w:rPr>
        <w:t>This article aims to explore the impact of inquiry-based learning on student learning outcomes through a meta-analysis approach. By conducting this analysis, educators, researchers, and policymakers are expected to gain deeper insights into selecting effective, relevant, and evidence-based teaching strategies. Consequently, inquiry-based learning can be optimized for implementation in various educational contexts, both locally and globally. Moreover, the results of this meta-analysis are expected to serve as a reference for developing educational policies that promote active and innovative learning, ultimately creating more dynamic and responsive learning environments that meet students' needs in the modern era.</w:t>
      </w:r>
    </w:p>
    <w:p w:rsidR="005B5AEC" w:rsidRPr="00723B12" w:rsidRDefault="005B5AEC" w:rsidP="005B5AEC">
      <w:pPr>
        <w:pStyle w:val="Alishlah21heading1"/>
        <w:rPr>
          <w:rFonts w:eastAsia="Arial"/>
        </w:rPr>
      </w:pPr>
      <w:r w:rsidRPr="00723B12">
        <w:rPr>
          <w:rFonts w:eastAsia="Arial"/>
        </w:rPr>
        <w:t xml:space="preserve">METHODS </w:t>
      </w:r>
    </w:p>
    <w:p w:rsidR="00583DB2" w:rsidRPr="000E46E9" w:rsidRDefault="00583DB2" w:rsidP="00583DB2">
      <w:pPr>
        <w:pStyle w:val="Heading3"/>
        <w:spacing w:line="240" w:lineRule="auto"/>
        <w:jc w:val="both"/>
        <w:rPr>
          <w:rFonts w:ascii="Palatino Linotype" w:hAnsi="Palatino Linotype"/>
          <w:sz w:val="20"/>
          <w:szCs w:val="20"/>
          <w:lang w:eastAsia="en-ID"/>
        </w:rPr>
      </w:pPr>
      <w:bookmarkStart w:id="1" w:name="_Hlk189066157"/>
      <w:r w:rsidRPr="00583DB2">
        <w:rPr>
          <w:rFonts w:ascii="Palatino Linotype" w:hAnsi="Palatino Linotype"/>
          <w:b/>
          <w:color w:val="auto"/>
          <w:sz w:val="20"/>
          <w:szCs w:val="20"/>
        </w:rPr>
        <w:t>Article Collection Technique</w:t>
      </w:r>
    </w:p>
    <w:p w:rsidR="00583DB2" w:rsidRPr="000E46E9" w:rsidRDefault="00583DB2" w:rsidP="00583DB2">
      <w:pPr>
        <w:pStyle w:val="NormalWeb"/>
        <w:spacing w:line="240" w:lineRule="auto"/>
        <w:ind w:firstLine="720"/>
        <w:jc w:val="both"/>
        <w:rPr>
          <w:rFonts w:ascii="Palatino Linotype" w:hAnsi="Palatino Linotype"/>
          <w:sz w:val="20"/>
          <w:szCs w:val="20"/>
        </w:rPr>
      </w:pPr>
      <w:r w:rsidRPr="000E46E9">
        <w:rPr>
          <w:rFonts w:ascii="Palatino Linotype" w:hAnsi="Palatino Linotype"/>
          <w:sz w:val="20"/>
          <w:szCs w:val="20"/>
        </w:rPr>
        <w:t xml:space="preserve">In accordance with the objective of this study, which is to comprehensively examine the effectiveness of e-learning in vocational schools, the research method used is a meta-analysis approach. Meta-analysis is a method used to systematically review, synthesize, and quantitatively estimate (meta-analysis) the results of previous studies on the same research problem. Previous studies serve as the primary data source for meta-analysis research (Dai &amp; Martins, 2024; </w:t>
      </w:r>
      <w:proofErr w:type="spellStart"/>
      <w:r w:rsidRPr="000E46E9">
        <w:rPr>
          <w:rFonts w:ascii="Palatino Linotype" w:hAnsi="Palatino Linotype"/>
          <w:sz w:val="20"/>
          <w:szCs w:val="20"/>
        </w:rPr>
        <w:t>Setyawan</w:t>
      </w:r>
      <w:proofErr w:type="spellEnd"/>
      <w:r w:rsidRPr="000E46E9">
        <w:rPr>
          <w:rFonts w:ascii="Palatino Linotype" w:hAnsi="Palatino Linotype"/>
          <w:sz w:val="20"/>
          <w:szCs w:val="20"/>
        </w:rPr>
        <w:t xml:space="preserve"> et al., 2024).</w:t>
      </w:r>
    </w:p>
    <w:p w:rsidR="00583DB2" w:rsidRPr="000E46E9" w:rsidRDefault="00583DB2" w:rsidP="00583DB2">
      <w:pPr>
        <w:pStyle w:val="NormalWeb"/>
        <w:spacing w:line="240" w:lineRule="auto"/>
        <w:ind w:firstLine="720"/>
        <w:jc w:val="both"/>
        <w:rPr>
          <w:rFonts w:ascii="Palatino Linotype" w:hAnsi="Palatino Linotype"/>
          <w:sz w:val="20"/>
          <w:szCs w:val="20"/>
        </w:rPr>
      </w:pPr>
      <w:r w:rsidRPr="000E46E9">
        <w:rPr>
          <w:rFonts w:ascii="Palatino Linotype" w:hAnsi="Palatino Linotype"/>
          <w:sz w:val="20"/>
          <w:szCs w:val="20"/>
        </w:rPr>
        <w:t>The article search technique follows the topic of inquiry using the Preferred Reporting Items for Systematic Reviews and Meta-analysis (PRISMA) selection method. PRISMA is a systematic method for compiling and selecting articles relevant to the research. This method is highly effective for identifying articles as primary data for meta-analysis. PRISMA consists of four systematically arranged steps: identification, screening, eligibility, and inclusion (</w:t>
      </w:r>
      <w:proofErr w:type="spellStart"/>
      <w:r w:rsidRPr="000E46E9">
        <w:rPr>
          <w:rFonts w:ascii="Palatino Linotype" w:hAnsi="Palatino Linotype"/>
          <w:sz w:val="20"/>
          <w:szCs w:val="20"/>
        </w:rPr>
        <w:t>Syafii</w:t>
      </w:r>
      <w:proofErr w:type="spellEnd"/>
      <w:r w:rsidRPr="000E46E9">
        <w:rPr>
          <w:rFonts w:ascii="Palatino Linotype" w:hAnsi="Palatino Linotype"/>
          <w:sz w:val="20"/>
          <w:szCs w:val="20"/>
        </w:rPr>
        <w:t xml:space="preserve"> et al., 2022; </w:t>
      </w:r>
      <w:proofErr w:type="spellStart"/>
      <w:r w:rsidRPr="000E46E9">
        <w:rPr>
          <w:rFonts w:ascii="Palatino Linotype" w:hAnsi="Palatino Linotype"/>
          <w:sz w:val="20"/>
          <w:szCs w:val="20"/>
        </w:rPr>
        <w:t>Wahono</w:t>
      </w:r>
      <w:proofErr w:type="spellEnd"/>
      <w:r w:rsidRPr="000E46E9">
        <w:rPr>
          <w:rFonts w:ascii="Palatino Linotype" w:hAnsi="Palatino Linotype"/>
          <w:sz w:val="20"/>
          <w:szCs w:val="20"/>
        </w:rPr>
        <w:t xml:space="preserve"> et al., 2020). The article search is conducted through well-known academic databases such as </w:t>
      </w:r>
      <w:proofErr w:type="spellStart"/>
      <w:r w:rsidRPr="000E46E9">
        <w:rPr>
          <w:rFonts w:ascii="Palatino Linotype" w:hAnsi="Palatino Linotype"/>
          <w:sz w:val="20"/>
          <w:szCs w:val="20"/>
        </w:rPr>
        <w:t>IOPscience</w:t>
      </w:r>
      <w:proofErr w:type="spellEnd"/>
      <w:r w:rsidRPr="000E46E9">
        <w:rPr>
          <w:rFonts w:ascii="Palatino Linotype" w:hAnsi="Palatino Linotype"/>
          <w:sz w:val="20"/>
          <w:szCs w:val="20"/>
        </w:rPr>
        <w:t xml:space="preserve"> and IEEE, as well as directly from internationally recognized journal databases, including the </w:t>
      </w:r>
      <w:r w:rsidRPr="000E46E9">
        <w:rPr>
          <w:rStyle w:val="Emphasis"/>
          <w:rFonts w:ascii="Palatino Linotype" w:hAnsi="Palatino Linotype"/>
          <w:sz w:val="20"/>
          <w:szCs w:val="20"/>
        </w:rPr>
        <w:t>International Journal of Interactive Mobile Technologies</w:t>
      </w:r>
      <w:r w:rsidRPr="000E46E9">
        <w:rPr>
          <w:rFonts w:ascii="Palatino Linotype" w:hAnsi="Palatino Linotype"/>
          <w:sz w:val="20"/>
          <w:szCs w:val="20"/>
        </w:rPr>
        <w:t xml:space="preserve"> (</w:t>
      </w:r>
      <w:proofErr w:type="spellStart"/>
      <w:r w:rsidRPr="000E46E9">
        <w:rPr>
          <w:rFonts w:ascii="Palatino Linotype" w:hAnsi="Palatino Linotype"/>
          <w:sz w:val="20"/>
          <w:szCs w:val="20"/>
        </w:rPr>
        <w:t>iJIM</w:t>
      </w:r>
      <w:proofErr w:type="spellEnd"/>
      <w:r w:rsidRPr="000E46E9">
        <w:rPr>
          <w:rFonts w:ascii="Palatino Linotype" w:hAnsi="Palatino Linotype"/>
          <w:sz w:val="20"/>
          <w:szCs w:val="20"/>
        </w:rPr>
        <w:t xml:space="preserve">) and the </w:t>
      </w:r>
      <w:r w:rsidRPr="000E46E9">
        <w:rPr>
          <w:rStyle w:val="Emphasis"/>
          <w:rFonts w:ascii="Palatino Linotype" w:hAnsi="Palatino Linotype"/>
          <w:sz w:val="20"/>
          <w:szCs w:val="20"/>
        </w:rPr>
        <w:t>International Journal of Information and Education Technology</w:t>
      </w:r>
      <w:r w:rsidRPr="000E46E9">
        <w:rPr>
          <w:rFonts w:ascii="Palatino Linotype" w:hAnsi="Palatino Linotype"/>
          <w:sz w:val="20"/>
          <w:szCs w:val="20"/>
        </w:rPr>
        <w:t xml:space="preserve"> (IJIET).</w:t>
      </w:r>
    </w:p>
    <w:p w:rsidR="00583DB2" w:rsidRPr="00583DB2" w:rsidRDefault="00583DB2" w:rsidP="00583DB2">
      <w:pPr>
        <w:pStyle w:val="Heading3"/>
        <w:spacing w:line="240" w:lineRule="auto"/>
        <w:jc w:val="both"/>
        <w:rPr>
          <w:rFonts w:ascii="Palatino Linotype" w:hAnsi="Palatino Linotype"/>
          <w:b/>
          <w:color w:val="auto"/>
          <w:sz w:val="20"/>
          <w:szCs w:val="20"/>
        </w:rPr>
      </w:pPr>
      <w:r w:rsidRPr="00583DB2">
        <w:rPr>
          <w:rFonts w:ascii="Palatino Linotype" w:hAnsi="Palatino Linotype"/>
          <w:b/>
          <w:color w:val="auto"/>
          <w:sz w:val="20"/>
          <w:szCs w:val="20"/>
        </w:rPr>
        <w:t>Inclusion and Exclusion Criteria</w:t>
      </w:r>
    </w:p>
    <w:p w:rsidR="00583DB2" w:rsidRPr="000E46E9" w:rsidRDefault="00583DB2" w:rsidP="00583DB2">
      <w:pPr>
        <w:pStyle w:val="NormalWeb"/>
        <w:spacing w:line="240" w:lineRule="auto"/>
        <w:ind w:firstLine="720"/>
        <w:jc w:val="both"/>
        <w:rPr>
          <w:rFonts w:ascii="Palatino Linotype" w:hAnsi="Palatino Linotype"/>
          <w:sz w:val="20"/>
          <w:szCs w:val="20"/>
        </w:rPr>
      </w:pPr>
      <w:r w:rsidRPr="000E46E9">
        <w:rPr>
          <w:rFonts w:ascii="Palatino Linotype" w:hAnsi="Palatino Linotype"/>
          <w:sz w:val="20"/>
          <w:szCs w:val="20"/>
        </w:rPr>
        <w:t>The inclusion and exclusion criteria are established as guidelines for selecting articles as primary data for the meta-analysis. These criteria ensure that the selected articles contain comparable data and meet the predefined standards. Inclusion criteria define the characteristics of articles to be included in the meta-analysis, while exclusion criteria identify articles that do not meet the inclusion requirements and are therefore excluded from the study.</w:t>
      </w:r>
    </w:p>
    <w:p w:rsidR="00583DB2" w:rsidRPr="000E46E9" w:rsidRDefault="00583DB2" w:rsidP="00583DB2">
      <w:pPr>
        <w:pStyle w:val="NormalWeb"/>
        <w:spacing w:line="240" w:lineRule="auto"/>
        <w:ind w:firstLine="720"/>
        <w:jc w:val="both"/>
        <w:rPr>
          <w:rFonts w:ascii="Palatino Linotype" w:hAnsi="Palatino Linotype"/>
          <w:sz w:val="20"/>
          <w:szCs w:val="20"/>
        </w:rPr>
      </w:pPr>
      <w:r w:rsidRPr="000E46E9">
        <w:rPr>
          <w:rFonts w:ascii="Palatino Linotype" w:hAnsi="Palatino Linotype"/>
          <w:sz w:val="20"/>
          <w:szCs w:val="20"/>
        </w:rPr>
        <w:t>The inclusion criteria consist of five assessment aspects: field of science, year of journal publication, article type, research design, and research data (</w:t>
      </w:r>
      <w:proofErr w:type="spellStart"/>
      <w:r w:rsidRPr="000E46E9">
        <w:rPr>
          <w:rFonts w:ascii="Palatino Linotype" w:hAnsi="Palatino Linotype"/>
          <w:sz w:val="20"/>
          <w:szCs w:val="20"/>
        </w:rPr>
        <w:t>Agussuryani</w:t>
      </w:r>
      <w:proofErr w:type="spellEnd"/>
      <w:r w:rsidRPr="000E46E9">
        <w:rPr>
          <w:rFonts w:ascii="Palatino Linotype" w:hAnsi="Palatino Linotype"/>
          <w:sz w:val="20"/>
          <w:szCs w:val="20"/>
        </w:rPr>
        <w:t xml:space="preserve"> et al., 2022; </w:t>
      </w:r>
      <w:proofErr w:type="spellStart"/>
      <w:r w:rsidRPr="000E46E9">
        <w:rPr>
          <w:rFonts w:ascii="Palatino Linotype" w:hAnsi="Palatino Linotype"/>
          <w:sz w:val="20"/>
          <w:szCs w:val="20"/>
        </w:rPr>
        <w:t>Syafii</w:t>
      </w:r>
      <w:proofErr w:type="spellEnd"/>
      <w:r w:rsidRPr="000E46E9">
        <w:rPr>
          <w:rFonts w:ascii="Palatino Linotype" w:hAnsi="Palatino Linotype"/>
          <w:sz w:val="20"/>
          <w:szCs w:val="20"/>
        </w:rPr>
        <w:t xml:space="preserve"> et al., 2022). A detailed breakdown of the inclusion criteria for article selection is presented in Table 1. The exclusion criteria, convers</w:t>
      </w:r>
      <w:r>
        <w:rPr>
          <w:rFonts w:ascii="Palatino Linotype" w:hAnsi="Palatino Linotype"/>
          <w:sz w:val="20"/>
          <w:szCs w:val="20"/>
        </w:rPr>
        <w:tab/>
      </w:r>
      <w:proofErr w:type="spellStart"/>
      <w:r w:rsidRPr="000E46E9">
        <w:rPr>
          <w:rFonts w:ascii="Palatino Linotype" w:hAnsi="Palatino Linotype"/>
          <w:sz w:val="20"/>
          <w:szCs w:val="20"/>
        </w:rPr>
        <w:t>ely</w:t>
      </w:r>
      <w:proofErr w:type="spellEnd"/>
      <w:r w:rsidRPr="000E46E9">
        <w:rPr>
          <w:rFonts w:ascii="Palatino Linotype" w:hAnsi="Palatino Linotype"/>
          <w:sz w:val="20"/>
          <w:szCs w:val="20"/>
        </w:rPr>
        <w:t>, indicate that any article failing to meet the inclusion criteria listed in Table 1 cannot be used as a primary data source for the meta-analysis.</w:t>
      </w:r>
    </w:p>
    <w:p w:rsidR="00583DB2" w:rsidRPr="000E46E9" w:rsidRDefault="00583DB2" w:rsidP="00583DB2">
      <w:pPr>
        <w:pStyle w:val="Heading4"/>
        <w:spacing w:line="240" w:lineRule="auto"/>
        <w:jc w:val="both"/>
        <w:rPr>
          <w:rFonts w:ascii="Palatino Linotype" w:hAnsi="Palatino Linotype"/>
          <w:color w:val="auto"/>
          <w:sz w:val="20"/>
          <w:szCs w:val="20"/>
        </w:rPr>
      </w:pPr>
      <w:r w:rsidRPr="000E46E9">
        <w:rPr>
          <w:rFonts w:ascii="Palatino Linotype" w:hAnsi="Palatino Linotype"/>
          <w:color w:val="auto"/>
          <w:sz w:val="20"/>
          <w:szCs w:val="20"/>
        </w:rPr>
        <w:t>Table 1. Inclusion Criteria for Article Selection</w:t>
      </w:r>
    </w:p>
    <w:tbl>
      <w:tblPr>
        <w:tblStyle w:val="TableGrid3"/>
        <w:tblW w:w="0" w:type="auto"/>
        <w:tblLook w:val="04A0" w:firstRow="1" w:lastRow="0" w:firstColumn="1" w:lastColumn="0" w:noHBand="0" w:noVBand="1"/>
      </w:tblPr>
      <w:tblGrid>
        <w:gridCol w:w="494"/>
        <w:gridCol w:w="1557"/>
        <w:gridCol w:w="6965"/>
      </w:tblGrid>
      <w:tr w:rsidR="00583DB2" w:rsidRPr="000E46E9" w:rsidTr="00D61C3D">
        <w:tc>
          <w:tcPr>
            <w:tcW w:w="0" w:type="auto"/>
            <w:hideMark/>
          </w:tcPr>
          <w:p w:rsidR="00583DB2" w:rsidRPr="000E46E9" w:rsidRDefault="00583DB2" w:rsidP="00D61C3D">
            <w:pPr>
              <w:jc w:val="both"/>
              <w:rPr>
                <w:rFonts w:ascii="Palatino Linotype" w:hAnsi="Palatino Linotype"/>
                <w:b/>
                <w:bCs/>
                <w:sz w:val="20"/>
                <w:szCs w:val="20"/>
              </w:rPr>
            </w:pPr>
            <w:r w:rsidRPr="000E46E9">
              <w:rPr>
                <w:rFonts w:ascii="Palatino Linotype" w:hAnsi="Palatino Linotype"/>
                <w:b/>
                <w:bCs/>
                <w:sz w:val="20"/>
                <w:szCs w:val="20"/>
              </w:rPr>
              <w:t>No</w:t>
            </w:r>
          </w:p>
        </w:tc>
        <w:tc>
          <w:tcPr>
            <w:tcW w:w="0" w:type="auto"/>
            <w:hideMark/>
          </w:tcPr>
          <w:p w:rsidR="00583DB2" w:rsidRPr="000E46E9" w:rsidRDefault="00583DB2" w:rsidP="00D61C3D">
            <w:pPr>
              <w:jc w:val="both"/>
              <w:rPr>
                <w:rFonts w:ascii="Palatino Linotype" w:hAnsi="Palatino Linotype"/>
                <w:b/>
                <w:bCs/>
                <w:sz w:val="20"/>
                <w:szCs w:val="20"/>
              </w:rPr>
            </w:pPr>
            <w:r w:rsidRPr="000E46E9">
              <w:rPr>
                <w:rFonts w:ascii="Palatino Linotype" w:hAnsi="Palatino Linotype"/>
                <w:b/>
                <w:bCs/>
                <w:sz w:val="20"/>
                <w:szCs w:val="20"/>
              </w:rPr>
              <w:t>Criteria</w:t>
            </w:r>
          </w:p>
        </w:tc>
        <w:tc>
          <w:tcPr>
            <w:tcW w:w="0" w:type="auto"/>
            <w:hideMark/>
          </w:tcPr>
          <w:p w:rsidR="00583DB2" w:rsidRPr="000E46E9" w:rsidRDefault="00583DB2" w:rsidP="00D61C3D">
            <w:pPr>
              <w:jc w:val="both"/>
              <w:rPr>
                <w:rFonts w:ascii="Palatino Linotype" w:hAnsi="Palatino Linotype"/>
                <w:b/>
                <w:bCs/>
                <w:sz w:val="20"/>
                <w:szCs w:val="20"/>
              </w:rPr>
            </w:pPr>
            <w:r w:rsidRPr="000E46E9">
              <w:rPr>
                <w:rFonts w:ascii="Palatino Linotype" w:hAnsi="Palatino Linotype"/>
                <w:b/>
                <w:bCs/>
                <w:sz w:val="20"/>
                <w:szCs w:val="20"/>
              </w:rPr>
              <w:t>Inclusion</w:t>
            </w:r>
          </w:p>
        </w:tc>
      </w:tr>
      <w:tr w:rsidR="00583DB2" w:rsidRPr="000E46E9" w:rsidTr="00D61C3D">
        <w:tc>
          <w:tcPr>
            <w:tcW w:w="0" w:type="auto"/>
            <w:hideMark/>
          </w:tcPr>
          <w:p w:rsidR="00583DB2" w:rsidRPr="000E46E9" w:rsidRDefault="00583DB2" w:rsidP="00D61C3D">
            <w:pPr>
              <w:jc w:val="both"/>
              <w:rPr>
                <w:rFonts w:ascii="Palatino Linotype" w:hAnsi="Palatino Linotype"/>
                <w:sz w:val="20"/>
                <w:szCs w:val="20"/>
              </w:rPr>
            </w:pPr>
            <w:r w:rsidRPr="000E46E9">
              <w:rPr>
                <w:rFonts w:ascii="Palatino Linotype" w:hAnsi="Palatino Linotype"/>
                <w:sz w:val="20"/>
                <w:szCs w:val="20"/>
              </w:rPr>
              <w:t>1</w:t>
            </w:r>
          </w:p>
        </w:tc>
        <w:tc>
          <w:tcPr>
            <w:tcW w:w="0" w:type="auto"/>
            <w:hideMark/>
          </w:tcPr>
          <w:p w:rsidR="00583DB2" w:rsidRPr="000E46E9" w:rsidRDefault="00583DB2" w:rsidP="00D61C3D">
            <w:pPr>
              <w:jc w:val="both"/>
              <w:rPr>
                <w:rFonts w:ascii="Palatino Linotype" w:hAnsi="Palatino Linotype"/>
                <w:sz w:val="20"/>
                <w:szCs w:val="20"/>
              </w:rPr>
            </w:pPr>
            <w:r w:rsidRPr="000E46E9">
              <w:rPr>
                <w:rFonts w:ascii="Palatino Linotype" w:hAnsi="Palatino Linotype"/>
                <w:sz w:val="20"/>
                <w:szCs w:val="20"/>
              </w:rPr>
              <w:t>Topic Focus</w:t>
            </w:r>
          </w:p>
        </w:tc>
        <w:tc>
          <w:tcPr>
            <w:tcW w:w="0" w:type="auto"/>
            <w:hideMark/>
          </w:tcPr>
          <w:p w:rsidR="00583DB2" w:rsidRPr="000E46E9" w:rsidRDefault="00583DB2" w:rsidP="00D61C3D">
            <w:pPr>
              <w:jc w:val="both"/>
              <w:rPr>
                <w:rFonts w:ascii="Palatino Linotype" w:hAnsi="Palatino Linotype"/>
                <w:sz w:val="20"/>
                <w:szCs w:val="20"/>
              </w:rPr>
            </w:pPr>
            <w:r w:rsidRPr="000E46E9">
              <w:rPr>
                <w:rFonts w:ascii="Palatino Linotype" w:hAnsi="Palatino Linotype"/>
                <w:sz w:val="20"/>
                <w:szCs w:val="20"/>
              </w:rPr>
              <w:t>Articles discussing the impact of inquiry-based learning implementation in educational institutions.</w:t>
            </w:r>
          </w:p>
        </w:tc>
      </w:tr>
      <w:tr w:rsidR="00583DB2" w:rsidRPr="000E46E9" w:rsidTr="00D61C3D">
        <w:tc>
          <w:tcPr>
            <w:tcW w:w="0" w:type="auto"/>
            <w:hideMark/>
          </w:tcPr>
          <w:p w:rsidR="00583DB2" w:rsidRPr="000E46E9" w:rsidRDefault="00583DB2" w:rsidP="00D61C3D">
            <w:pPr>
              <w:jc w:val="both"/>
              <w:rPr>
                <w:rFonts w:ascii="Palatino Linotype" w:hAnsi="Palatino Linotype"/>
                <w:sz w:val="20"/>
                <w:szCs w:val="20"/>
              </w:rPr>
            </w:pPr>
            <w:r w:rsidRPr="000E46E9">
              <w:rPr>
                <w:rFonts w:ascii="Palatino Linotype" w:hAnsi="Palatino Linotype"/>
                <w:sz w:val="20"/>
                <w:szCs w:val="20"/>
              </w:rPr>
              <w:lastRenderedPageBreak/>
              <w:t>2</w:t>
            </w:r>
          </w:p>
        </w:tc>
        <w:tc>
          <w:tcPr>
            <w:tcW w:w="0" w:type="auto"/>
            <w:hideMark/>
          </w:tcPr>
          <w:p w:rsidR="00583DB2" w:rsidRPr="000E46E9" w:rsidRDefault="00583DB2" w:rsidP="00D61C3D">
            <w:pPr>
              <w:jc w:val="both"/>
              <w:rPr>
                <w:rFonts w:ascii="Palatino Linotype" w:hAnsi="Palatino Linotype"/>
                <w:sz w:val="20"/>
                <w:szCs w:val="20"/>
              </w:rPr>
            </w:pPr>
            <w:r w:rsidRPr="000E46E9">
              <w:rPr>
                <w:rFonts w:ascii="Palatino Linotype" w:hAnsi="Palatino Linotype"/>
                <w:sz w:val="20"/>
                <w:szCs w:val="20"/>
              </w:rPr>
              <w:t>Year of Publication</w:t>
            </w:r>
          </w:p>
        </w:tc>
        <w:tc>
          <w:tcPr>
            <w:tcW w:w="0" w:type="auto"/>
            <w:hideMark/>
          </w:tcPr>
          <w:p w:rsidR="00583DB2" w:rsidRPr="000E46E9" w:rsidRDefault="00583DB2" w:rsidP="00D61C3D">
            <w:pPr>
              <w:jc w:val="both"/>
              <w:rPr>
                <w:rFonts w:ascii="Palatino Linotype" w:hAnsi="Palatino Linotype"/>
                <w:sz w:val="20"/>
                <w:szCs w:val="20"/>
              </w:rPr>
            </w:pPr>
            <w:r w:rsidRPr="000E46E9">
              <w:rPr>
                <w:rFonts w:ascii="Palatino Linotype" w:hAnsi="Palatino Linotype"/>
                <w:sz w:val="20"/>
                <w:szCs w:val="20"/>
              </w:rPr>
              <w:t>Articles published between 2020 and 2024.</w:t>
            </w:r>
          </w:p>
        </w:tc>
      </w:tr>
      <w:tr w:rsidR="00583DB2" w:rsidRPr="000E46E9" w:rsidTr="00D61C3D">
        <w:tc>
          <w:tcPr>
            <w:tcW w:w="0" w:type="auto"/>
            <w:hideMark/>
          </w:tcPr>
          <w:p w:rsidR="00583DB2" w:rsidRPr="000E46E9" w:rsidRDefault="00583DB2" w:rsidP="00D61C3D">
            <w:pPr>
              <w:jc w:val="both"/>
              <w:rPr>
                <w:rFonts w:ascii="Palatino Linotype" w:hAnsi="Palatino Linotype"/>
                <w:sz w:val="20"/>
                <w:szCs w:val="20"/>
              </w:rPr>
            </w:pPr>
            <w:r w:rsidRPr="000E46E9">
              <w:rPr>
                <w:rFonts w:ascii="Palatino Linotype" w:hAnsi="Palatino Linotype"/>
                <w:sz w:val="20"/>
                <w:szCs w:val="20"/>
              </w:rPr>
              <w:t>3</w:t>
            </w:r>
          </w:p>
        </w:tc>
        <w:tc>
          <w:tcPr>
            <w:tcW w:w="0" w:type="auto"/>
            <w:hideMark/>
          </w:tcPr>
          <w:p w:rsidR="00583DB2" w:rsidRPr="000E46E9" w:rsidRDefault="00583DB2" w:rsidP="00D61C3D">
            <w:pPr>
              <w:jc w:val="both"/>
              <w:rPr>
                <w:rFonts w:ascii="Palatino Linotype" w:hAnsi="Palatino Linotype"/>
                <w:sz w:val="20"/>
                <w:szCs w:val="20"/>
              </w:rPr>
            </w:pPr>
            <w:r w:rsidRPr="000E46E9">
              <w:rPr>
                <w:rFonts w:ascii="Palatino Linotype" w:hAnsi="Palatino Linotype"/>
                <w:sz w:val="20"/>
                <w:szCs w:val="20"/>
              </w:rPr>
              <w:t>Article Type</w:t>
            </w:r>
          </w:p>
        </w:tc>
        <w:tc>
          <w:tcPr>
            <w:tcW w:w="0" w:type="auto"/>
            <w:hideMark/>
          </w:tcPr>
          <w:p w:rsidR="00583DB2" w:rsidRPr="000E46E9" w:rsidRDefault="00583DB2" w:rsidP="00D61C3D">
            <w:pPr>
              <w:jc w:val="both"/>
              <w:rPr>
                <w:rFonts w:ascii="Palatino Linotype" w:hAnsi="Palatino Linotype"/>
                <w:sz w:val="20"/>
                <w:szCs w:val="20"/>
              </w:rPr>
            </w:pPr>
            <w:r w:rsidRPr="000E46E9">
              <w:rPr>
                <w:rFonts w:ascii="Palatino Linotype" w:hAnsi="Palatino Linotype"/>
                <w:sz w:val="20"/>
                <w:szCs w:val="20"/>
              </w:rPr>
              <w:t>Articles published in international journals or conference proceedings.</w:t>
            </w:r>
          </w:p>
        </w:tc>
      </w:tr>
      <w:tr w:rsidR="00583DB2" w:rsidRPr="000E46E9" w:rsidTr="00D61C3D">
        <w:tc>
          <w:tcPr>
            <w:tcW w:w="0" w:type="auto"/>
            <w:hideMark/>
          </w:tcPr>
          <w:p w:rsidR="00583DB2" w:rsidRPr="000E46E9" w:rsidRDefault="00583DB2" w:rsidP="00D61C3D">
            <w:pPr>
              <w:jc w:val="both"/>
              <w:rPr>
                <w:rFonts w:ascii="Palatino Linotype" w:hAnsi="Palatino Linotype"/>
                <w:sz w:val="20"/>
                <w:szCs w:val="20"/>
              </w:rPr>
            </w:pPr>
            <w:r w:rsidRPr="000E46E9">
              <w:rPr>
                <w:rFonts w:ascii="Palatino Linotype" w:hAnsi="Palatino Linotype"/>
                <w:sz w:val="20"/>
                <w:szCs w:val="20"/>
              </w:rPr>
              <w:t>4</w:t>
            </w:r>
          </w:p>
        </w:tc>
        <w:tc>
          <w:tcPr>
            <w:tcW w:w="0" w:type="auto"/>
            <w:hideMark/>
          </w:tcPr>
          <w:p w:rsidR="00583DB2" w:rsidRPr="000E46E9" w:rsidRDefault="00583DB2" w:rsidP="00D61C3D">
            <w:pPr>
              <w:jc w:val="both"/>
              <w:rPr>
                <w:rFonts w:ascii="Palatino Linotype" w:hAnsi="Palatino Linotype"/>
                <w:sz w:val="20"/>
                <w:szCs w:val="20"/>
              </w:rPr>
            </w:pPr>
            <w:r w:rsidRPr="000E46E9">
              <w:rPr>
                <w:rFonts w:ascii="Palatino Linotype" w:hAnsi="Palatino Linotype"/>
                <w:sz w:val="20"/>
                <w:szCs w:val="20"/>
              </w:rPr>
              <w:t>Research Design</w:t>
            </w:r>
          </w:p>
        </w:tc>
        <w:tc>
          <w:tcPr>
            <w:tcW w:w="0" w:type="auto"/>
            <w:hideMark/>
          </w:tcPr>
          <w:p w:rsidR="00583DB2" w:rsidRPr="000E46E9" w:rsidRDefault="00583DB2" w:rsidP="00D61C3D">
            <w:pPr>
              <w:jc w:val="both"/>
              <w:rPr>
                <w:rFonts w:ascii="Palatino Linotype" w:hAnsi="Palatino Linotype"/>
                <w:sz w:val="20"/>
                <w:szCs w:val="20"/>
              </w:rPr>
            </w:pPr>
            <w:r w:rsidRPr="000E46E9">
              <w:rPr>
                <w:rFonts w:ascii="Palatino Linotype" w:hAnsi="Palatino Linotype"/>
                <w:sz w:val="20"/>
                <w:szCs w:val="20"/>
              </w:rPr>
              <w:t>Articles employing experimental research methods with a control and experimental group to implement e-learning in the learning process.</w:t>
            </w:r>
          </w:p>
        </w:tc>
      </w:tr>
      <w:tr w:rsidR="00583DB2" w:rsidRPr="000E46E9" w:rsidTr="00D61C3D">
        <w:tc>
          <w:tcPr>
            <w:tcW w:w="0" w:type="auto"/>
            <w:hideMark/>
          </w:tcPr>
          <w:p w:rsidR="00583DB2" w:rsidRPr="000E46E9" w:rsidRDefault="00583DB2" w:rsidP="00D61C3D">
            <w:pPr>
              <w:jc w:val="both"/>
              <w:rPr>
                <w:rFonts w:ascii="Palatino Linotype" w:hAnsi="Palatino Linotype"/>
                <w:sz w:val="20"/>
                <w:szCs w:val="20"/>
              </w:rPr>
            </w:pPr>
            <w:r w:rsidRPr="000E46E9">
              <w:rPr>
                <w:rFonts w:ascii="Palatino Linotype" w:hAnsi="Palatino Linotype"/>
                <w:sz w:val="20"/>
                <w:szCs w:val="20"/>
              </w:rPr>
              <w:t>5</w:t>
            </w:r>
          </w:p>
        </w:tc>
        <w:tc>
          <w:tcPr>
            <w:tcW w:w="0" w:type="auto"/>
            <w:hideMark/>
          </w:tcPr>
          <w:p w:rsidR="00583DB2" w:rsidRPr="000E46E9" w:rsidRDefault="00583DB2" w:rsidP="00D61C3D">
            <w:pPr>
              <w:jc w:val="both"/>
              <w:rPr>
                <w:rFonts w:ascii="Palatino Linotype" w:hAnsi="Palatino Linotype"/>
                <w:sz w:val="20"/>
                <w:szCs w:val="20"/>
              </w:rPr>
            </w:pPr>
            <w:r w:rsidRPr="000E46E9">
              <w:rPr>
                <w:rFonts w:ascii="Palatino Linotype" w:hAnsi="Palatino Linotype"/>
                <w:sz w:val="20"/>
                <w:szCs w:val="20"/>
              </w:rPr>
              <w:t>Research Data</w:t>
            </w:r>
          </w:p>
        </w:tc>
        <w:tc>
          <w:tcPr>
            <w:tcW w:w="0" w:type="auto"/>
            <w:hideMark/>
          </w:tcPr>
          <w:p w:rsidR="00583DB2" w:rsidRPr="000E46E9" w:rsidRDefault="00583DB2" w:rsidP="00D61C3D">
            <w:pPr>
              <w:jc w:val="both"/>
              <w:rPr>
                <w:rFonts w:ascii="Palatino Linotype" w:hAnsi="Palatino Linotype"/>
                <w:sz w:val="20"/>
                <w:szCs w:val="20"/>
              </w:rPr>
            </w:pPr>
            <w:r w:rsidRPr="000E46E9">
              <w:rPr>
                <w:rFonts w:ascii="Palatino Linotype" w:hAnsi="Palatino Linotype"/>
                <w:sz w:val="20"/>
                <w:szCs w:val="20"/>
              </w:rPr>
              <w:t>Articles containing post-test data from control and experimental groups, including mean (M), sample size (N), and standard deviation (SD).</w:t>
            </w:r>
          </w:p>
        </w:tc>
      </w:tr>
    </w:tbl>
    <w:p w:rsidR="00583DB2" w:rsidRPr="00583DB2" w:rsidRDefault="00583DB2" w:rsidP="00583DB2">
      <w:pPr>
        <w:pStyle w:val="Heading3"/>
        <w:spacing w:line="240" w:lineRule="auto"/>
        <w:jc w:val="both"/>
        <w:rPr>
          <w:rFonts w:ascii="Palatino Linotype" w:hAnsi="Palatino Linotype"/>
          <w:b/>
          <w:color w:val="auto"/>
          <w:sz w:val="20"/>
          <w:szCs w:val="20"/>
        </w:rPr>
      </w:pPr>
      <w:r w:rsidRPr="00583DB2">
        <w:rPr>
          <w:rFonts w:ascii="Palatino Linotype" w:hAnsi="Palatino Linotype"/>
          <w:b/>
          <w:color w:val="auto"/>
          <w:sz w:val="20"/>
          <w:szCs w:val="20"/>
        </w:rPr>
        <w:t>Data Analysis Technique</w:t>
      </w:r>
    </w:p>
    <w:p w:rsidR="00583DB2" w:rsidRPr="000E46E9" w:rsidRDefault="00583DB2" w:rsidP="00583DB2">
      <w:pPr>
        <w:pStyle w:val="NormalWeb"/>
        <w:spacing w:line="240" w:lineRule="auto"/>
        <w:ind w:firstLine="720"/>
        <w:jc w:val="both"/>
        <w:rPr>
          <w:rFonts w:ascii="Palatino Linotype" w:hAnsi="Palatino Linotype"/>
          <w:sz w:val="20"/>
          <w:szCs w:val="20"/>
        </w:rPr>
      </w:pPr>
      <w:r w:rsidRPr="000E46E9">
        <w:rPr>
          <w:rFonts w:ascii="Palatino Linotype" w:hAnsi="Palatino Linotype"/>
          <w:sz w:val="20"/>
          <w:szCs w:val="20"/>
        </w:rPr>
        <w:t xml:space="preserve">The data analysis technique used in this meta-analysis follows the </w:t>
      </w:r>
      <w:r w:rsidRPr="000E46E9">
        <w:rPr>
          <w:rStyle w:val="Emphasis"/>
          <w:rFonts w:ascii="Palatino Linotype" w:hAnsi="Palatino Linotype"/>
          <w:sz w:val="20"/>
          <w:szCs w:val="20"/>
        </w:rPr>
        <w:t>random effect model</w:t>
      </w:r>
      <w:r w:rsidRPr="000E46E9">
        <w:rPr>
          <w:rFonts w:ascii="Palatino Linotype" w:hAnsi="Palatino Linotype"/>
          <w:sz w:val="20"/>
          <w:szCs w:val="20"/>
        </w:rPr>
        <w:t xml:space="preserve"> with Restricted Maximum Likelihood (Restricted ML). To apply this analysis technique, the collected data must first meet the heterogeneity test requirements. The </w:t>
      </w:r>
      <w:proofErr w:type="spellStart"/>
      <w:r w:rsidRPr="000E46E9">
        <w:rPr>
          <w:rFonts w:ascii="Palatino Linotype" w:hAnsi="Palatino Linotype"/>
          <w:sz w:val="20"/>
          <w:szCs w:val="20"/>
        </w:rPr>
        <w:t>analyzed</w:t>
      </w:r>
      <w:proofErr w:type="spellEnd"/>
      <w:r w:rsidRPr="000E46E9">
        <w:rPr>
          <w:rFonts w:ascii="Palatino Linotype" w:hAnsi="Palatino Linotype"/>
          <w:sz w:val="20"/>
          <w:szCs w:val="20"/>
        </w:rPr>
        <w:t xml:space="preserve"> data includes the effect size (d) and standard error (</w:t>
      </w:r>
      <w:proofErr w:type="spellStart"/>
      <w:r w:rsidRPr="000E46E9">
        <w:rPr>
          <w:rFonts w:ascii="Palatino Linotype" w:hAnsi="Palatino Linotype"/>
          <w:sz w:val="20"/>
          <w:szCs w:val="20"/>
        </w:rPr>
        <w:t>SEg</w:t>
      </w:r>
      <w:proofErr w:type="spellEnd"/>
      <w:r w:rsidRPr="000E46E9">
        <w:rPr>
          <w:rFonts w:ascii="Palatino Linotype" w:hAnsi="Palatino Linotype"/>
          <w:sz w:val="20"/>
          <w:szCs w:val="20"/>
        </w:rPr>
        <w:t>) obtained from the primary data of the meta-analysis articles.</w:t>
      </w:r>
    </w:p>
    <w:p w:rsidR="00583DB2" w:rsidRDefault="00583DB2" w:rsidP="00583DB2">
      <w:pPr>
        <w:pStyle w:val="NormalWeb"/>
        <w:spacing w:line="240" w:lineRule="auto"/>
        <w:jc w:val="both"/>
        <w:rPr>
          <w:rFonts w:ascii="Palatino Linotype" w:hAnsi="Palatino Linotype"/>
          <w:sz w:val="20"/>
          <w:szCs w:val="20"/>
        </w:rPr>
      </w:pPr>
      <w:r w:rsidRPr="000E46E9">
        <w:rPr>
          <w:rFonts w:ascii="Palatino Linotype" w:hAnsi="Palatino Linotype"/>
          <w:sz w:val="20"/>
          <w:szCs w:val="20"/>
        </w:rPr>
        <w:t xml:space="preserve">To compute the values of </w:t>
      </w:r>
      <w:r w:rsidRPr="000E46E9">
        <w:rPr>
          <w:rStyle w:val="Emphasis"/>
          <w:rFonts w:ascii="Palatino Linotype" w:hAnsi="Palatino Linotype"/>
          <w:sz w:val="20"/>
          <w:szCs w:val="20"/>
        </w:rPr>
        <w:t>d</w:t>
      </w:r>
      <w:r w:rsidRPr="000E46E9">
        <w:rPr>
          <w:rFonts w:ascii="Palatino Linotype" w:hAnsi="Palatino Linotype"/>
          <w:sz w:val="20"/>
          <w:szCs w:val="20"/>
        </w:rPr>
        <w:t xml:space="preserve"> and </w:t>
      </w:r>
      <w:proofErr w:type="spellStart"/>
      <w:r w:rsidRPr="000E46E9">
        <w:rPr>
          <w:rStyle w:val="Emphasis"/>
          <w:rFonts w:ascii="Palatino Linotype" w:hAnsi="Palatino Linotype"/>
          <w:sz w:val="20"/>
          <w:szCs w:val="20"/>
        </w:rPr>
        <w:t>SEg</w:t>
      </w:r>
      <w:proofErr w:type="spellEnd"/>
      <w:r w:rsidRPr="000E46E9">
        <w:rPr>
          <w:rFonts w:ascii="Palatino Linotype" w:hAnsi="Palatino Linotype"/>
          <w:sz w:val="20"/>
          <w:szCs w:val="20"/>
        </w:rPr>
        <w:t xml:space="preserve">, each meta-analysis article must contain sample size (N), mean (M), and standard deviation (SD) from post-test scores of the students (Lo &amp; Hew, 2019; </w:t>
      </w:r>
      <w:proofErr w:type="spellStart"/>
      <w:r w:rsidRPr="000E46E9">
        <w:rPr>
          <w:rFonts w:ascii="Palatino Linotype" w:hAnsi="Palatino Linotype"/>
          <w:sz w:val="20"/>
          <w:szCs w:val="20"/>
        </w:rPr>
        <w:t>Wahono</w:t>
      </w:r>
      <w:proofErr w:type="spellEnd"/>
      <w:r w:rsidRPr="000E46E9">
        <w:rPr>
          <w:rFonts w:ascii="Palatino Linotype" w:hAnsi="Palatino Linotype"/>
          <w:sz w:val="20"/>
          <w:szCs w:val="20"/>
        </w:rPr>
        <w:t xml:space="preserve"> et al., 2020). These data points align with the inclusion criteria established for article selection in this meta-analysis. The effect size is calculated using Equation (1), while the standard error is determined using Equation (2) (Goulet-Pelletier &amp; Cousineau, 2020).</w:t>
      </w:r>
    </w:p>
    <w:p w:rsidR="00583DB2" w:rsidRPr="00F305A1" w:rsidRDefault="00583DB2" w:rsidP="00583DB2">
      <w:pPr>
        <w:tabs>
          <w:tab w:val="left" w:pos="8222"/>
        </w:tabs>
        <w:spacing w:line="240" w:lineRule="auto"/>
        <w:ind w:left="2410"/>
        <w:rPr>
          <w:rFonts w:ascii="Times New Roman" w:hAnsi="Times New Roman"/>
          <w:iCs/>
          <w:color w:val="000000" w:themeColor="text1"/>
        </w:rPr>
      </w:pPr>
      <m:oMath>
        <m:r>
          <w:rPr>
            <w:rFonts w:ascii="Cambria Math" w:hAnsi="Cambria Math"/>
            <w:color w:val="000000" w:themeColor="text1"/>
          </w:rPr>
          <m:t>d=</m:t>
        </m:r>
        <m:f>
          <m:fPr>
            <m:ctrlPr>
              <w:rPr>
                <w:rFonts w:ascii="Cambria Math" w:hAnsi="Cambria Math"/>
                <w:i/>
                <w:iCs/>
                <w:color w:val="000000" w:themeColor="text1"/>
              </w:rPr>
            </m:ctrlPr>
          </m:fPr>
          <m:num>
            <m:sSub>
              <m:sSubPr>
                <m:ctrlPr>
                  <w:rPr>
                    <w:rFonts w:ascii="Cambria Math" w:hAnsi="Cambria Math"/>
                    <w:i/>
                    <w:iCs/>
                    <w:color w:val="000000" w:themeColor="text1"/>
                  </w:rPr>
                </m:ctrlPr>
              </m:sSubPr>
              <m:e>
                <m:r>
                  <w:rPr>
                    <w:rFonts w:ascii="Cambria Math" w:hAnsi="Cambria Math"/>
                    <w:color w:val="000000" w:themeColor="text1"/>
                  </w:rPr>
                  <m:t>M</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M</m:t>
                </m:r>
              </m:e>
              <m:sub>
                <m:r>
                  <w:rPr>
                    <w:rFonts w:ascii="Cambria Math" w:hAnsi="Cambria Math"/>
                    <w:color w:val="000000" w:themeColor="text1"/>
                  </w:rPr>
                  <m:t>1</m:t>
                </m:r>
              </m:sub>
            </m:sSub>
          </m:num>
          <m:den>
            <m:rad>
              <m:radPr>
                <m:degHide m:val="1"/>
                <m:ctrlPr>
                  <w:rPr>
                    <w:rFonts w:ascii="Cambria Math" w:hAnsi="Cambria Math"/>
                    <w:i/>
                    <w:iCs/>
                    <w:color w:val="000000" w:themeColor="text1"/>
                  </w:rPr>
                </m:ctrlPr>
              </m:radPr>
              <m:deg/>
              <m:e>
                <m:f>
                  <m:fPr>
                    <m:ctrlPr>
                      <w:rPr>
                        <w:rFonts w:ascii="Cambria Math" w:hAnsi="Cambria Math"/>
                        <w:i/>
                        <w:iCs/>
                        <w:color w:val="000000" w:themeColor="text1"/>
                      </w:rPr>
                    </m:ctrlPr>
                  </m:fPr>
                  <m:num>
                    <m:d>
                      <m:dPr>
                        <m:ctrlPr>
                          <w:rPr>
                            <w:rFonts w:ascii="Cambria Math" w:hAnsi="Cambria Math"/>
                            <w:i/>
                            <w:iCs/>
                            <w:color w:val="000000" w:themeColor="text1"/>
                          </w:rPr>
                        </m:ctrlPr>
                      </m:dPr>
                      <m:e>
                        <m:sSub>
                          <m:sSubPr>
                            <m:ctrlPr>
                              <w:rPr>
                                <w:rFonts w:ascii="Cambria Math" w:hAnsi="Cambria Math"/>
                                <w:i/>
                                <w:iCs/>
                                <w:color w:val="000000" w:themeColor="text1"/>
                              </w:rPr>
                            </m:ctrlPr>
                          </m:sSubPr>
                          <m:e>
                            <m:r>
                              <w:rPr>
                                <w:rFonts w:ascii="Cambria Math" w:hAnsi="Cambria Math"/>
                                <w:color w:val="000000" w:themeColor="text1"/>
                              </w:rPr>
                              <m:t>n</m:t>
                            </m:r>
                          </m:e>
                          <m:sub>
                            <m:r>
                              <w:rPr>
                                <w:rFonts w:ascii="Cambria Math" w:hAnsi="Cambria Math"/>
                                <w:color w:val="000000" w:themeColor="text1"/>
                              </w:rPr>
                              <m:t>1</m:t>
                            </m:r>
                          </m:sub>
                        </m:sSub>
                        <m:r>
                          <w:rPr>
                            <w:rFonts w:ascii="Cambria Math" w:hAnsi="Cambria Math"/>
                            <w:color w:val="000000" w:themeColor="text1"/>
                          </w:rPr>
                          <m:t>-1</m:t>
                        </m:r>
                      </m:e>
                    </m:d>
                    <m:sSubSup>
                      <m:sSubSupPr>
                        <m:ctrlPr>
                          <w:rPr>
                            <w:rFonts w:ascii="Cambria Math" w:hAnsi="Cambria Math"/>
                            <w:i/>
                            <w:iCs/>
                            <w:color w:val="000000" w:themeColor="text1"/>
                          </w:rPr>
                        </m:ctrlPr>
                      </m:sSubSupPr>
                      <m:e>
                        <m:r>
                          <w:rPr>
                            <w:rFonts w:ascii="Cambria Math" w:hAnsi="Cambria Math"/>
                            <w:color w:val="000000" w:themeColor="text1"/>
                          </w:rPr>
                          <m:t>S</m:t>
                        </m:r>
                      </m:e>
                      <m:sub>
                        <m:r>
                          <w:rPr>
                            <w:rFonts w:ascii="Cambria Math" w:hAnsi="Cambria Math"/>
                            <w:color w:val="000000" w:themeColor="text1"/>
                          </w:rPr>
                          <m:t>1</m:t>
                        </m:r>
                      </m:sub>
                      <m:sup>
                        <m:r>
                          <w:rPr>
                            <w:rFonts w:ascii="Cambria Math" w:hAnsi="Cambria Math"/>
                            <w:color w:val="000000" w:themeColor="text1"/>
                          </w:rPr>
                          <m:t>2</m:t>
                        </m:r>
                      </m:sup>
                    </m:sSubSup>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iCs/>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-1</m:t>
                        </m:r>
                      </m:e>
                    </m:d>
                    <m:sSubSup>
                      <m:sSubSupPr>
                        <m:ctrlPr>
                          <w:rPr>
                            <w:rFonts w:ascii="Cambria Math" w:hAnsi="Cambria Math"/>
                            <w:i/>
                            <w:iCs/>
                            <w:color w:val="000000" w:themeColor="text1"/>
                          </w:rPr>
                        </m:ctrlPr>
                      </m:sSubSupPr>
                      <m:e>
                        <m:r>
                          <w:rPr>
                            <w:rFonts w:ascii="Cambria Math" w:hAnsi="Cambria Math"/>
                            <w:color w:val="000000" w:themeColor="text1"/>
                          </w:rPr>
                          <m:t>S</m:t>
                        </m:r>
                      </m:e>
                      <m:sub>
                        <m:r>
                          <w:rPr>
                            <w:rFonts w:ascii="Cambria Math" w:hAnsi="Cambria Math"/>
                            <w:color w:val="000000" w:themeColor="text1"/>
                          </w:rPr>
                          <m:t>2</m:t>
                        </m:r>
                      </m:sub>
                      <m:sup>
                        <m:r>
                          <w:rPr>
                            <w:rFonts w:ascii="Cambria Math" w:hAnsi="Cambria Math"/>
                            <w:color w:val="000000" w:themeColor="text1"/>
                          </w:rPr>
                          <m:t>2</m:t>
                        </m:r>
                      </m:sup>
                    </m:sSubSup>
                  </m:num>
                  <m:den>
                    <m:sSub>
                      <m:sSubPr>
                        <m:ctrlPr>
                          <w:rPr>
                            <w:rFonts w:ascii="Cambria Math" w:hAnsi="Cambria Math"/>
                            <w:i/>
                            <w:iCs/>
                            <w:color w:val="000000" w:themeColor="text1"/>
                          </w:rPr>
                        </m:ctrlPr>
                      </m:sSubPr>
                      <m:e>
                        <m:r>
                          <w:rPr>
                            <w:rFonts w:ascii="Cambria Math" w:hAnsi="Cambria Math"/>
                            <w:color w:val="000000" w:themeColor="text1"/>
                          </w:rPr>
                          <m:t>n</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-2</m:t>
                    </m:r>
                  </m:den>
                </m:f>
              </m:e>
            </m:rad>
          </m:den>
        </m:f>
      </m:oMath>
      <w:r w:rsidRPr="00F305A1">
        <w:rPr>
          <w:rFonts w:ascii="Times New Roman" w:hAnsi="Times New Roman"/>
          <w:iCs/>
          <w:color w:val="000000" w:themeColor="text1"/>
        </w:rPr>
        <w:tab/>
        <w:t>(1)</w:t>
      </w:r>
    </w:p>
    <w:p w:rsidR="00583DB2" w:rsidRPr="00F305A1" w:rsidRDefault="00583DB2" w:rsidP="00583DB2">
      <w:pPr>
        <w:tabs>
          <w:tab w:val="left" w:pos="2410"/>
          <w:tab w:val="left" w:pos="8222"/>
        </w:tabs>
        <w:spacing w:line="240" w:lineRule="auto"/>
        <w:ind w:left="2410"/>
        <w:rPr>
          <w:rFonts w:ascii="Times New Roman" w:hAnsi="Times New Roman"/>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SE</m:t>
            </m:r>
          </m:e>
          <m:sub>
            <m:r>
              <w:rPr>
                <w:rFonts w:ascii="Cambria Math" w:hAnsi="Cambria Math"/>
                <w:color w:val="000000" w:themeColor="text1"/>
              </w:rPr>
              <m:t>g</m:t>
            </m:r>
          </m:sub>
        </m:sSub>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 xml:space="preserve">J × </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d</m:t>
                </m:r>
              </m:sub>
            </m:sSub>
          </m:e>
        </m:rad>
      </m:oMath>
      <w:r w:rsidRPr="00F305A1">
        <w:rPr>
          <w:rFonts w:ascii="Times New Roman" w:hAnsi="Times New Roman"/>
          <w:color w:val="000000" w:themeColor="text1"/>
        </w:rPr>
        <w:tab/>
        <w:t>(2)</w:t>
      </w:r>
    </w:p>
    <w:p w:rsidR="00583DB2" w:rsidRPr="00F305A1" w:rsidRDefault="00583DB2" w:rsidP="00583DB2">
      <w:pPr>
        <w:tabs>
          <w:tab w:val="left" w:pos="2410"/>
          <w:tab w:val="left" w:pos="8222"/>
        </w:tabs>
        <w:spacing w:line="240" w:lineRule="auto"/>
        <w:ind w:left="2410"/>
        <w:rPr>
          <w:rFonts w:ascii="Times New Roman" w:hAnsi="Times New Roman"/>
          <w:color w:val="000000" w:themeColor="text1"/>
        </w:rPr>
      </w:pPr>
      <m:oMath>
        <m:r>
          <w:rPr>
            <w:rFonts w:ascii="Cambria Math" w:hAnsi="Cambria Math"/>
            <w:color w:val="000000" w:themeColor="text1"/>
          </w:rPr>
          <m:t>J=1-</m:t>
        </m:r>
        <m:f>
          <m:fPr>
            <m:ctrlPr>
              <w:rPr>
                <w:rFonts w:ascii="Cambria Math" w:hAnsi="Cambria Math"/>
                <w:i/>
                <w:color w:val="000000" w:themeColor="text1"/>
              </w:rPr>
            </m:ctrlPr>
          </m:fPr>
          <m:num>
            <m:r>
              <w:rPr>
                <w:rFonts w:ascii="Cambria Math" w:hAnsi="Cambria Math"/>
                <w:color w:val="000000" w:themeColor="text1"/>
              </w:rPr>
              <m:t>3</m:t>
            </m:r>
          </m:num>
          <m:den>
            <m:r>
              <w:rPr>
                <w:rFonts w:ascii="Cambria Math" w:hAnsi="Cambria Math"/>
                <w:color w:val="000000" w:themeColor="text1"/>
              </w:rPr>
              <m:t>4</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-2</m:t>
                </m:r>
              </m:e>
            </m:d>
            <m:r>
              <w:rPr>
                <w:rFonts w:ascii="Cambria Math" w:hAnsi="Cambria Math"/>
                <w:color w:val="000000" w:themeColor="text1"/>
              </w:rPr>
              <m:t>-1</m:t>
            </m:r>
          </m:den>
        </m:f>
      </m:oMath>
      <w:r w:rsidRPr="00F305A1">
        <w:rPr>
          <w:rFonts w:ascii="Times New Roman" w:hAnsi="Times New Roman"/>
          <w:color w:val="000000" w:themeColor="text1"/>
        </w:rPr>
        <w:tab/>
        <w:t>(3)</w:t>
      </w:r>
    </w:p>
    <w:p w:rsidR="00583DB2" w:rsidRPr="00F305A1" w:rsidRDefault="00583DB2" w:rsidP="00583DB2">
      <w:pPr>
        <w:tabs>
          <w:tab w:val="left" w:pos="2410"/>
          <w:tab w:val="left" w:pos="8222"/>
        </w:tabs>
        <w:spacing w:line="240" w:lineRule="auto"/>
        <w:ind w:left="2410"/>
        <w:rPr>
          <w:rFonts w:ascii="Times New Roman" w:hAnsi="Times New Roman"/>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d</m:t>
            </m:r>
          </m:sub>
        </m:sSub>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num>
          <m:den>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den>
        </m:f>
        <m:r>
          <w:rPr>
            <w:rFonts w:ascii="Cambria Math" w:hAnsi="Cambria Math"/>
            <w:color w:val="000000" w:themeColor="text1"/>
          </w:rPr>
          <m:t>+</m:t>
        </m:r>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d</m:t>
                </m:r>
              </m:e>
              <m:sup>
                <m:r>
                  <w:rPr>
                    <w:rFonts w:ascii="Cambria Math" w:hAnsi="Cambria Math"/>
                    <w:color w:val="000000" w:themeColor="text1"/>
                  </w:rPr>
                  <m:t>2</m:t>
                </m:r>
              </m:sup>
            </m:sSup>
          </m:num>
          <m:den>
            <m:r>
              <w:rPr>
                <w:rFonts w:ascii="Cambria Math" w:hAnsi="Cambria Math"/>
                <w:color w:val="000000" w:themeColor="text1"/>
              </w:rPr>
              <m:t>2(</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m:t>
            </m:r>
          </m:den>
        </m:f>
      </m:oMath>
      <w:r w:rsidRPr="00F305A1">
        <w:rPr>
          <w:rFonts w:ascii="Times New Roman" w:hAnsi="Times New Roman"/>
          <w:color w:val="000000" w:themeColor="text1"/>
        </w:rPr>
        <w:tab/>
        <w:t>(4)</w:t>
      </w:r>
    </w:p>
    <w:p w:rsidR="00583DB2" w:rsidRPr="00583DB2" w:rsidRDefault="00583DB2" w:rsidP="00583DB2">
      <w:pPr>
        <w:pStyle w:val="NormalWeb"/>
        <w:spacing w:line="240" w:lineRule="auto"/>
        <w:ind w:firstLine="426"/>
        <w:jc w:val="both"/>
        <w:rPr>
          <w:rFonts w:ascii="Palatino Linotype" w:hAnsi="Palatino Linotype"/>
          <w:sz w:val="20"/>
          <w:szCs w:val="20"/>
        </w:rPr>
      </w:pPr>
      <w:r w:rsidRPr="00583DB2">
        <w:rPr>
          <w:rFonts w:ascii="Palatino Linotype" w:hAnsi="Palatino Linotype" w:cstheme="minorBidi"/>
          <w:sz w:val="20"/>
          <w:szCs w:val="20"/>
        </w:rPr>
        <w:t xml:space="preserve">The four equations used can be explained as follows: </w:t>
      </w:r>
      <w:r w:rsidRPr="00583DB2">
        <w:rPr>
          <w:rFonts w:ascii="Palatino Linotype" w:hAnsi="Palatino Linotype" w:cstheme="minorBidi"/>
          <w:i/>
          <w:iCs/>
          <w:sz w:val="20"/>
          <w:szCs w:val="20"/>
        </w:rPr>
        <w:t>d</w:t>
      </w:r>
      <w:r w:rsidRPr="00583DB2">
        <w:rPr>
          <w:rFonts w:ascii="Palatino Linotype" w:hAnsi="Palatino Linotype" w:cstheme="minorBidi"/>
          <w:sz w:val="20"/>
          <w:szCs w:val="20"/>
        </w:rPr>
        <w:t xml:space="preserve"> represents the calculated effect size, </w:t>
      </w:r>
      <w:r w:rsidRPr="00583DB2">
        <w:rPr>
          <w:rFonts w:ascii="Palatino Linotype" w:hAnsi="Palatino Linotype" w:cstheme="minorBidi"/>
          <w:i/>
          <w:iCs/>
          <w:sz w:val="20"/>
          <w:szCs w:val="20"/>
        </w:rPr>
        <w:t>M₂</w:t>
      </w:r>
      <w:r w:rsidRPr="00583DB2">
        <w:rPr>
          <w:rFonts w:ascii="Palatino Linotype" w:hAnsi="Palatino Linotype" w:cstheme="minorBidi"/>
          <w:sz w:val="20"/>
          <w:szCs w:val="20"/>
        </w:rPr>
        <w:t xml:space="preserve"> is the mean score of the experimental group, and </w:t>
      </w:r>
      <w:r w:rsidRPr="00583DB2">
        <w:rPr>
          <w:rFonts w:ascii="Palatino Linotype" w:hAnsi="Palatino Linotype" w:cstheme="minorBidi"/>
          <w:i/>
          <w:iCs/>
          <w:sz w:val="20"/>
          <w:szCs w:val="20"/>
        </w:rPr>
        <w:t>M₁</w:t>
      </w:r>
      <w:r w:rsidRPr="00583DB2">
        <w:rPr>
          <w:rFonts w:ascii="Palatino Linotype" w:hAnsi="Palatino Linotype" w:cstheme="minorBidi"/>
          <w:sz w:val="20"/>
          <w:szCs w:val="20"/>
        </w:rPr>
        <w:t xml:space="preserve"> is the mean score of the control group. </w:t>
      </w:r>
      <w:r w:rsidRPr="00583DB2">
        <w:rPr>
          <w:rFonts w:ascii="Palatino Linotype" w:hAnsi="Palatino Linotype" w:cstheme="minorBidi"/>
          <w:i/>
          <w:iCs/>
          <w:sz w:val="20"/>
          <w:szCs w:val="20"/>
        </w:rPr>
        <w:t>n₁</w:t>
      </w:r>
      <w:r w:rsidRPr="00583DB2">
        <w:rPr>
          <w:rFonts w:ascii="Palatino Linotype" w:hAnsi="Palatino Linotype" w:cstheme="minorBidi"/>
          <w:sz w:val="20"/>
          <w:szCs w:val="20"/>
        </w:rPr>
        <w:t xml:space="preserve"> refers to the sample size of the control group, while </w:t>
      </w:r>
      <w:r w:rsidRPr="00583DB2">
        <w:rPr>
          <w:rFonts w:ascii="Palatino Linotype" w:hAnsi="Palatino Linotype" w:cstheme="minorBidi"/>
          <w:i/>
          <w:iCs/>
          <w:sz w:val="20"/>
          <w:szCs w:val="20"/>
        </w:rPr>
        <w:t>n₂</w:t>
      </w:r>
      <w:r w:rsidRPr="00583DB2">
        <w:rPr>
          <w:rFonts w:ascii="Palatino Linotype" w:hAnsi="Palatino Linotype" w:cstheme="minorBidi"/>
          <w:sz w:val="20"/>
          <w:szCs w:val="20"/>
        </w:rPr>
        <w:t xml:space="preserve"> represents the sample size of the experimental group. </w:t>
      </w:r>
      <w:r w:rsidRPr="00583DB2">
        <w:rPr>
          <w:rFonts w:ascii="Palatino Linotype" w:hAnsi="Palatino Linotype" w:cstheme="minorBidi"/>
          <w:i/>
          <w:iCs/>
          <w:sz w:val="20"/>
          <w:szCs w:val="20"/>
        </w:rPr>
        <w:t>S₁²</w:t>
      </w:r>
      <w:r w:rsidRPr="00583DB2">
        <w:rPr>
          <w:rFonts w:ascii="Palatino Linotype" w:hAnsi="Palatino Linotype" w:cstheme="minorBidi"/>
          <w:sz w:val="20"/>
          <w:szCs w:val="20"/>
        </w:rPr>
        <w:t xml:space="preserve"> denotes the variance of the control group, and </w:t>
      </w:r>
      <w:r w:rsidRPr="00583DB2">
        <w:rPr>
          <w:rFonts w:ascii="Palatino Linotype" w:hAnsi="Palatino Linotype" w:cstheme="minorBidi"/>
          <w:i/>
          <w:iCs/>
          <w:sz w:val="20"/>
          <w:szCs w:val="20"/>
        </w:rPr>
        <w:t>S₂²</w:t>
      </w:r>
      <w:r w:rsidRPr="00583DB2">
        <w:rPr>
          <w:rFonts w:ascii="Palatino Linotype" w:hAnsi="Palatino Linotype" w:cstheme="minorBidi"/>
          <w:sz w:val="20"/>
          <w:szCs w:val="20"/>
        </w:rPr>
        <w:t xml:space="preserve"> denotes the variance of the experimental group. </w:t>
      </w:r>
      <w:proofErr w:type="spellStart"/>
      <w:r w:rsidRPr="00583DB2">
        <w:rPr>
          <w:rFonts w:ascii="Palatino Linotype" w:hAnsi="Palatino Linotype" w:cstheme="minorBidi"/>
          <w:i/>
          <w:iCs/>
          <w:sz w:val="20"/>
          <w:szCs w:val="20"/>
        </w:rPr>
        <w:t>SEg</w:t>
      </w:r>
      <w:proofErr w:type="spellEnd"/>
      <w:r w:rsidRPr="00583DB2">
        <w:rPr>
          <w:rFonts w:ascii="Palatino Linotype" w:hAnsi="Palatino Linotype" w:cstheme="minorBidi"/>
          <w:sz w:val="20"/>
          <w:szCs w:val="20"/>
        </w:rPr>
        <w:t xml:space="preserve"> is the standard error of the effect size, while </w:t>
      </w:r>
      <w:r w:rsidRPr="00583DB2">
        <w:rPr>
          <w:rFonts w:ascii="Palatino Linotype" w:hAnsi="Palatino Linotype" w:cstheme="minorBidi"/>
          <w:i/>
          <w:iCs/>
          <w:sz w:val="20"/>
          <w:szCs w:val="20"/>
        </w:rPr>
        <w:t>J</w:t>
      </w:r>
      <w:r w:rsidRPr="00583DB2">
        <w:rPr>
          <w:rFonts w:ascii="Palatino Linotype" w:hAnsi="Palatino Linotype" w:cstheme="minorBidi"/>
          <w:sz w:val="20"/>
          <w:szCs w:val="20"/>
        </w:rPr>
        <w:t xml:space="preserve"> is a correction factor used to reduce bias in the effect size calculation. The final variable, </w:t>
      </w:r>
      <w:proofErr w:type="spellStart"/>
      <w:r w:rsidRPr="00583DB2">
        <w:rPr>
          <w:rFonts w:ascii="Palatino Linotype" w:hAnsi="Palatino Linotype" w:cstheme="minorBidi"/>
          <w:i/>
          <w:iCs/>
          <w:sz w:val="20"/>
          <w:szCs w:val="20"/>
        </w:rPr>
        <w:t>Vd</w:t>
      </w:r>
      <w:proofErr w:type="spellEnd"/>
      <w:r w:rsidRPr="00583DB2">
        <w:rPr>
          <w:rFonts w:ascii="Palatino Linotype" w:hAnsi="Palatino Linotype" w:cstheme="minorBidi"/>
          <w:sz w:val="20"/>
          <w:szCs w:val="20"/>
        </w:rPr>
        <w:t>, represents the variance of the effect size, which can be determined using Equation (4) (</w:t>
      </w:r>
      <w:proofErr w:type="spellStart"/>
      <w:r w:rsidRPr="00583DB2">
        <w:rPr>
          <w:rFonts w:ascii="Palatino Linotype" w:hAnsi="Palatino Linotype" w:cstheme="minorBidi"/>
          <w:sz w:val="20"/>
          <w:szCs w:val="20"/>
        </w:rPr>
        <w:t>Arlinwibowo</w:t>
      </w:r>
      <w:proofErr w:type="spellEnd"/>
      <w:r w:rsidRPr="00583DB2">
        <w:rPr>
          <w:rFonts w:ascii="Palatino Linotype" w:hAnsi="Palatino Linotype" w:cstheme="minorBidi"/>
          <w:sz w:val="20"/>
          <w:szCs w:val="20"/>
        </w:rPr>
        <w:t xml:space="preserve"> et al., 2022; Goulet-Pelletier &amp; Cousineau, 2020)</w:t>
      </w:r>
    </w:p>
    <w:bookmarkEnd w:id="1"/>
    <w:p w:rsidR="005B5AEC" w:rsidRPr="00583DB2" w:rsidRDefault="005B5AEC" w:rsidP="002B31FD">
      <w:pPr>
        <w:pStyle w:val="Alishlah31text"/>
        <w:rPr>
          <w:lang w:val="id-ID"/>
        </w:rPr>
      </w:pPr>
    </w:p>
    <w:p w:rsidR="005B5AEC" w:rsidRPr="00723B12" w:rsidRDefault="005B5AEC" w:rsidP="005B5AEC">
      <w:pPr>
        <w:pStyle w:val="Alishlah21heading1"/>
        <w:rPr>
          <w:rFonts w:eastAsia="Arial"/>
        </w:rPr>
      </w:pPr>
      <w:r>
        <w:rPr>
          <w:rFonts w:eastAsia="Arial"/>
        </w:rPr>
        <w:t xml:space="preserve">FINDINGS </w:t>
      </w:r>
      <w:r w:rsidRPr="00723B12">
        <w:rPr>
          <w:rFonts w:eastAsia="Arial"/>
        </w:rPr>
        <w:t>AND DISCUSSION</w:t>
      </w:r>
    </w:p>
    <w:p w:rsidR="00D61C3D" w:rsidRDefault="00D61C3D" w:rsidP="00D61C3D">
      <w:pPr>
        <w:pStyle w:val="NormalWeb"/>
        <w:ind w:firstLine="426"/>
        <w:jc w:val="both"/>
        <w:rPr>
          <w:rFonts w:ascii="Palatino Linotype" w:eastAsia="Times New Roman" w:hAnsi="Palatino Linotype"/>
          <w:sz w:val="20"/>
          <w:szCs w:val="20"/>
          <w:lang w:val="id-ID" w:eastAsia="en-ID"/>
        </w:rPr>
      </w:pPr>
      <w:r w:rsidRPr="00D61C3D">
        <w:rPr>
          <w:rFonts w:ascii="Palatino Linotype" w:eastAsia="Times New Roman" w:hAnsi="Palatino Linotype"/>
          <w:sz w:val="20"/>
          <w:szCs w:val="20"/>
          <w:lang w:eastAsia="en-ID"/>
        </w:rPr>
        <w:t xml:space="preserve">Based on the search results for articles related to this study, a total of 205 articles were found that examine the impact of inquiry-based learning in educational institutions. These articles are distributed across various sources: 145 articles from </w:t>
      </w:r>
      <w:proofErr w:type="spellStart"/>
      <w:r w:rsidRPr="00D61C3D">
        <w:rPr>
          <w:rFonts w:ascii="Palatino Linotype" w:eastAsia="Times New Roman" w:hAnsi="Palatino Linotype"/>
          <w:sz w:val="20"/>
          <w:szCs w:val="20"/>
          <w:lang w:eastAsia="en-ID"/>
        </w:rPr>
        <w:t>IOPscience</w:t>
      </w:r>
      <w:proofErr w:type="spellEnd"/>
      <w:r w:rsidRPr="00D61C3D">
        <w:rPr>
          <w:rFonts w:ascii="Palatino Linotype" w:eastAsia="Times New Roman" w:hAnsi="Palatino Linotype"/>
          <w:sz w:val="20"/>
          <w:szCs w:val="20"/>
          <w:lang w:eastAsia="en-ID"/>
        </w:rPr>
        <w:t>, 37 articles from IEEE, 9 articles from IJIM, and 14 articles from IJIET. The first stage of analysis was conducted by broadly examining the main topics of the articles to determine whether they discuss the impact of inquiry-based learning on student learning outcomes. Through this selection process, 83 articles were identified as relevant to this meta-analysis</w:t>
      </w:r>
      <w:r>
        <w:rPr>
          <w:rFonts w:ascii="Palatino Linotype" w:eastAsia="Times New Roman" w:hAnsi="Palatino Linotype"/>
          <w:sz w:val="20"/>
          <w:szCs w:val="20"/>
          <w:lang w:val="id-ID" w:eastAsia="en-ID"/>
        </w:rPr>
        <w:t>.</w:t>
      </w:r>
    </w:p>
    <w:p w:rsidR="00D61C3D" w:rsidRDefault="00D61C3D" w:rsidP="00D61C3D">
      <w:pPr>
        <w:pStyle w:val="NormalWeb"/>
        <w:ind w:firstLine="426"/>
        <w:jc w:val="both"/>
        <w:rPr>
          <w:rFonts w:ascii="Palatino Linotype" w:eastAsia="Times New Roman" w:hAnsi="Palatino Linotype"/>
          <w:sz w:val="20"/>
          <w:szCs w:val="20"/>
          <w:lang w:val="id-ID" w:eastAsia="en-ID"/>
        </w:rPr>
      </w:pPr>
      <w:r w:rsidRPr="00D61C3D">
        <w:rPr>
          <w:rFonts w:ascii="Palatino Linotype" w:eastAsia="Times New Roman" w:hAnsi="Palatino Linotype"/>
          <w:sz w:val="20"/>
          <w:szCs w:val="20"/>
          <w:lang w:eastAsia="en-ID"/>
        </w:rPr>
        <w:t xml:space="preserve">A second analysis was then conducted by applying inclusion criteria to assess the articles in greater depth, ensuring that the data and discussions presented were reliable for this meta-analysis. As a result, 25 articles were deemed reliable for further analysis. However, after reviewing the research findings and data provided in the articles, 3 articles were found not to include the impact on student learning </w:t>
      </w:r>
      <w:r w:rsidRPr="00D61C3D">
        <w:rPr>
          <w:rFonts w:ascii="Palatino Linotype" w:eastAsia="Times New Roman" w:hAnsi="Palatino Linotype"/>
          <w:sz w:val="20"/>
          <w:szCs w:val="20"/>
          <w:lang w:eastAsia="en-ID"/>
        </w:rPr>
        <w:lastRenderedPageBreak/>
        <w:t>outcomes, and 1 article did not use an inquiry-based learning approach. Thus, a total of 21 articles were ultimately included in the study. A more detailed overview of the article screening process is illustrated in Figure 1</w:t>
      </w:r>
      <w:r>
        <w:rPr>
          <w:rFonts w:ascii="Palatino Linotype" w:eastAsia="Times New Roman" w:hAnsi="Palatino Linotype"/>
          <w:sz w:val="20"/>
          <w:szCs w:val="20"/>
          <w:lang w:val="id-ID" w:eastAsia="en-ID"/>
        </w:rPr>
        <w:t>.</w:t>
      </w:r>
    </w:p>
    <w:p w:rsidR="00D61C3D" w:rsidRDefault="00D61C3D" w:rsidP="00D61C3D">
      <w:pPr>
        <w:pStyle w:val="NormalWeb"/>
        <w:ind w:firstLine="426"/>
        <w:jc w:val="both"/>
        <w:rPr>
          <w:rFonts w:ascii="Palatino Linotype" w:eastAsia="Times New Roman" w:hAnsi="Palatino Linotype"/>
          <w:sz w:val="20"/>
          <w:szCs w:val="20"/>
          <w:lang w:val="id-ID" w:eastAsia="en-ID"/>
        </w:rPr>
      </w:pPr>
      <w:r w:rsidRPr="00D61C3D">
        <w:rPr>
          <w:rFonts w:ascii="Palatino Linotype" w:eastAsia="Times New Roman" w:hAnsi="Palatino Linotype"/>
          <w:sz w:val="20"/>
          <w:szCs w:val="20"/>
          <w:lang w:eastAsia="en-ID"/>
        </w:rPr>
        <w:t xml:space="preserve">Among the 21 selected articles, 4 articles reported two different impacts of inquiry-based learning on the learning process. First, </w:t>
      </w:r>
      <w:proofErr w:type="spellStart"/>
      <w:r w:rsidRPr="00D61C3D">
        <w:rPr>
          <w:rFonts w:ascii="Palatino Linotype" w:eastAsia="Times New Roman" w:hAnsi="Palatino Linotype"/>
          <w:sz w:val="20"/>
          <w:szCs w:val="20"/>
          <w:lang w:eastAsia="en-ID"/>
        </w:rPr>
        <w:t>Purba</w:t>
      </w:r>
      <w:proofErr w:type="spellEnd"/>
      <w:r w:rsidRPr="00D61C3D">
        <w:rPr>
          <w:rFonts w:ascii="Palatino Linotype" w:eastAsia="Times New Roman" w:hAnsi="Palatino Linotype"/>
          <w:sz w:val="20"/>
          <w:szCs w:val="20"/>
          <w:lang w:eastAsia="en-ID"/>
        </w:rPr>
        <w:t xml:space="preserve"> et al. (2021) stated that inquiry-based learning enhances students' science process skills and critical thinking skills. Second, </w:t>
      </w:r>
      <w:proofErr w:type="spellStart"/>
      <w:r w:rsidRPr="00D61C3D">
        <w:rPr>
          <w:rFonts w:ascii="Palatino Linotype" w:eastAsia="Times New Roman" w:hAnsi="Palatino Linotype"/>
          <w:sz w:val="20"/>
          <w:szCs w:val="20"/>
          <w:lang w:eastAsia="en-ID"/>
        </w:rPr>
        <w:t>Thahir</w:t>
      </w:r>
      <w:proofErr w:type="spellEnd"/>
      <w:r w:rsidRPr="00D61C3D">
        <w:rPr>
          <w:rFonts w:ascii="Palatino Linotype" w:eastAsia="Times New Roman" w:hAnsi="Palatino Linotype"/>
          <w:sz w:val="20"/>
          <w:szCs w:val="20"/>
          <w:lang w:eastAsia="en-ID"/>
        </w:rPr>
        <w:t xml:space="preserve"> et al. (2020) found that STEM-based inquiry learning significantly improves students' scientific attitudes and conceptual understanding. Third, </w:t>
      </w:r>
      <w:proofErr w:type="spellStart"/>
      <w:r w:rsidRPr="00D61C3D">
        <w:rPr>
          <w:rFonts w:ascii="Palatino Linotype" w:eastAsia="Times New Roman" w:hAnsi="Palatino Linotype"/>
          <w:sz w:val="20"/>
          <w:szCs w:val="20"/>
          <w:lang w:eastAsia="en-ID"/>
        </w:rPr>
        <w:t>Noer</w:t>
      </w:r>
      <w:proofErr w:type="spellEnd"/>
      <w:r w:rsidRPr="00D61C3D">
        <w:rPr>
          <w:rFonts w:ascii="Palatino Linotype" w:eastAsia="Times New Roman" w:hAnsi="Palatino Linotype"/>
          <w:sz w:val="20"/>
          <w:szCs w:val="20"/>
          <w:lang w:eastAsia="en-ID"/>
        </w:rPr>
        <w:t xml:space="preserve"> et al. (2020) revealed that inquiry-based learning affects students' reflective thinking skills and self-efficacy. Fourth, </w:t>
      </w:r>
      <w:proofErr w:type="spellStart"/>
      <w:r w:rsidRPr="00D61C3D">
        <w:rPr>
          <w:rFonts w:ascii="Palatino Linotype" w:eastAsia="Times New Roman" w:hAnsi="Palatino Linotype"/>
          <w:sz w:val="20"/>
          <w:szCs w:val="20"/>
          <w:lang w:eastAsia="en-ID"/>
        </w:rPr>
        <w:t>Koes</w:t>
      </w:r>
      <w:proofErr w:type="spellEnd"/>
      <w:r w:rsidRPr="00D61C3D">
        <w:rPr>
          <w:rFonts w:ascii="Palatino Linotype" w:eastAsia="Times New Roman" w:hAnsi="Palatino Linotype"/>
          <w:sz w:val="20"/>
          <w:szCs w:val="20"/>
          <w:lang w:eastAsia="en-ID"/>
        </w:rPr>
        <w:t>-H et al. (2020) reported that integrating inquiry-based learning into the learning process significantly enhances students' prior knowledge and critical thinking skills</w:t>
      </w:r>
      <w:r>
        <w:rPr>
          <w:rFonts w:ascii="Palatino Linotype" w:eastAsia="Times New Roman" w:hAnsi="Palatino Linotype"/>
          <w:sz w:val="20"/>
          <w:szCs w:val="20"/>
          <w:lang w:val="id-ID" w:eastAsia="en-ID"/>
        </w:rPr>
        <w:t>.</w:t>
      </w:r>
    </w:p>
    <w:p w:rsidR="00D61C3D" w:rsidRPr="00D61C3D" w:rsidRDefault="00D61C3D" w:rsidP="00D61C3D">
      <w:pPr>
        <w:pStyle w:val="NormalWeb"/>
        <w:ind w:firstLine="426"/>
        <w:jc w:val="both"/>
        <w:rPr>
          <w:rFonts w:ascii="Palatino Linotype" w:eastAsia="Times New Roman" w:hAnsi="Palatino Linotype"/>
          <w:sz w:val="20"/>
          <w:szCs w:val="20"/>
          <w:lang w:eastAsia="en-ID"/>
        </w:rPr>
      </w:pPr>
      <w:r w:rsidRPr="00D61C3D">
        <w:rPr>
          <w:rFonts w:ascii="Palatino Linotype" w:eastAsia="Times New Roman" w:hAnsi="Palatino Linotype"/>
          <w:sz w:val="20"/>
          <w:szCs w:val="20"/>
          <w:lang w:eastAsia="en-ID"/>
        </w:rPr>
        <w:t>After gathering all the data, an analysis was conducted to determine the effect size and standard error produced in each study. The obtained data and the results of the analysis are presented in Table 2. Based on the overall data collected from 2020 to 2024, studies on this topic were reported in each of these years. The highest number of studies was conducted in 2021, with a total of 10 research studies. The second highest was in 2020, with 9 studies, followed by 1 study in 2022, 2 studies in 2023, and 3 studies in 2024.</w:t>
      </w:r>
    </w:p>
    <w:p w:rsidR="00D61C3D" w:rsidRDefault="00D61C3D" w:rsidP="002B31FD">
      <w:pPr>
        <w:pStyle w:val="Alishlah31text"/>
      </w:pPr>
      <w:r>
        <w:rPr>
          <w:noProof/>
        </w:rPr>
        <w:drawing>
          <wp:inline distT="0" distB="0" distL="0" distR="0" wp14:anchorId="69D02308" wp14:editId="70DCEA1B">
            <wp:extent cx="4572225" cy="3492000"/>
            <wp:effectExtent l="0" t="0" r="0" b="0"/>
            <wp:docPr id="8135507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225" cy="3492000"/>
                    </a:xfrm>
                    <a:prstGeom prst="rect">
                      <a:avLst/>
                    </a:prstGeom>
                    <a:noFill/>
                    <a:ln>
                      <a:noFill/>
                    </a:ln>
                  </pic:spPr>
                </pic:pic>
              </a:graphicData>
            </a:graphic>
          </wp:inline>
        </w:drawing>
      </w:r>
      <w:r w:rsidR="002B31FD" w:rsidRPr="00056E9C">
        <w:t xml:space="preserve"> </w:t>
      </w:r>
    </w:p>
    <w:p w:rsidR="00D61C3D" w:rsidRDefault="00D61C3D" w:rsidP="002B31FD">
      <w:pPr>
        <w:pStyle w:val="Alishlah31text"/>
      </w:pPr>
    </w:p>
    <w:p w:rsidR="00BF4E78" w:rsidRPr="00BF4E78" w:rsidRDefault="00BF4E78" w:rsidP="00BF4E78">
      <w:pPr>
        <w:spacing w:before="100" w:beforeAutospacing="1" w:after="100" w:afterAutospacing="1" w:line="240" w:lineRule="auto"/>
        <w:rPr>
          <w:rFonts w:ascii="Times New Roman" w:eastAsia="Times New Roman" w:hAnsi="Times New Roman" w:cs="Times New Roman"/>
          <w:sz w:val="24"/>
          <w:szCs w:val="24"/>
          <w:lang w:eastAsia="en-ID"/>
        </w:rPr>
      </w:pPr>
      <w:r w:rsidRPr="00BF4E78">
        <w:rPr>
          <w:rFonts w:ascii="Times New Roman" w:eastAsia="Times New Roman" w:hAnsi="Times New Roman" w:cs="Times New Roman"/>
          <w:b/>
          <w:bCs/>
          <w:sz w:val="24"/>
          <w:szCs w:val="24"/>
          <w:lang w:eastAsia="en-ID"/>
        </w:rPr>
        <w:t>Figure 3. Article Screening Results Using the PRISMA Method</w:t>
      </w:r>
    </w:p>
    <w:p w:rsidR="00D61C3D" w:rsidRPr="00BF4E78" w:rsidRDefault="00BF4E78" w:rsidP="00BF4E78">
      <w:pPr>
        <w:spacing w:before="100" w:beforeAutospacing="1" w:after="100" w:afterAutospacing="1" w:line="240" w:lineRule="auto"/>
        <w:ind w:left="2160" w:firstLine="720"/>
        <w:rPr>
          <w:rFonts w:ascii="Times New Roman" w:eastAsia="Times New Roman" w:hAnsi="Times New Roman" w:cs="Times New Roman"/>
          <w:sz w:val="24"/>
          <w:szCs w:val="24"/>
          <w:lang w:eastAsia="en-ID"/>
        </w:rPr>
      </w:pPr>
      <w:r w:rsidRPr="00BF4E78">
        <w:rPr>
          <w:rFonts w:ascii="Times New Roman" w:eastAsia="Times New Roman" w:hAnsi="Times New Roman" w:cs="Times New Roman"/>
          <w:b/>
          <w:bCs/>
          <w:sz w:val="24"/>
          <w:szCs w:val="24"/>
          <w:lang w:eastAsia="en-ID"/>
        </w:rPr>
        <w:t>Table 2. Overall Article Data for Meta-Analysi</w:t>
      </w:r>
    </w:p>
    <w:tbl>
      <w:tblPr>
        <w:tblpPr w:leftFromText="180" w:rightFromText="180" w:vertAnchor="text" w:tblpXSpec="center" w:tblpY="1"/>
        <w:tblOverlap w:val="neve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670"/>
        <w:gridCol w:w="648"/>
        <w:gridCol w:w="630"/>
        <w:gridCol w:w="583"/>
        <w:gridCol w:w="585"/>
        <w:gridCol w:w="583"/>
        <w:gridCol w:w="585"/>
        <w:gridCol w:w="585"/>
        <w:gridCol w:w="583"/>
        <w:gridCol w:w="574"/>
      </w:tblGrid>
      <w:tr w:rsidR="00D61C3D" w:rsidRPr="008558A8" w:rsidTr="00D61C3D">
        <w:trPr>
          <w:trHeight w:val="132"/>
        </w:trPr>
        <w:tc>
          <w:tcPr>
            <w:tcW w:w="2033" w:type="pct"/>
            <w:vMerge w:val="restart"/>
            <w:vAlign w:val="center"/>
          </w:tcPr>
          <w:p w:rsidR="00D61C3D" w:rsidRDefault="00D61C3D" w:rsidP="00D61C3D">
            <w:pPr>
              <w:spacing w:before="20" w:after="20"/>
              <w:ind w:left="-94" w:right="-94"/>
              <w:jc w:val="center"/>
              <w:rPr>
                <w:rFonts w:ascii="Garamond" w:hAnsi="Garamond"/>
                <w:color w:val="0D0D0D"/>
                <w:sz w:val="20"/>
                <w:szCs w:val="20"/>
                <w:lang w:val="en-GB"/>
              </w:rPr>
            </w:pPr>
            <w:proofErr w:type="spellStart"/>
            <w:r>
              <w:rPr>
                <w:rFonts w:ascii="Garamond" w:hAnsi="Garamond"/>
                <w:color w:val="0D0D0D"/>
                <w:sz w:val="20"/>
                <w:szCs w:val="20"/>
                <w:lang w:val="en-GB"/>
              </w:rPr>
              <w:t>Penulis</w:t>
            </w:r>
            <w:proofErr w:type="spellEnd"/>
          </w:p>
        </w:tc>
        <w:tc>
          <w:tcPr>
            <w:tcW w:w="359" w:type="pct"/>
            <w:vMerge w:val="restart"/>
            <w:vAlign w:val="center"/>
          </w:tcPr>
          <w:p w:rsidR="00D61C3D" w:rsidRDefault="00D61C3D" w:rsidP="00D61C3D">
            <w:pPr>
              <w:spacing w:before="20" w:after="20"/>
              <w:ind w:left="-94" w:right="-94"/>
              <w:jc w:val="center"/>
              <w:rPr>
                <w:rFonts w:ascii="Garamond" w:hAnsi="Garamond"/>
                <w:color w:val="0D0D0D"/>
                <w:sz w:val="20"/>
                <w:szCs w:val="20"/>
              </w:rPr>
            </w:pPr>
            <w:proofErr w:type="spellStart"/>
            <w:r>
              <w:rPr>
                <w:rFonts w:ascii="Garamond" w:hAnsi="Garamond"/>
                <w:color w:val="0D0D0D"/>
                <w:sz w:val="20"/>
                <w:szCs w:val="20"/>
              </w:rPr>
              <w:t>Tahun</w:t>
            </w:r>
            <w:proofErr w:type="spellEnd"/>
          </w:p>
        </w:tc>
        <w:tc>
          <w:tcPr>
            <w:tcW w:w="996" w:type="pct"/>
            <w:gridSpan w:val="3"/>
            <w:vAlign w:val="center"/>
          </w:tcPr>
          <w:p w:rsidR="00D61C3D" w:rsidRDefault="00D61C3D" w:rsidP="00D61C3D">
            <w:pPr>
              <w:spacing w:before="20" w:after="20"/>
              <w:ind w:left="-94" w:right="-94"/>
              <w:jc w:val="center"/>
              <w:rPr>
                <w:rFonts w:ascii="Garamond" w:hAnsi="Garamond"/>
                <w:color w:val="0D0D0D"/>
                <w:sz w:val="20"/>
                <w:szCs w:val="20"/>
              </w:rPr>
            </w:pPr>
            <w:r>
              <w:rPr>
                <w:rFonts w:ascii="Garamond" w:hAnsi="Garamond"/>
                <w:color w:val="0D0D0D"/>
                <w:sz w:val="20"/>
                <w:szCs w:val="20"/>
              </w:rPr>
              <w:t xml:space="preserve">Kelas </w:t>
            </w:r>
            <w:proofErr w:type="spellStart"/>
            <w:r>
              <w:rPr>
                <w:rFonts w:ascii="Garamond" w:hAnsi="Garamond"/>
                <w:color w:val="0D0D0D"/>
                <w:sz w:val="20"/>
                <w:szCs w:val="20"/>
              </w:rPr>
              <w:t>Kontrol</w:t>
            </w:r>
            <w:proofErr w:type="spellEnd"/>
          </w:p>
        </w:tc>
        <w:tc>
          <w:tcPr>
            <w:tcW w:w="971" w:type="pct"/>
            <w:gridSpan w:val="3"/>
            <w:vAlign w:val="center"/>
          </w:tcPr>
          <w:p w:rsidR="00D61C3D" w:rsidRDefault="00D61C3D" w:rsidP="00D61C3D">
            <w:pPr>
              <w:spacing w:before="20" w:after="20"/>
              <w:ind w:left="-94" w:right="-94"/>
              <w:jc w:val="center"/>
              <w:rPr>
                <w:rFonts w:ascii="Garamond" w:hAnsi="Garamond"/>
                <w:color w:val="0D0D0D"/>
                <w:sz w:val="20"/>
                <w:szCs w:val="20"/>
              </w:rPr>
            </w:pPr>
            <w:r>
              <w:rPr>
                <w:rFonts w:ascii="Garamond" w:hAnsi="Garamond"/>
                <w:color w:val="0D0D0D"/>
                <w:sz w:val="20"/>
                <w:szCs w:val="20"/>
              </w:rPr>
              <w:t xml:space="preserve">Kelas </w:t>
            </w:r>
            <w:proofErr w:type="spellStart"/>
            <w:r>
              <w:rPr>
                <w:rFonts w:ascii="Garamond" w:hAnsi="Garamond"/>
                <w:color w:val="0D0D0D"/>
                <w:sz w:val="20"/>
                <w:szCs w:val="20"/>
              </w:rPr>
              <w:t>Eksperimen</w:t>
            </w:r>
            <w:proofErr w:type="spellEnd"/>
          </w:p>
        </w:tc>
        <w:tc>
          <w:tcPr>
            <w:tcW w:w="323" w:type="pct"/>
            <w:vMerge w:val="restart"/>
            <w:vAlign w:val="center"/>
          </w:tcPr>
          <w:p w:rsidR="00D61C3D" w:rsidRPr="007B1B93" w:rsidRDefault="00D61C3D" w:rsidP="00D61C3D">
            <w:pPr>
              <w:spacing w:before="20" w:after="20"/>
              <w:ind w:left="-94" w:right="-94"/>
              <w:jc w:val="center"/>
              <w:rPr>
                <w:rFonts w:ascii="Garamond" w:hAnsi="Garamond"/>
                <w:i/>
                <w:iCs/>
                <w:color w:val="0D0D0D"/>
                <w:sz w:val="20"/>
                <w:szCs w:val="20"/>
              </w:rPr>
            </w:pPr>
            <w:r w:rsidRPr="007B1B93">
              <w:rPr>
                <w:rFonts w:ascii="Garamond" w:hAnsi="Garamond"/>
                <w:i/>
                <w:iCs/>
                <w:color w:val="0D0D0D"/>
                <w:sz w:val="20"/>
                <w:szCs w:val="20"/>
              </w:rPr>
              <w:t>d</w:t>
            </w:r>
          </w:p>
        </w:tc>
        <w:tc>
          <w:tcPr>
            <w:tcW w:w="319" w:type="pct"/>
            <w:vMerge w:val="restart"/>
            <w:vAlign w:val="center"/>
          </w:tcPr>
          <w:p w:rsidR="00D61C3D" w:rsidRDefault="00D61C3D" w:rsidP="00D61C3D">
            <w:pPr>
              <w:spacing w:before="20" w:after="20"/>
              <w:ind w:left="-94" w:right="-94"/>
              <w:jc w:val="center"/>
              <w:rPr>
                <w:rFonts w:ascii="Garamond" w:hAnsi="Garamond"/>
                <w:color w:val="0D0D0D"/>
                <w:sz w:val="20"/>
                <w:szCs w:val="20"/>
              </w:rPr>
            </w:pPr>
            <w:proofErr w:type="spellStart"/>
            <w:r>
              <w:rPr>
                <w:rFonts w:ascii="Garamond" w:hAnsi="Garamond"/>
                <w:color w:val="0D0D0D"/>
                <w:sz w:val="20"/>
                <w:szCs w:val="20"/>
              </w:rPr>
              <w:t>Er</w:t>
            </w:r>
            <w:proofErr w:type="spellEnd"/>
          </w:p>
        </w:tc>
      </w:tr>
      <w:tr w:rsidR="00D61C3D" w:rsidRPr="008558A8" w:rsidTr="00D61C3D">
        <w:trPr>
          <w:trHeight w:val="132"/>
        </w:trPr>
        <w:tc>
          <w:tcPr>
            <w:tcW w:w="2033" w:type="pct"/>
            <w:vMerge/>
            <w:tcBorders>
              <w:bottom w:val="single" w:sz="4" w:space="0" w:color="auto"/>
            </w:tcBorders>
            <w:vAlign w:val="center"/>
          </w:tcPr>
          <w:p w:rsidR="00D61C3D" w:rsidRPr="008558A8" w:rsidRDefault="00D61C3D" w:rsidP="00D61C3D">
            <w:pPr>
              <w:spacing w:before="20" w:after="20"/>
              <w:ind w:left="-94" w:right="-94"/>
              <w:jc w:val="center"/>
              <w:rPr>
                <w:rFonts w:ascii="Garamond" w:hAnsi="Garamond"/>
                <w:color w:val="0D0D0D"/>
                <w:sz w:val="20"/>
                <w:szCs w:val="20"/>
                <w:lang w:val="en-GB"/>
              </w:rPr>
            </w:pPr>
          </w:p>
        </w:tc>
        <w:tc>
          <w:tcPr>
            <w:tcW w:w="359" w:type="pct"/>
            <w:vMerge/>
            <w:tcBorders>
              <w:bottom w:val="single" w:sz="4" w:space="0" w:color="auto"/>
            </w:tcBorders>
          </w:tcPr>
          <w:p w:rsidR="00D61C3D" w:rsidRDefault="00D61C3D" w:rsidP="00D61C3D">
            <w:pPr>
              <w:spacing w:before="20" w:after="20"/>
              <w:ind w:left="-94" w:right="-94"/>
              <w:jc w:val="center"/>
              <w:rPr>
                <w:rFonts w:ascii="Garamond" w:hAnsi="Garamond"/>
                <w:color w:val="0D0D0D"/>
                <w:sz w:val="20"/>
                <w:szCs w:val="20"/>
              </w:rPr>
            </w:pPr>
          </w:p>
        </w:tc>
        <w:tc>
          <w:tcPr>
            <w:tcW w:w="349" w:type="pct"/>
            <w:tcBorders>
              <w:bottom w:val="single" w:sz="4" w:space="0" w:color="auto"/>
            </w:tcBorders>
            <w:vAlign w:val="center"/>
          </w:tcPr>
          <w:p w:rsidR="00D61C3D" w:rsidRPr="008558A8" w:rsidRDefault="00D61C3D" w:rsidP="00D61C3D">
            <w:pPr>
              <w:spacing w:before="20" w:after="20"/>
              <w:ind w:left="-94" w:right="-94"/>
              <w:jc w:val="center"/>
              <w:rPr>
                <w:rFonts w:ascii="Garamond" w:hAnsi="Garamond"/>
                <w:color w:val="0D0D0D"/>
                <w:sz w:val="20"/>
                <w:szCs w:val="20"/>
              </w:rPr>
            </w:pPr>
            <w:r>
              <w:rPr>
                <w:rFonts w:ascii="Garamond" w:hAnsi="Garamond"/>
                <w:color w:val="0D0D0D"/>
                <w:sz w:val="20"/>
                <w:szCs w:val="20"/>
              </w:rPr>
              <w:t>Nc</w:t>
            </w:r>
          </w:p>
        </w:tc>
        <w:tc>
          <w:tcPr>
            <w:tcW w:w="323" w:type="pct"/>
            <w:tcBorders>
              <w:bottom w:val="single" w:sz="4" w:space="0" w:color="auto"/>
            </w:tcBorders>
            <w:vAlign w:val="center"/>
          </w:tcPr>
          <w:p w:rsidR="00D61C3D" w:rsidRPr="008558A8" w:rsidRDefault="00D61C3D" w:rsidP="00D61C3D">
            <w:pPr>
              <w:spacing w:before="20" w:after="20"/>
              <w:ind w:left="-94" w:right="-94"/>
              <w:jc w:val="center"/>
              <w:rPr>
                <w:rFonts w:ascii="Garamond" w:hAnsi="Garamond"/>
                <w:color w:val="0D0D0D"/>
                <w:sz w:val="20"/>
                <w:szCs w:val="20"/>
              </w:rPr>
            </w:pPr>
            <w:r>
              <w:rPr>
                <w:rFonts w:ascii="Garamond" w:hAnsi="Garamond"/>
                <w:color w:val="0D0D0D"/>
                <w:sz w:val="20"/>
                <w:szCs w:val="20"/>
              </w:rPr>
              <w:t>Mc</w:t>
            </w:r>
          </w:p>
        </w:tc>
        <w:tc>
          <w:tcPr>
            <w:tcW w:w="324" w:type="pct"/>
            <w:tcBorders>
              <w:bottom w:val="single" w:sz="4" w:space="0" w:color="auto"/>
            </w:tcBorders>
          </w:tcPr>
          <w:p w:rsidR="00D61C3D" w:rsidRDefault="00D61C3D" w:rsidP="00D61C3D">
            <w:pPr>
              <w:spacing w:before="20" w:after="20"/>
              <w:ind w:left="-94" w:right="-94"/>
              <w:jc w:val="center"/>
              <w:rPr>
                <w:rFonts w:ascii="Garamond" w:hAnsi="Garamond"/>
                <w:color w:val="0D0D0D"/>
                <w:sz w:val="20"/>
                <w:szCs w:val="20"/>
              </w:rPr>
            </w:pPr>
            <w:proofErr w:type="spellStart"/>
            <w:r>
              <w:rPr>
                <w:rFonts w:ascii="Garamond" w:hAnsi="Garamond"/>
                <w:color w:val="0D0D0D"/>
                <w:sz w:val="20"/>
                <w:szCs w:val="20"/>
              </w:rPr>
              <w:t>SDc</w:t>
            </w:r>
            <w:proofErr w:type="spellEnd"/>
          </w:p>
        </w:tc>
        <w:tc>
          <w:tcPr>
            <w:tcW w:w="323" w:type="pct"/>
            <w:tcBorders>
              <w:bottom w:val="single" w:sz="4" w:space="0" w:color="auto"/>
            </w:tcBorders>
            <w:vAlign w:val="center"/>
          </w:tcPr>
          <w:p w:rsidR="00D61C3D" w:rsidRDefault="00D61C3D" w:rsidP="00D61C3D">
            <w:pPr>
              <w:spacing w:before="20" w:after="20"/>
              <w:ind w:left="-94" w:right="-94"/>
              <w:jc w:val="center"/>
              <w:rPr>
                <w:rFonts w:ascii="Garamond" w:hAnsi="Garamond"/>
                <w:color w:val="0D0D0D"/>
                <w:sz w:val="20"/>
                <w:szCs w:val="20"/>
              </w:rPr>
            </w:pPr>
            <w:r>
              <w:rPr>
                <w:rFonts w:ascii="Garamond" w:hAnsi="Garamond"/>
                <w:color w:val="0D0D0D"/>
                <w:sz w:val="20"/>
                <w:szCs w:val="20"/>
              </w:rPr>
              <w:t>Ne</w:t>
            </w:r>
          </w:p>
        </w:tc>
        <w:tc>
          <w:tcPr>
            <w:tcW w:w="324" w:type="pct"/>
            <w:tcBorders>
              <w:bottom w:val="single" w:sz="4" w:space="0" w:color="auto"/>
            </w:tcBorders>
            <w:vAlign w:val="center"/>
          </w:tcPr>
          <w:p w:rsidR="00D61C3D" w:rsidRDefault="00D61C3D" w:rsidP="00D61C3D">
            <w:pPr>
              <w:spacing w:before="20" w:after="20"/>
              <w:ind w:left="-94" w:right="-94"/>
              <w:jc w:val="center"/>
              <w:rPr>
                <w:rFonts w:ascii="Garamond" w:hAnsi="Garamond"/>
                <w:color w:val="0D0D0D"/>
                <w:sz w:val="20"/>
                <w:szCs w:val="20"/>
              </w:rPr>
            </w:pPr>
            <w:r>
              <w:rPr>
                <w:rFonts w:ascii="Garamond" w:hAnsi="Garamond"/>
                <w:color w:val="0D0D0D"/>
                <w:sz w:val="20"/>
                <w:szCs w:val="20"/>
              </w:rPr>
              <w:t>Me</w:t>
            </w:r>
          </w:p>
        </w:tc>
        <w:tc>
          <w:tcPr>
            <w:tcW w:w="324" w:type="pct"/>
            <w:tcBorders>
              <w:bottom w:val="single" w:sz="4" w:space="0" w:color="auto"/>
            </w:tcBorders>
          </w:tcPr>
          <w:p w:rsidR="00D61C3D" w:rsidRDefault="00D61C3D" w:rsidP="00D61C3D">
            <w:pPr>
              <w:spacing w:before="20" w:after="20"/>
              <w:ind w:left="-94" w:right="-94"/>
              <w:jc w:val="center"/>
              <w:rPr>
                <w:rFonts w:ascii="Garamond" w:hAnsi="Garamond"/>
                <w:color w:val="0D0D0D"/>
                <w:sz w:val="20"/>
                <w:szCs w:val="20"/>
              </w:rPr>
            </w:pPr>
            <w:proofErr w:type="spellStart"/>
            <w:r>
              <w:rPr>
                <w:rFonts w:ascii="Garamond" w:hAnsi="Garamond"/>
                <w:color w:val="0D0D0D"/>
                <w:sz w:val="20"/>
                <w:szCs w:val="20"/>
              </w:rPr>
              <w:t>SDe</w:t>
            </w:r>
            <w:proofErr w:type="spellEnd"/>
          </w:p>
        </w:tc>
        <w:tc>
          <w:tcPr>
            <w:tcW w:w="323" w:type="pct"/>
            <w:vMerge/>
            <w:tcBorders>
              <w:bottom w:val="single" w:sz="4" w:space="0" w:color="auto"/>
            </w:tcBorders>
          </w:tcPr>
          <w:p w:rsidR="00D61C3D" w:rsidRDefault="00D61C3D" w:rsidP="00D61C3D">
            <w:pPr>
              <w:spacing w:before="20" w:after="20"/>
              <w:ind w:left="-94" w:right="-94"/>
              <w:jc w:val="center"/>
              <w:rPr>
                <w:rFonts w:ascii="Garamond" w:hAnsi="Garamond"/>
                <w:color w:val="0D0D0D"/>
                <w:sz w:val="20"/>
                <w:szCs w:val="20"/>
              </w:rPr>
            </w:pPr>
          </w:p>
        </w:tc>
        <w:tc>
          <w:tcPr>
            <w:tcW w:w="319" w:type="pct"/>
            <w:vMerge/>
            <w:tcBorders>
              <w:bottom w:val="single" w:sz="4" w:space="0" w:color="auto"/>
            </w:tcBorders>
          </w:tcPr>
          <w:p w:rsidR="00D61C3D" w:rsidRDefault="00D61C3D" w:rsidP="00D61C3D">
            <w:pPr>
              <w:spacing w:before="20" w:after="20"/>
              <w:ind w:left="-94" w:right="-94"/>
              <w:jc w:val="center"/>
              <w:rPr>
                <w:rFonts w:ascii="Garamond" w:hAnsi="Garamond"/>
                <w:color w:val="0D0D0D"/>
                <w:sz w:val="20"/>
                <w:szCs w:val="20"/>
              </w:rPr>
            </w:pPr>
          </w:p>
        </w:tc>
      </w:tr>
      <w:tr w:rsidR="00D61C3D" w:rsidRPr="00802BD9" w:rsidTr="00D61C3D">
        <w:tc>
          <w:tcPr>
            <w:tcW w:w="2033" w:type="pct"/>
            <w:tcBorders>
              <w:bottom w:val="nil"/>
            </w:tcBorders>
            <w:vAlign w:val="center"/>
          </w:tcPr>
          <w:p w:rsidR="00D61C3D" w:rsidRPr="00B147D0" w:rsidRDefault="00D61C3D" w:rsidP="00D61C3D">
            <w:pPr>
              <w:spacing w:before="20" w:after="20"/>
              <w:ind w:left="-94" w:right="-94"/>
              <w:rPr>
                <w:rFonts w:ascii="Garamond" w:hAnsi="Garamond"/>
                <w:color w:val="0D0D0D"/>
                <w:sz w:val="20"/>
                <w:szCs w:val="20"/>
                <w:lang w:val="en-GB"/>
              </w:rPr>
            </w:pPr>
            <w:r w:rsidRPr="00B147D0">
              <w:rPr>
                <w:rFonts w:ascii="Garamond" w:hAnsi="Garamond"/>
                <w:color w:val="000000"/>
                <w:sz w:val="20"/>
                <w:szCs w:val="20"/>
              </w:rPr>
              <w:t> </w:t>
            </w:r>
            <w:proofErr w:type="spellStart"/>
            <w:r>
              <w:rPr>
                <w:rFonts w:ascii="Garamond" w:hAnsi="Garamond"/>
                <w:color w:val="000000"/>
                <w:sz w:val="20"/>
                <w:szCs w:val="20"/>
              </w:rPr>
              <w:fldChar w:fldCharType="begin" w:fldLock="1"/>
            </w:r>
            <w:r>
              <w:rPr>
                <w:rFonts w:ascii="Garamond" w:hAnsi="Garamond"/>
                <w:color w:val="000000"/>
                <w:sz w:val="20"/>
                <w:szCs w:val="20"/>
              </w:rPr>
              <w:instrText>ADDIN CSL_CITATION {"citationItems":[{"id":"ITEM-1","itemData":{"DOI":"10.1088/1742-6596/1788/1/012043","ISSN":"1742-6588","abstract":"The chemical knowledge of students was low because learning activities tend to be teacher oriented. For this reason, we need to develop knowledge acquisition process skill. Therefore we suggest scientific attitude which included in the “Science Process Skill”. The purpose of this research was to determine the type of learning model which was able maximize the students’ scientific processes skills. The results of the application can be observed in student learning activities during observation. A quasi-experimental control group with pre and post-test design was performed in this study. The sample were students in XII MIA-1 in SMAN 5 Binjai which applied Guided Inquiry learning model meanwhile XII MIA-2 applied conventional learning. The results showed that the Science Process Skills in both experiment classes obtained an average score of 93.78 and 75.32 respectively so that they were categorized as “Very Good” and “Good” on 6 (six) aspects: observing, grouping, applying concepts, interpreting, conducting experiments, formulating hypotheses. While learning activities obtained an average score of 90.27 and 79.29 respectively, so that they were categorized as “Very Good” and “Good” on the five indicators: Readiness to learn, skills for using tools, actively providing opinion, working in group and making conclusion.","author":[{"dropping-particle":"","family":"Juniar","given":"A.","non-dropping-particle":"","parse-names":false,"suffix":""},{"dropping-particle":"","family":"Fardilah","given":"R. D.","non-dropping-particle":"","parse-names":false,"suffix":""},{"dropping-particle":"","family":"Tambunan","given":"P. M.","non-dropping-particle":"","parse-names":false,"suffix":""}],"container-title":"Journal of Physics: Conference Series","id":"ITEM-1","issue":"1","issued":{"date-parts":[["2021","2","1"]]},"page":"012043","title":"The Distinction of Students’ Science Process Skill and Learning Activities between Guided Inquiry and Conventional Learning with Experiment","type":"article-journal","volume":"1788"},"uris":["http://www.mendeley.com/documents/?uuid=44d38451-2d31-42ba-b380-69f0545810fb"]}],"mendeley":{"formattedCitation":"(Juniar, Fardilah, et al., 2021)","manualFormatting":"Juniar et al., ","plainTextFormattedCitation":"(Juniar, Fardilah, et al., 2021)","previouslyFormattedCitation":"(Juniar, Fardilah, et al., 2021)"},"properties":{"noteIndex":0},"schema":"https://github.com/citation-style-language/schema/raw/master/csl-citation.json"}</w:instrText>
            </w:r>
            <w:r>
              <w:rPr>
                <w:rFonts w:ascii="Garamond" w:hAnsi="Garamond"/>
                <w:color w:val="000000"/>
                <w:sz w:val="20"/>
                <w:szCs w:val="20"/>
              </w:rPr>
              <w:fldChar w:fldCharType="separate"/>
            </w:r>
            <w:r w:rsidRPr="009D124C">
              <w:rPr>
                <w:rFonts w:ascii="Garamond" w:hAnsi="Garamond"/>
                <w:noProof/>
                <w:color w:val="000000"/>
                <w:sz w:val="20"/>
                <w:szCs w:val="20"/>
              </w:rPr>
              <w:t>Juniar</w:t>
            </w:r>
            <w:proofErr w:type="spellEnd"/>
            <w:r w:rsidRPr="009D124C">
              <w:rPr>
                <w:rFonts w:ascii="Garamond" w:hAnsi="Garamond"/>
                <w:noProof/>
                <w:color w:val="000000"/>
                <w:sz w:val="20"/>
                <w:szCs w:val="20"/>
              </w:rPr>
              <w:t xml:space="preserve"> et al., </w:t>
            </w:r>
            <w:r>
              <w:rPr>
                <w:rFonts w:ascii="Garamond" w:hAnsi="Garamond"/>
                <w:color w:val="000000"/>
                <w:sz w:val="20"/>
                <w:szCs w:val="20"/>
              </w:rPr>
              <w:fldChar w:fldCharType="end"/>
            </w:r>
          </w:p>
        </w:tc>
        <w:tc>
          <w:tcPr>
            <w:tcW w:w="359" w:type="pct"/>
            <w:tcBorders>
              <w:bottom w:val="nil"/>
            </w:tcBorders>
            <w:vAlign w:val="center"/>
          </w:tcPr>
          <w:p w:rsidR="00D61C3D" w:rsidRPr="00B147D0" w:rsidRDefault="00D61C3D" w:rsidP="00D61C3D">
            <w:pPr>
              <w:spacing w:before="20" w:after="20"/>
              <w:ind w:left="-94" w:right="-94"/>
              <w:jc w:val="center"/>
              <w:rPr>
                <w:rFonts w:ascii="Garamond" w:hAnsi="Garamond"/>
                <w:color w:val="000000"/>
                <w:sz w:val="20"/>
                <w:szCs w:val="20"/>
              </w:rPr>
            </w:pPr>
            <w:r w:rsidRPr="00B147D0">
              <w:rPr>
                <w:rFonts w:ascii="Garamond" w:hAnsi="Garamond"/>
                <w:color w:val="000000"/>
                <w:sz w:val="20"/>
                <w:szCs w:val="20"/>
              </w:rPr>
              <w:t>2021</w:t>
            </w:r>
          </w:p>
        </w:tc>
        <w:tc>
          <w:tcPr>
            <w:tcW w:w="349" w:type="pct"/>
            <w:tcBorders>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US"/>
              </w:rPr>
            </w:pPr>
            <w:r w:rsidRPr="00B147D0">
              <w:rPr>
                <w:rFonts w:ascii="Garamond" w:hAnsi="Garamond"/>
                <w:color w:val="000000"/>
                <w:sz w:val="20"/>
                <w:szCs w:val="20"/>
              </w:rPr>
              <w:t>33</w:t>
            </w:r>
          </w:p>
        </w:tc>
        <w:tc>
          <w:tcPr>
            <w:tcW w:w="323" w:type="pct"/>
            <w:tcBorders>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78,40</w:t>
            </w:r>
          </w:p>
        </w:tc>
        <w:tc>
          <w:tcPr>
            <w:tcW w:w="324" w:type="pct"/>
            <w:tcBorders>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6,90</w:t>
            </w:r>
          </w:p>
        </w:tc>
        <w:tc>
          <w:tcPr>
            <w:tcW w:w="323" w:type="pct"/>
            <w:tcBorders>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33</w:t>
            </w:r>
          </w:p>
        </w:tc>
        <w:tc>
          <w:tcPr>
            <w:tcW w:w="324" w:type="pct"/>
            <w:tcBorders>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89,60</w:t>
            </w:r>
          </w:p>
        </w:tc>
        <w:tc>
          <w:tcPr>
            <w:tcW w:w="324" w:type="pct"/>
            <w:tcBorders>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7,70</w:t>
            </w:r>
          </w:p>
        </w:tc>
        <w:tc>
          <w:tcPr>
            <w:tcW w:w="323" w:type="pct"/>
            <w:tcBorders>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0,75</w:t>
            </w:r>
          </w:p>
        </w:tc>
        <w:tc>
          <w:tcPr>
            <w:tcW w:w="319" w:type="pct"/>
            <w:tcBorders>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0,25</w:t>
            </w:r>
          </w:p>
        </w:tc>
      </w:tr>
      <w:tr w:rsidR="00D61C3D" w:rsidRPr="00802BD9" w:rsidTr="00D61C3D">
        <w:trPr>
          <w:trHeight w:val="68"/>
        </w:trPr>
        <w:tc>
          <w:tcPr>
            <w:tcW w:w="2033" w:type="pct"/>
            <w:tcBorders>
              <w:top w:val="nil"/>
              <w:bottom w:val="nil"/>
            </w:tcBorders>
            <w:vAlign w:val="center"/>
          </w:tcPr>
          <w:p w:rsidR="00D61C3D" w:rsidRPr="00B147D0" w:rsidRDefault="00D61C3D" w:rsidP="00D61C3D">
            <w:pPr>
              <w:spacing w:before="20" w:after="20"/>
              <w:ind w:left="-94" w:right="-94"/>
              <w:rPr>
                <w:rFonts w:ascii="Garamond" w:hAnsi="Garamond"/>
                <w:color w:val="0D0D0D"/>
                <w:sz w:val="20"/>
                <w:szCs w:val="20"/>
                <w:lang w:val="en-GB"/>
              </w:rPr>
            </w:pPr>
            <w:r>
              <w:rPr>
                <w:rFonts w:ascii="Garamond" w:hAnsi="Garamond"/>
                <w:color w:val="0D0D0D"/>
                <w:sz w:val="20"/>
                <w:szCs w:val="20"/>
                <w:lang w:val="en-GB"/>
              </w:rPr>
              <w:fldChar w:fldCharType="begin" w:fldLock="1"/>
            </w:r>
            <w:r>
              <w:rPr>
                <w:rFonts w:ascii="Garamond" w:hAnsi="Garamond"/>
                <w:color w:val="0D0D0D"/>
                <w:sz w:val="20"/>
                <w:szCs w:val="20"/>
                <w:lang w:val="en-GB"/>
              </w:rPr>
              <w:instrText>ADDIN CSL_CITATION {"citationItems":[{"id":"ITEM-1","itemData":{"DOI":"10.1088/1742-6596/1720/1/012018","ISSN":"1742-6588","abstract":"This article describes gifted children’s mathematical reasoning abilities. They have a natural talent that must be facilitated, namely reasoning. In mathematics, problem-based learning, project-based learning literacy and Inquiry are learning models commonly used. Mathematics learning can improve the ability of mathematical reasoning because children are required to think logically. The research method was quantitative with the randomized pretest-posttest control group design. This research was conducted in three special classes of gifted children. The results showed that the reasoning of gifted children who obtained problem-based learning was better than gifted children who received other learning. It was caused by activities that always present problems contextually with everyday life. Then, gifted children were still required to be problem solvers by conducting in-depth investigations and collaborating with friends. Gifted children who get project-based learning literacy have good mathematical reasoning skills. It was because gifted children were required to make literacy work oriented to the mathematical problems presented. Furthermore, gifted children who obtain inquiry learning have a middle ability. Gifted children were asked to find mathematical concepts so that learning is meaningful.","author":[{"dropping-particle":"","family":"Abidin","given":"Z.","non-dropping-particle":"","parse-names":false,"suffix":""},{"dropping-particle":"","family":"Sutama","given":"","non-dropping-particle":"","parse-names":false,"suffix":""},{"dropping-particle":"","family":"Herman","given":"T.","non-dropping-particle":"","parse-names":false,"suffix":""},{"dropping-particle":"","family":"Jupri","given":"A.","non-dropping-particle":"","parse-names":false,"suffix":""},{"dropping-particle":"","family":"Farokhah","given":"L.","non-dropping-particle":"","parse-names":false,"suffix":""},{"dropping-particle":"","family":"Apuanor","given":"","non-dropping-particle":"","parse-names":false,"suffix":""},{"dropping-particle":"","family":"Sonedi","given":"","non-dropping-particle":"","parse-names":false,"suffix":""}],"container-title":"Journal of Physics: Conference Series","id":"ITEM-1","issue":"1","issued":{"date-parts":[["2021","1","1"]]},"page":"012018","title":"Gifted Children’s Mathematical Reasoning Abilities on Problem-Based Learning and Project-Based Learning Literacy","type":"article-journal","volume":"1720"},"uris":["http://www.mendeley.com/documents/?uuid=58dd82fe-f56e-417f-b9d1-02a709e79de4"]}],"mendeley":{"formattedCitation":"(Abidin et al., 2021)","manualFormatting":"Abidin et al.,","plainTextFormattedCitation":"(Abidin et al., 2021)","previouslyFormattedCitation":"(Abidin et al., 2021)"},"properties":{"noteIndex":0},"schema":"https://github.com/citation-style-language/schema/raw/master/csl-citation.json"}</w:instrText>
            </w:r>
            <w:r>
              <w:rPr>
                <w:rFonts w:ascii="Garamond" w:hAnsi="Garamond"/>
                <w:color w:val="0D0D0D"/>
                <w:sz w:val="20"/>
                <w:szCs w:val="20"/>
                <w:lang w:val="en-GB"/>
              </w:rPr>
              <w:fldChar w:fldCharType="separate"/>
            </w:r>
            <w:r w:rsidRPr="009D124C">
              <w:rPr>
                <w:rFonts w:ascii="Garamond" w:hAnsi="Garamond"/>
                <w:noProof/>
                <w:color w:val="0D0D0D"/>
                <w:sz w:val="20"/>
                <w:szCs w:val="20"/>
                <w:lang w:val="en-GB"/>
              </w:rPr>
              <w:t>Abidin et al.,</w:t>
            </w:r>
            <w:r>
              <w:rPr>
                <w:rFonts w:ascii="Garamond" w:hAnsi="Garamond"/>
                <w:color w:val="0D0D0D"/>
                <w:sz w:val="20"/>
                <w:szCs w:val="20"/>
                <w:lang w:val="en-GB"/>
              </w:rPr>
              <w:fldChar w:fldCharType="end"/>
            </w:r>
          </w:p>
        </w:tc>
        <w:tc>
          <w:tcPr>
            <w:tcW w:w="35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00000"/>
                <w:sz w:val="20"/>
                <w:szCs w:val="20"/>
              </w:rPr>
            </w:pPr>
            <w:r w:rsidRPr="00B147D0">
              <w:rPr>
                <w:rFonts w:ascii="Garamond" w:hAnsi="Garamond"/>
                <w:color w:val="000000"/>
                <w:sz w:val="20"/>
                <w:szCs w:val="20"/>
              </w:rPr>
              <w:t>2021</w:t>
            </w:r>
          </w:p>
        </w:tc>
        <w:tc>
          <w:tcPr>
            <w:tcW w:w="34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24</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69,87</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9,90</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24</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57,15</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7,00</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-0,84</w:t>
            </w:r>
          </w:p>
        </w:tc>
        <w:tc>
          <w:tcPr>
            <w:tcW w:w="31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0,30</w:t>
            </w:r>
          </w:p>
        </w:tc>
      </w:tr>
      <w:tr w:rsidR="00D61C3D" w:rsidRPr="00802BD9" w:rsidTr="00D61C3D">
        <w:trPr>
          <w:trHeight w:val="68"/>
        </w:trPr>
        <w:tc>
          <w:tcPr>
            <w:tcW w:w="2033" w:type="pct"/>
            <w:tcBorders>
              <w:top w:val="nil"/>
              <w:bottom w:val="nil"/>
            </w:tcBorders>
            <w:vAlign w:val="center"/>
          </w:tcPr>
          <w:p w:rsidR="00D61C3D" w:rsidRPr="00B147D0" w:rsidRDefault="00D61C3D" w:rsidP="00D61C3D">
            <w:pPr>
              <w:spacing w:before="20" w:after="20"/>
              <w:ind w:left="-94" w:right="-94"/>
              <w:rPr>
                <w:rFonts w:ascii="Garamond" w:hAnsi="Garamond"/>
                <w:color w:val="0D0D0D"/>
                <w:sz w:val="20"/>
                <w:szCs w:val="20"/>
                <w:lang w:val="en-GB"/>
              </w:rPr>
            </w:pPr>
            <w:r>
              <w:rPr>
                <w:rFonts w:ascii="Garamond" w:hAnsi="Garamond"/>
                <w:color w:val="0D0D0D"/>
                <w:sz w:val="20"/>
                <w:szCs w:val="20"/>
                <w:lang w:val="en-GB"/>
              </w:rPr>
              <w:lastRenderedPageBreak/>
              <w:fldChar w:fldCharType="begin" w:fldLock="1"/>
            </w:r>
            <w:r>
              <w:rPr>
                <w:rFonts w:ascii="Garamond" w:hAnsi="Garamond"/>
                <w:color w:val="0D0D0D"/>
                <w:sz w:val="20"/>
                <w:szCs w:val="20"/>
                <w:lang w:val="en-GB"/>
              </w:rPr>
              <w:instrText>ADDIN CSL_CITATION {"citationItems":[{"id":"ITEM-1","itemData":{"DOI":"10.1088/1742-6596/1464/1/012015","ISSN":"1742-6588","abstract":"The Aim of this research was to evaluate the influence of Mobile-NOS model of learning application towards Students’ Understanding of the Nature of Science. In the form of pre-experimental research, this study has been carried out by pretest-posttest non-control group design. The research subjects consisted of 27 students participating in the Basic Chemistry II course in the chemical education program of IKIP Mataram academic year 2018-2019 collected by saturated sampling. The Nature of Science Data was obtained using the Understanding of Nature of Science questionnaire. Data were analyzed by paired sample t test. The results showed significant enhancement on students’ understanding of the nature of science after Mobile-NOS model of learning application. The value of t count (5.353) is greater than the t table (1.706) in the one-way hypothesis.","author":[{"dropping-particle":"","family":"Khery","given":"Y.","non-dropping-particle":"","parse-names":false,"suffix":""},{"dropping-particle":"","family":"Nufida","given":"Bq A.","non-dropping-particle":"","parse-names":false,"suffix":""},{"dropping-particle":"","family":"Suryati","given":"S.","non-dropping-particle":"","parse-names":false,"suffix":""},{"dropping-particle":"","family":"Rahayu","given":"S.","non-dropping-particle":"","parse-names":false,"suffix":""},{"dropping-particle":"","family":"Aini","given":"M.","non-dropping-particle":"","parse-names":false,"suffix":""}],"container-title":"Journal of Physics: Conference Series","id":"ITEM-1","issue":"1[1] Y. Khery, B. A. Nufida, S. Suryati, S. Rahayu, and M. Aini, “The Influence of Mobile-NOS Model of Learning towards Students Understanding on the Nature of Science,” J. Phys. Conf. Ser., vol. 1464, no. 1, p. 012015, Feb. 2020, doi: 10.1088/1742-6596/1","issued":{"date-parts":[["2020","2","1"]]},"page":"012015","title":"The Influence of Mobile-NOS Model of Learning towards Students Understanding on the Nature of Science","type":"article-journal","volume":"1464"},"uris":["http://www.mendeley.com/documents/?uuid=78c645f5-86c2-4271-85ec-320ae45b5b82"]}],"mendeley":{"formattedCitation":"(Khery et al., 2020)","manualFormatting":"Khery et al.,","plainTextFormattedCitation":"(Khery et al., 2020)","previouslyFormattedCitation":"(Khery et al., 2020)"},"properties":{"noteIndex":0},"schema":"https://github.com/citation-style-language/schema/raw/master/csl-citation.json"}</w:instrText>
            </w:r>
            <w:r>
              <w:rPr>
                <w:rFonts w:ascii="Garamond" w:hAnsi="Garamond"/>
                <w:color w:val="0D0D0D"/>
                <w:sz w:val="20"/>
                <w:szCs w:val="20"/>
                <w:lang w:val="en-GB"/>
              </w:rPr>
              <w:fldChar w:fldCharType="separate"/>
            </w:r>
            <w:r w:rsidRPr="009D124C">
              <w:rPr>
                <w:rFonts w:ascii="Garamond" w:hAnsi="Garamond"/>
                <w:noProof/>
                <w:color w:val="0D0D0D"/>
                <w:sz w:val="20"/>
                <w:szCs w:val="20"/>
                <w:lang w:val="en-GB"/>
              </w:rPr>
              <w:t>Khery et al.,</w:t>
            </w:r>
            <w:r>
              <w:rPr>
                <w:rFonts w:ascii="Garamond" w:hAnsi="Garamond"/>
                <w:color w:val="0D0D0D"/>
                <w:sz w:val="20"/>
                <w:szCs w:val="20"/>
                <w:lang w:val="en-GB"/>
              </w:rPr>
              <w:fldChar w:fldCharType="end"/>
            </w:r>
          </w:p>
        </w:tc>
        <w:tc>
          <w:tcPr>
            <w:tcW w:w="35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00000"/>
                <w:sz w:val="20"/>
                <w:szCs w:val="20"/>
              </w:rPr>
            </w:pPr>
            <w:r w:rsidRPr="00B147D0">
              <w:rPr>
                <w:rFonts w:ascii="Garamond" w:hAnsi="Garamond"/>
                <w:color w:val="000000"/>
                <w:sz w:val="20"/>
                <w:szCs w:val="20"/>
              </w:rPr>
              <w:t>2020</w:t>
            </w:r>
          </w:p>
        </w:tc>
        <w:tc>
          <w:tcPr>
            <w:tcW w:w="34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27</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66,19</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3,10</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27</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69,80</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4,35</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0,40</w:t>
            </w:r>
          </w:p>
        </w:tc>
        <w:tc>
          <w:tcPr>
            <w:tcW w:w="31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0,27</w:t>
            </w:r>
          </w:p>
        </w:tc>
      </w:tr>
      <w:tr w:rsidR="00D61C3D" w:rsidRPr="00802BD9" w:rsidTr="00D61C3D">
        <w:trPr>
          <w:trHeight w:val="68"/>
        </w:trPr>
        <w:tc>
          <w:tcPr>
            <w:tcW w:w="2033" w:type="pct"/>
            <w:tcBorders>
              <w:top w:val="nil"/>
              <w:bottom w:val="nil"/>
            </w:tcBorders>
            <w:vAlign w:val="center"/>
          </w:tcPr>
          <w:p w:rsidR="00D61C3D" w:rsidRPr="00EA0CEF" w:rsidRDefault="00D61C3D" w:rsidP="00D61C3D">
            <w:pPr>
              <w:spacing w:before="20" w:after="20"/>
              <w:ind w:left="-94" w:right="-94"/>
              <w:rPr>
                <w:rFonts w:ascii="Garamond" w:hAnsi="Garamond"/>
                <w:color w:val="000000"/>
                <w:sz w:val="20"/>
                <w:szCs w:val="20"/>
              </w:rPr>
            </w:pPr>
            <w:r>
              <w:rPr>
                <w:rFonts w:ascii="Garamond" w:hAnsi="Garamond"/>
                <w:color w:val="000000"/>
                <w:sz w:val="20"/>
                <w:szCs w:val="20"/>
              </w:rPr>
              <w:fldChar w:fldCharType="begin" w:fldLock="1"/>
            </w:r>
            <w:r>
              <w:rPr>
                <w:rFonts w:ascii="Garamond" w:hAnsi="Garamond"/>
                <w:color w:val="000000"/>
                <w:sz w:val="20"/>
                <w:szCs w:val="20"/>
              </w:rPr>
              <w:instrText>ADDIN CSL_CITATION {"citationItems":[{"id":"ITEM-1","itemData":{"DOI":"10.1088/1742-6596/1811/1/012132","ISSN":"1742-6588","abstract":"This study aims to determine (1) whether the science process skills of students who are taught with the scientific inquiry model are better than students who are taught using conventional learning, (2) whether the critical thinking skills of students who are taught with the scientific inquiry model are better than in students who are taught with conventional learning. This type of research is a quasi-experiment with two groups pretest-posttest design. Sampling was carried out by means of cluster random sampling by taking two classes from three classes, namely class XI IPA-3 as the experimental class, amounting to 30 people and class XI IPA-1 as the control class, amounting to 31 people. The instruments used were tests and non-tests in which science process skills were in the form of student worksheets and critical thinking skills were in the form of essay questions consisting of 5 validated questions. Hypothesis testing using different test (t-test). Based on the results of the study, it was concluded that: (1) the science process skills of students who were taught with the scientific inquiry model were better than those who were taught using conventional learning, (2) the critical thinking skills of students who were taught with the scientific inquiry model were better than in students who are taught with conventional learning.","author":[{"dropping-particle":"","family":"Purba","given":"Emelia Rosa","non-dropping-particle":"","parse-names":false,"suffix":""},{"dropping-particle":"","family":"Siregar","given":"Nurdin","non-dropping-particle":"","parse-names":false,"suffix":""},{"dropping-particle":"","family":"Sinulingga","given":"Karya","non-dropping-particle":"","parse-names":false,"suffix":""}],"container-title":"Journal of Physics: Conference Series","id":"ITEM-1","issue":"1","issued":{"date-parts":[["2021","3","1"]]},"page":"012132","title":"The Experiment of Heat Matter Based on Scientific Inquiry in Senior High School","type":"article-journal","volume":"1811"},"uris":["http://www.mendeley.com/documents/?uuid=54312326-dca8-4e95-b199-166238d52feb"]}],"mendeley":{"formattedCitation":"(Purba et al., 2021)","manualFormatting":"Purba et al.,","plainTextFormattedCitation":"(Purba et al., 2021)","previouslyFormattedCitation":"(Purba et al., 2021)"},"properties":{"noteIndex":0},"schema":"https://github.com/citation-style-language/schema/raw/master/csl-citation.json"}</w:instrText>
            </w:r>
            <w:r>
              <w:rPr>
                <w:rFonts w:ascii="Garamond" w:hAnsi="Garamond"/>
                <w:color w:val="000000"/>
                <w:sz w:val="20"/>
                <w:szCs w:val="20"/>
              </w:rPr>
              <w:fldChar w:fldCharType="separate"/>
            </w:r>
            <w:r w:rsidRPr="00EA0CEF">
              <w:rPr>
                <w:rFonts w:ascii="Garamond" w:hAnsi="Garamond"/>
                <w:noProof/>
                <w:color w:val="000000"/>
                <w:sz w:val="20"/>
                <w:szCs w:val="20"/>
              </w:rPr>
              <w:t>Purba et al.,</w:t>
            </w:r>
            <w:r>
              <w:rPr>
                <w:rFonts w:ascii="Garamond" w:hAnsi="Garamond"/>
                <w:color w:val="000000"/>
                <w:sz w:val="20"/>
                <w:szCs w:val="20"/>
              </w:rPr>
              <w:fldChar w:fldCharType="end"/>
            </w:r>
            <w:r>
              <w:rPr>
                <w:rFonts w:ascii="Garamond" w:hAnsi="Garamond"/>
                <w:color w:val="000000"/>
                <w:sz w:val="20"/>
                <w:szCs w:val="20"/>
              </w:rPr>
              <w:t xml:space="preserve"> </w:t>
            </w:r>
            <w:r w:rsidRPr="00B147D0">
              <w:rPr>
                <w:rFonts w:ascii="Garamond" w:hAnsi="Garamond"/>
                <w:color w:val="000000"/>
                <w:sz w:val="20"/>
                <w:szCs w:val="20"/>
              </w:rPr>
              <w:t>(Science Process Skills)</w:t>
            </w:r>
          </w:p>
        </w:tc>
        <w:tc>
          <w:tcPr>
            <w:tcW w:w="35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00000"/>
                <w:sz w:val="20"/>
                <w:szCs w:val="20"/>
              </w:rPr>
            </w:pPr>
            <w:r w:rsidRPr="00B147D0">
              <w:rPr>
                <w:rFonts w:ascii="Garamond" w:hAnsi="Garamond"/>
                <w:color w:val="000000"/>
                <w:sz w:val="20"/>
                <w:szCs w:val="20"/>
              </w:rPr>
              <w:t>2021</w:t>
            </w:r>
          </w:p>
        </w:tc>
        <w:tc>
          <w:tcPr>
            <w:tcW w:w="34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US"/>
              </w:rPr>
            </w:pPr>
            <w:r w:rsidRPr="00B147D0">
              <w:rPr>
                <w:rFonts w:ascii="Garamond" w:hAnsi="Garamond"/>
                <w:color w:val="000000"/>
                <w:sz w:val="20"/>
                <w:szCs w:val="20"/>
              </w:rPr>
              <w:t>31</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66,23</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4,92</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30</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73,00</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6,91</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0,55</w:t>
            </w:r>
          </w:p>
        </w:tc>
        <w:tc>
          <w:tcPr>
            <w:tcW w:w="31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0,26</w:t>
            </w:r>
          </w:p>
        </w:tc>
      </w:tr>
      <w:tr w:rsidR="00D61C3D" w:rsidRPr="00802BD9" w:rsidTr="00D61C3D">
        <w:trPr>
          <w:trHeight w:val="68"/>
        </w:trPr>
        <w:tc>
          <w:tcPr>
            <w:tcW w:w="2033" w:type="pct"/>
            <w:tcBorders>
              <w:top w:val="nil"/>
              <w:bottom w:val="nil"/>
            </w:tcBorders>
            <w:vAlign w:val="center"/>
          </w:tcPr>
          <w:p w:rsidR="00D61C3D" w:rsidRPr="00B147D0" w:rsidRDefault="00D61C3D" w:rsidP="00D61C3D">
            <w:pPr>
              <w:spacing w:before="20" w:after="20"/>
              <w:ind w:left="-94" w:right="-94"/>
              <w:rPr>
                <w:rFonts w:ascii="Garamond" w:hAnsi="Garamond"/>
                <w:color w:val="0D0D0D"/>
                <w:sz w:val="20"/>
                <w:szCs w:val="20"/>
                <w:lang w:val="en-GB"/>
              </w:rPr>
            </w:pPr>
            <w:r>
              <w:rPr>
                <w:rFonts w:ascii="Garamond" w:hAnsi="Garamond"/>
                <w:color w:val="000000"/>
                <w:sz w:val="20"/>
                <w:szCs w:val="20"/>
              </w:rPr>
              <w:fldChar w:fldCharType="begin" w:fldLock="1"/>
            </w:r>
            <w:r>
              <w:rPr>
                <w:rFonts w:ascii="Garamond" w:hAnsi="Garamond"/>
                <w:color w:val="000000"/>
                <w:sz w:val="20"/>
                <w:szCs w:val="20"/>
              </w:rPr>
              <w:instrText>ADDIN CSL_CITATION {"citationItems":[{"id":"ITEM-1","itemData":{"DOI":"10.1088/1742-6596/1811/1/012132","ISSN":"1742-6588","abstract":"This study aims to determine (1) whether the science process skills of students who are taught with the scientific inquiry model are better than students who are taught using conventional learning, (2) whether the critical thinking skills of students who are taught with the scientific inquiry model are better than in students who are taught with conventional learning. This type of research is a quasi-experiment with two groups pretest-posttest design. Sampling was carried out by means of cluster random sampling by taking two classes from three classes, namely class XI IPA-3 as the experimental class, amounting to 30 people and class XI IPA-1 as the control class, amounting to 31 people. The instruments used were tests and non-tests in which science process skills were in the form of student worksheets and critical thinking skills were in the form of essay questions consisting of 5 validated questions. Hypothesis testing using different test (t-test). Based on the results of the study, it was concluded that: (1) the science process skills of students who were taught with the scientific inquiry model were better than those who were taught using conventional learning, (2) the critical thinking skills of students who were taught with the scientific inquiry model were better than in students who are taught with conventional learning.","author":[{"dropping-particle":"","family":"Purba","given":"Emelia Rosa","non-dropping-particle":"","parse-names":false,"suffix":""},{"dropping-particle":"","family":"Siregar","given":"Nurdin","non-dropping-particle":"","parse-names":false,"suffix":""},{"dropping-particle":"","family":"Sinulingga","given":"Karya","non-dropping-particle":"","parse-names":false,"suffix":""}],"container-title":"Journal of Physics: Conference Series","id":"ITEM-1","issue":"1","issued":{"date-parts":[["2021","3","1"]]},"page":"012132","title":"The Experiment of Heat Matter Based on Scientific Inquiry in Senior High School","type":"article-journal","volume":"1811"},"uris":["http://www.mendeley.com/documents/?uuid=54312326-dca8-4e95-b199-166238d52feb"]}],"mendeley":{"formattedCitation":"(Purba et al., 2021)","manualFormatting":"Purba et al.,","plainTextFormattedCitation":"(Purba et al., 2021)","previouslyFormattedCitation":"(Purba et al., 2021)"},"properties":{"noteIndex":0},"schema":"https://github.com/citation-style-language/schema/raw/master/csl-citation.json"}</w:instrText>
            </w:r>
            <w:r>
              <w:rPr>
                <w:rFonts w:ascii="Garamond" w:hAnsi="Garamond"/>
                <w:color w:val="000000"/>
                <w:sz w:val="20"/>
                <w:szCs w:val="20"/>
              </w:rPr>
              <w:fldChar w:fldCharType="separate"/>
            </w:r>
            <w:r w:rsidRPr="00EA0CEF">
              <w:rPr>
                <w:rFonts w:ascii="Garamond" w:hAnsi="Garamond"/>
                <w:noProof/>
                <w:color w:val="000000"/>
                <w:sz w:val="20"/>
                <w:szCs w:val="20"/>
              </w:rPr>
              <w:t>Purba et al.,</w:t>
            </w:r>
            <w:r>
              <w:rPr>
                <w:rFonts w:ascii="Garamond" w:hAnsi="Garamond"/>
                <w:color w:val="000000"/>
                <w:sz w:val="20"/>
                <w:szCs w:val="20"/>
              </w:rPr>
              <w:fldChar w:fldCharType="end"/>
            </w:r>
            <w:r w:rsidRPr="00B147D0">
              <w:rPr>
                <w:rFonts w:ascii="Garamond" w:hAnsi="Garamond"/>
                <w:color w:val="000000"/>
                <w:sz w:val="20"/>
                <w:szCs w:val="20"/>
              </w:rPr>
              <w:t xml:space="preserve"> (Critical Thinking Skills)</w:t>
            </w:r>
          </w:p>
        </w:tc>
        <w:tc>
          <w:tcPr>
            <w:tcW w:w="35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00000"/>
                <w:sz w:val="20"/>
                <w:szCs w:val="20"/>
              </w:rPr>
            </w:pPr>
            <w:r w:rsidRPr="00B147D0">
              <w:rPr>
                <w:rFonts w:ascii="Garamond" w:hAnsi="Garamond"/>
                <w:color w:val="000000"/>
                <w:sz w:val="20"/>
                <w:szCs w:val="20"/>
              </w:rPr>
              <w:t>2021</w:t>
            </w:r>
          </w:p>
        </w:tc>
        <w:tc>
          <w:tcPr>
            <w:tcW w:w="34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31</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62,71</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13,20</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30</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71,22</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9,88</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0,43</w:t>
            </w:r>
          </w:p>
        </w:tc>
        <w:tc>
          <w:tcPr>
            <w:tcW w:w="31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0,26</w:t>
            </w:r>
          </w:p>
        </w:tc>
      </w:tr>
      <w:tr w:rsidR="00D61C3D" w:rsidRPr="00802BD9" w:rsidTr="00D61C3D">
        <w:trPr>
          <w:trHeight w:val="68"/>
        </w:trPr>
        <w:tc>
          <w:tcPr>
            <w:tcW w:w="2033" w:type="pct"/>
            <w:tcBorders>
              <w:top w:val="nil"/>
              <w:bottom w:val="nil"/>
            </w:tcBorders>
            <w:vAlign w:val="center"/>
          </w:tcPr>
          <w:p w:rsidR="00D61C3D" w:rsidRPr="00B147D0" w:rsidRDefault="00D61C3D" w:rsidP="00D61C3D">
            <w:pPr>
              <w:spacing w:before="20" w:after="20"/>
              <w:ind w:left="-94" w:right="-94"/>
              <w:rPr>
                <w:rFonts w:ascii="Garamond" w:hAnsi="Garamond"/>
                <w:color w:val="0D0D0D"/>
                <w:sz w:val="20"/>
                <w:szCs w:val="20"/>
                <w:lang w:val="en-GB"/>
              </w:rPr>
            </w:pPr>
            <w:r>
              <w:rPr>
                <w:rFonts w:ascii="Garamond" w:hAnsi="Garamond"/>
                <w:color w:val="0D0D0D"/>
                <w:sz w:val="20"/>
                <w:szCs w:val="20"/>
                <w:lang w:val="en-GB"/>
              </w:rPr>
              <w:fldChar w:fldCharType="begin" w:fldLock="1"/>
            </w:r>
            <w:r>
              <w:rPr>
                <w:rFonts w:ascii="Garamond" w:hAnsi="Garamond"/>
                <w:color w:val="0D0D0D"/>
                <w:sz w:val="20"/>
                <w:szCs w:val="20"/>
                <w:lang w:val="en-GB"/>
              </w:rPr>
              <w:instrText>ADDIN CSL_CITATION {"citationItems":[{"id":"ITEM-1","itemData":{"DOI":"10.1088/1742-6596/2309/1/012080","ISSN":"1742-6588","abstract":"Laboratory activities are must be implemented in high school physics learning so that learning is carried out contextually based on observation. The problem faced in high school physics learning is that the laboratory activities have not been optimally carried out with unsatisfactory learning outcomes. This study aims to determine the effect of integration of laboratory activities on the achievement of high school physics learning outcomes in class XI Adabiah High School Padang. The study was conducted for the concept of fluid in the form of quasy experimental research with the post test control only group design. The sampling technique used is cluster random sampling. The research data were in the form of an understanding of physical concepts which were captured using student worksheet and post test. The results showed that the average value of the experimental class was higher than the value of the control class. The result of regression analysis is 31% contributions of student worksheet to student outcomes from correlation between student worksheet score and post test. In conclusion, there is a significant influence of the application of laboratory activities on student learning outcomes","author":[{"dropping-particle":"","family":"Sharmila","given":"","non-dropping-particle":"","parse-names":false,"suffix":""},{"dropping-particle":"","family":"Putra","given":"Amali","non-dropping-particle":"","parse-names":false,"suffix":""},{"dropping-particle":"","family":"Islami","given":"Nur","non-dropping-particle":"","parse-names":false,"suffix":""},{"dropping-particle":"","family":"Putra","given":"Ahmad Dedi","non-dropping-particle":"","parse-names":false,"suffix":""}],"container-title":"Journal of Physics: Conference Series","id":"ITEM-1","issue":"1","issued":{"date-parts":[["2022","7","1"]]},"page":"012080","title":"Integration of Laboratory Activities and Contribution to Result of Learning Physics on The Concept of Fluid in High School Physics Learning","type":"article-journal","volume":"2309"},"uris":["http://www.mendeley.com/documents/?uuid=3a551455-85ba-4725-97b1-2b944b44c5d8"]}],"mendeley":{"formattedCitation":"(Sharmila et al., 2022)","manualFormatting":"Sharmila et al.,","plainTextFormattedCitation":"(Sharmila et al., 2022)","previouslyFormattedCitation":"(Sharmila et al., 2022)"},"properties":{"noteIndex":0},"schema":"https://github.com/citation-style-language/schema/raw/master/csl-citation.json"}</w:instrText>
            </w:r>
            <w:r>
              <w:rPr>
                <w:rFonts w:ascii="Garamond" w:hAnsi="Garamond"/>
                <w:color w:val="0D0D0D"/>
                <w:sz w:val="20"/>
                <w:szCs w:val="20"/>
                <w:lang w:val="en-GB"/>
              </w:rPr>
              <w:fldChar w:fldCharType="separate"/>
            </w:r>
            <w:r w:rsidRPr="009D124C">
              <w:rPr>
                <w:rFonts w:ascii="Garamond" w:hAnsi="Garamond"/>
                <w:noProof/>
                <w:color w:val="0D0D0D"/>
                <w:sz w:val="20"/>
                <w:szCs w:val="20"/>
                <w:lang w:val="en-GB"/>
              </w:rPr>
              <w:t>Sharmila et al.,</w:t>
            </w:r>
            <w:r>
              <w:rPr>
                <w:rFonts w:ascii="Garamond" w:hAnsi="Garamond"/>
                <w:color w:val="0D0D0D"/>
                <w:sz w:val="20"/>
                <w:szCs w:val="20"/>
                <w:lang w:val="en-GB"/>
              </w:rPr>
              <w:fldChar w:fldCharType="end"/>
            </w:r>
          </w:p>
        </w:tc>
        <w:tc>
          <w:tcPr>
            <w:tcW w:w="35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00000"/>
                <w:sz w:val="20"/>
                <w:szCs w:val="20"/>
              </w:rPr>
            </w:pPr>
            <w:r w:rsidRPr="00B147D0">
              <w:rPr>
                <w:rFonts w:ascii="Garamond" w:hAnsi="Garamond"/>
                <w:color w:val="000000"/>
                <w:sz w:val="20"/>
                <w:szCs w:val="20"/>
              </w:rPr>
              <w:t>2022</w:t>
            </w:r>
          </w:p>
        </w:tc>
        <w:tc>
          <w:tcPr>
            <w:tcW w:w="34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35</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63,20</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10,37</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35</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70,85</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10,00</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0,40</w:t>
            </w:r>
          </w:p>
        </w:tc>
        <w:tc>
          <w:tcPr>
            <w:tcW w:w="31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0,24</w:t>
            </w:r>
          </w:p>
        </w:tc>
      </w:tr>
      <w:tr w:rsidR="00D61C3D" w:rsidRPr="00802BD9" w:rsidTr="00D61C3D">
        <w:trPr>
          <w:trHeight w:val="68"/>
        </w:trPr>
        <w:tc>
          <w:tcPr>
            <w:tcW w:w="2033" w:type="pct"/>
            <w:tcBorders>
              <w:top w:val="nil"/>
              <w:bottom w:val="nil"/>
            </w:tcBorders>
            <w:vAlign w:val="center"/>
          </w:tcPr>
          <w:p w:rsidR="00D61C3D" w:rsidRPr="00B147D0" w:rsidRDefault="00D61C3D" w:rsidP="00D61C3D">
            <w:pPr>
              <w:spacing w:before="20" w:after="20"/>
              <w:ind w:left="-94" w:right="-94"/>
              <w:rPr>
                <w:rFonts w:ascii="Garamond" w:hAnsi="Garamond"/>
                <w:color w:val="0D0D0D"/>
                <w:sz w:val="20"/>
                <w:szCs w:val="20"/>
                <w:lang w:val="en-GB"/>
              </w:rPr>
            </w:pPr>
            <w:r>
              <w:rPr>
                <w:rFonts w:ascii="Garamond" w:hAnsi="Garamond"/>
                <w:color w:val="000000"/>
                <w:sz w:val="20"/>
                <w:szCs w:val="20"/>
              </w:rPr>
              <w:fldChar w:fldCharType="begin" w:fldLock="1"/>
            </w:r>
            <w:r>
              <w:rPr>
                <w:rFonts w:ascii="Garamond" w:hAnsi="Garamond"/>
                <w:color w:val="000000"/>
                <w:sz w:val="20"/>
                <w:szCs w:val="20"/>
              </w:rPr>
              <w:instrText>ADDIN CSL_CITATION {"citationItems":[{"id":"ITEM-1","itemData":{"DOI":"10.1088/1742-6596/1467/1/012008","ISSN":"1742-6588","abstract":"This study aims to see the effectiveness of the learning approaches toward scientific attitudes and conceptual understanding. The research method used was quasi-experimental research with a pretest-posttest control design. The scientific attitude data was obtained using a questionnaire while the conceptual understanding data was obtained through a test instrument in the form of a description item. The results of the study are (1) there are differences in scientific attitudes and students’ conceptual understanding taught using STEM learning approach and conventional learning, (2) there is a difference in conceptual understanding between students who were taught using the STEM learning approach and conventional learning, and (3) there are significant differences in scientific attitudes between students who were taught using the STEM learning approach and students who were taught using conventional learning.","author":[{"dropping-particle":"","family":"Thahir","given":"A.","non-dropping-particle":"","parse-names":false,"suffix":""},{"dropping-particle":"","family":"Anwar","given":"C.","non-dropping-particle":"","parse-names":false,"suffix":""},{"dropping-particle":"","family":"Saregar","given":"A.","non-dropping-particle":"","parse-names":false,"suffix":""},{"dropping-particle":"","family":"Choiriah","given":"L.","non-dropping-particle":"","parse-names":false,"suffix":""},{"dropping-particle":"","family":"Susanti","given":"F.","non-dropping-particle":"","parse-names":false,"suffix":""},{"dropping-particle":"","family":"Pricilia","given":"A.","non-dropping-particle":"","parse-names":false,"suffix":""}],"container-title":"Journal of Physics: Conference Series","id":"ITEM-1","issue":"1","issued":{"date-parts":[["2020","2","1"]]},"page":"012008","title":"The Effectiveness of STEM Learning: Scientific Attitudes and Students’ Conceptual Understanding","type":"article-journal","volume":"1467"},"uris":["http://www.mendeley.com/documents/?uuid=02e8270c-71f1-4820-82e6-e6a2bee4dbd1"]}],"mendeley":{"formattedCitation":"(Thahir et al., 2020)","manualFormatting":"Thahir et al.,","plainTextFormattedCitation":"(Thahir et al., 2020)","previouslyFormattedCitation":"(Thahir et al., 2020)"},"properties":{"noteIndex":0},"schema":"https://github.com/citation-style-language/schema/raw/master/csl-citation.json"}</w:instrText>
            </w:r>
            <w:r>
              <w:rPr>
                <w:rFonts w:ascii="Garamond" w:hAnsi="Garamond"/>
                <w:color w:val="000000"/>
                <w:sz w:val="20"/>
                <w:szCs w:val="20"/>
              </w:rPr>
              <w:fldChar w:fldCharType="separate"/>
            </w:r>
            <w:r w:rsidRPr="009D124C">
              <w:rPr>
                <w:rFonts w:ascii="Garamond" w:hAnsi="Garamond"/>
                <w:noProof/>
                <w:color w:val="000000"/>
                <w:sz w:val="20"/>
                <w:szCs w:val="20"/>
              </w:rPr>
              <w:t>Thahir et al.,</w:t>
            </w:r>
            <w:r>
              <w:rPr>
                <w:rFonts w:ascii="Garamond" w:hAnsi="Garamond"/>
                <w:color w:val="000000"/>
                <w:sz w:val="20"/>
                <w:szCs w:val="20"/>
              </w:rPr>
              <w:fldChar w:fldCharType="end"/>
            </w:r>
            <w:r w:rsidRPr="00B147D0">
              <w:rPr>
                <w:rFonts w:ascii="Garamond" w:hAnsi="Garamond"/>
                <w:color w:val="000000"/>
                <w:sz w:val="20"/>
                <w:szCs w:val="20"/>
              </w:rPr>
              <w:t xml:space="preserve"> (Scientific Attitude)</w:t>
            </w:r>
          </w:p>
        </w:tc>
        <w:tc>
          <w:tcPr>
            <w:tcW w:w="35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00000"/>
                <w:sz w:val="20"/>
                <w:szCs w:val="20"/>
              </w:rPr>
            </w:pPr>
            <w:r w:rsidRPr="00B147D0">
              <w:rPr>
                <w:rFonts w:ascii="Garamond" w:hAnsi="Garamond"/>
                <w:color w:val="000000"/>
                <w:sz w:val="20"/>
                <w:szCs w:val="20"/>
              </w:rPr>
              <w:t>2020</w:t>
            </w:r>
          </w:p>
        </w:tc>
        <w:tc>
          <w:tcPr>
            <w:tcW w:w="34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29</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74,00</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6,84</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29</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85,00</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10,73</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0,78</w:t>
            </w:r>
          </w:p>
        </w:tc>
        <w:tc>
          <w:tcPr>
            <w:tcW w:w="31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0,27</w:t>
            </w:r>
          </w:p>
        </w:tc>
      </w:tr>
      <w:tr w:rsidR="00D61C3D" w:rsidRPr="00802BD9" w:rsidTr="00D61C3D">
        <w:trPr>
          <w:trHeight w:val="68"/>
        </w:trPr>
        <w:tc>
          <w:tcPr>
            <w:tcW w:w="2033" w:type="pct"/>
            <w:tcBorders>
              <w:top w:val="nil"/>
              <w:bottom w:val="nil"/>
            </w:tcBorders>
            <w:vAlign w:val="center"/>
          </w:tcPr>
          <w:p w:rsidR="00D61C3D" w:rsidRPr="00B147D0" w:rsidRDefault="00D61C3D" w:rsidP="00D61C3D">
            <w:pPr>
              <w:spacing w:before="20" w:after="20"/>
              <w:ind w:left="-94" w:right="-94"/>
              <w:rPr>
                <w:rFonts w:ascii="Garamond" w:hAnsi="Garamond"/>
                <w:color w:val="0D0D0D"/>
                <w:sz w:val="20"/>
                <w:szCs w:val="20"/>
                <w:lang w:val="en-GB"/>
              </w:rPr>
            </w:pPr>
            <w:r>
              <w:rPr>
                <w:rFonts w:ascii="Garamond" w:hAnsi="Garamond"/>
                <w:color w:val="000000"/>
                <w:sz w:val="20"/>
                <w:szCs w:val="20"/>
              </w:rPr>
              <w:fldChar w:fldCharType="begin" w:fldLock="1"/>
            </w:r>
            <w:r>
              <w:rPr>
                <w:rFonts w:ascii="Garamond" w:hAnsi="Garamond"/>
                <w:color w:val="000000"/>
                <w:sz w:val="20"/>
                <w:szCs w:val="20"/>
              </w:rPr>
              <w:instrText>ADDIN CSL_CITATION {"citationItems":[{"id":"ITEM-1","itemData":{"DOI":"10.1088/1742-6596/1467/1/012008","ISSN":"1742-6588","abstract":"This study aims to see the effectiveness of the learning approaches toward scientific attitudes and conceptual understanding. The research method used was quasi-experimental research with a pretest-posttest control design. The scientific attitude data was obtained using a questionnaire while the conceptual understanding data was obtained through a test instrument in the form of a description item. The results of the study are (1) there are differences in scientific attitudes and students’ conceptual understanding taught using STEM learning approach and conventional learning, (2) there is a difference in conceptual understanding between students who were taught using the STEM learning approach and conventional learning, and (3) there are significant differences in scientific attitudes between students who were taught using the STEM learning approach and students who were taught using conventional learning.","author":[{"dropping-particle":"","family":"Thahir","given":"A.","non-dropping-particle":"","parse-names":false,"suffix":""},{"dropping-particle":"","family":"Anwar","given":"C.","non-dropping-particle":"","parse-names":false,"suffix":""},{"dropping-particle":"","family":"Saregar","given":"A.","non-dropping-particle":"","parse-names":false,"suffix":""},{"dropping-particle":"","family":"Choiriah","given":"L.","non-dropping-particle":"","parse-names":false,"suffix":""},{"dropping-particle":"","family":"Susanti","given":"F.","non-dropping-particle":"","parse-names":false,"suffix":""},{"dropping-particle":"","family":"Pricilia","given":"A.","non-dropping-particle":"","parse-names":false,"suffix":""}],"container-title":"Journal of Physics: Conference Series","id":"ITEM-1","issue":"1","issued":{"date-parts":[["2020","2","1"]]},"page":"012008","title":"The Effectiveness of STEM Learning: Scientific Attitudes and Students’ Conceptual Understanding","type":"article-journal","volume":"1467"},"uris":["http://www.mendeley.com/documents/?uuid=02e8270c-71f1-4820-82e6-e6a2bee4dbd1"]}],"mendeley":{"formattedCitation":"(Thahir et al., 2020)","manualFormatting":"Thahir et al.,","plainTextFormattedCitation":"(Thahir et al., 2020)","previouslyFormattedCitation":"(Thahir et al., 2020)"},"properties":{"noteIndex":0},"schema":"https://github.com/citation-style-language/schema/raw/master/csl-citation.json"}</w:instrText>
            </w:r>
            <w:r>
              <w:rPr>
                <w:rFonts w:ascii="Garamond" w:hAnsi="Garamond"/>
                <w:color w:val="000000"/>
                <w:sz w:val="20"/>
                <w:szCs w:val="20"/>
              </w:rPr>
              <w:fldChar w:fldCharType="separate"/>
            </w:r>
            <w:r w:rsidRPr="009D124C">
              <w:rPr>
                <w:rFonts w:ascii="Garamond" w:hAnsi="Garamond"/>
                <w:noProof/>
                <w:color w:val="000000"/>
                <w:sz w:val="20"/>
                <w:szCs w:val="20"/>
              </w:rPr>
              <w:t>Thahir et al.,</w:t>
            </w:r>
            <w:r>
              <w:rPr>
                <w:rFonts w:ascii="Garamond" w:hAnsi="Garamond"/>
                <w:color w:val="000000"/>
                <w:sz w:val="20"/>
                <w:szCs w:val="20"/>
              </w:rPr>
              <w:fldChar w:fldCharType="end"/>
            </w:r>
            <w:r>
              <w:rPr>
                <w:rFonts w:ascii="Garamond" w:hAnsi="Garamond"/>
                <w:color w:val="000000"/>
                <w:sz w:val="20"/>
                <w:szCs w:val="20"/>
              </w:rPr>
              <w:t xml:space="preserve"> </w:t>
            </w:r>
            <w:r w:rsidRPr="00B147D0">
              <w:rPr>
                <w:rFonts w:ascii="Garamond" w:hAnsi="Garamond"/>
                <w:color w:val="000000"/>
                <w:sz w:val="20"/>
                <w:szCs w:val="20"/>
              </w:rPr>
              <w:t>(Conceptual Understanding)</w:t>
            </w:r>
          </w:p>
        </w:tc>
        <w:tc>
          <w:tcPr>
            <w:tcW w:w="35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00000"/>
                <w:sz w:val="20"/>
                <w:szCs w:val="20"/>
              </w:rPr>
            </w:pPr>
            <w:r w:rsidRPr="00B147D0">
              <w:rPr>
                <w:rFonts w:ascii="Garamond" w:hAnsi="Garamond"/>
                <w:color w:val="000000"/>
                <w:sz w:val="20"/>
                <w:szCs w:val="20"/>
              </w:rPr>
              <w:t>2020</w:t>
            </w:r>
          </w:p>
        </w:tc>
        <w:tc>
          <w:tcPr>
            <w:tcW w:w="34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29</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65,00</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7,13</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29</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72,00</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9,06</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0,49</w:t>
            </w:r>
          </w:p>
        </w:tc>
        <w:tc>
          <w:tcPr>
            <w:tcW w:w="31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0,26</w:t>
            </w:r>
          </w:p>
        </w:tc>
      </w:tr>
      <w:tr w:rsidR="00D61C3D" w:rsidRPr="00802BD9" w:rsidTr="00D61C3D">
        <w:trPr>
          <w:trHeight w:val="68"/>
        </w:trPr>
        <w:tc>
          <w:tcPr>
            <w:tcW w:w="2033" w:type="pct"/>
            <w:tcBorders>
              <w:top w:val="nil"/>
              <w:bottom w:val="nil"/>
            </w:tcBorders>
            <w:vAlign w:val="center"/>
          </w:tcPr>
          <w:p w:rsidR="00D61C3D" w:rsidRPr="00B147D0" w:rsidRDefault="00D61C3D" w:rsidP="00D61C3D">
            <w:pPr>
              <w:spacing w:before="20" w:after="20"/>
              <w:ind w:left="-94" w:right="-94"/>
              <w:rPr>
                <w:rFonts w:ascii="Garamond" w:hAnsi="Garamond"/>
                <w:color w:val="0D0D0D"/>
                <w:sz w:val="20"/>
                <w:szCs w:val="20"/>
                <w:lang w:val="en-GB"/>
              </w:rPr>
            </w:pPr>
            <w:r>
              <w:rPr>
                <w:rFonts w:ascii="Garamond" w:hAnsi="Garamond"/>
                <w:color w:val="000000"/>
                <w:sz w:val="20"/>
                <w:szCs w:val="20"/>
              </w:rPr>
              <w:fldChar w:fldCharType="begin" w:fldLock="1"/>
            </w:r>
            <w:r>
              <w:rPr>
                <w:rFonts w:ascii="Garamond" w:hAnsi="Garamond"/>
                <w:color w:val="000000"/>
                <w:sz w:val="20"/>
                <w:szCs w:val="20"/>
              </w:rPr>
              <w:instrText>ADDIN CSL_CITATION {"citationItems":[{"id":"ITEM-1","itemData":{"DOI":"10.1088/1742-6596/1581/1/012036","ISSN":"1742-6588","abstract":"The learning process with scientific learning focuses on students’ abilities in observing, questioning, associating, experimenting, and communicating. This current study aimed to determine the effectiveness of scientific learning in terms of Problem Based Learning (PBL) and Guided Inquiry Learning (GIL) in improving students’ reflective thinking skills and self-efficacy. This research was an experimental study with the subject population of all eighth-grade students of junior high school in Bandar Lampung. The samples of the study were students from two selected schools representing high-rank schools and middle-rank schools. The sample was chosen by purposive random sampling technique. The research design is a pretest-posttest control group design. The data were obtained through mathematical reflective thinking skills test and self-efficacy scale. The data were analyzed quantitatively and qualitatively to obtain a comprehensive description of the impact of learning on improve in both skills. The results showed that (1) student’s mathematical reflective thinking skills in PBL and student’s mathematical reflective thinking skills in GIL were higher than student’s mathematical reflective thinking skills in conventional learning, (2) student’s self-efficacy in PBL and student’s self-efficacy in GIL were not different from student’s self-efficacy in conventional learning. Therefore, it can be concluded that scientific learning effective to improve students’ mathematical reflective thinking skills but it has not meaningful contributions to improving students’ self-efficacy.","author":[{"dropping-particle":"","family":"Noer","given":"S. H.","non-dropping-particle":"","parse-names":false,"suffix":""},{"dropping-particle":"","family":"Gunowibowo","given":"P.","non-dropping-particle":"","parse-names":false,"suffix":""},{"dropping-particle":"","family":"Triana","given":"M.","non-dropping-particle":"","parse-names":false,"suffix":""}],"container-title":"Journal of Physics: Conference Series","id":"ITEM-1","issue":"1","issued":{"date-parts":[["2020","7","1"]]},"page":"012036","title":"Improving students’ reflective thinking skills and self-efficacy through scientific learning","type":"article-journal","volume":"1581"},"uris":["http://www.mendeley.com/documents/?uuid=66d782a1-42ab-4175-8f76-757b80c313d7"]}],"mendeley":{"formattedCitation":"(Noer et al., 2020)","manualFormatting":"Noer et al.,","plainTextFormattedCitation":"(Noer et al., 2020)","previouslyFormattedCitation":"(Noer et al., 2020)"},"properties":{"noteIndex":0},"schema":"https://github.com/citation-style-language/schema/raw/master/csl-citation.json"}</w:instrText>
            </w:r>
            <w:r>
              <w:rPr>
                <w:rFonts w:ascii="Garamond" w:hAnsi="Garamond"/>
                <w:color w:val="000000"/>
                <w:sz w:val="20"/>
                <w:szCs w:val="20"/>
              </w:rPr>
              <w:fldChar w:fldCharType="separate"/>
            </w:r>
            <w:r w:rsidRPr="009D124C">
              <w:rPr>
                <w:rFonts w:ascii="Garamond" w:hAnsi="Garamond"/>
                <w:noProof/>
                <w:color w:val="000000"/>
                <w:sz w:val="20"/>
                <w:szCs w:val="20"/>
              </w:rPr>
              <w:t>Noer et al.,</w:t>
            </w:r>
            <w:r>
              <w:rPr>
                <w:rFonts w:ascii="Garamond" w:hAnsi="Garamond"/>
                <w:color w:val="000000"/>
                <w:sz w:val="20"/>
                <w:szCs w:val="20"/>
              </w:rPr>
              <w:fldChar w:fldCharType="end"/>
            </w:r>
            <w:r w:rsidRPr="00B147D0">
              <w:rPr>
                <w:rFonts w:ascii="Garamond" w:hAnsi="Garamond"/>
                <w:color w:val="000000"/>
                <w:sz w:val="20"/>
                <w:szCs w:val="20"/>
              </w:rPr>
              <w:t xml:space="preserve"> (Reflective Thinking Skills)</w:t>
            </w:r>
          </w:p>
        </w:tc>
        <w:tc>
          <w:tcPr>
            <w:tcW w:w="35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00000"/>
                <w:sz w:val="20"/>
                <w:szCs w:val="20"/>
              </w:rPr>
            </w:pPr>
            <w:r w:rsidRPr="00B147D0">
              <w:rPr>
                <w:rFonts w:ascii="Garamond" w:hAnsi="Garamond"/>
                <w:color w:val="000000"/>
                <w:sz w:val="20"/>
                <w:szCs w:val="20"/>
              </w:rPr>
              <w:t>2020</w:t>
            </w:r>
          </w:p>
        </w:tc>
        <w:tc>
          <w:tcPr>
            <w:tcW w:w="34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28</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19,71</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7,79</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28</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25,50</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8,98</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0,40</w:t>
            </w:r>
          </w:p>
        </w:tc>
        <w:tc>
          <w:tcPr>
            <w:tcW w:w="31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0,27</w:t>
            </w:r>
          </w:p>
        </w:tc>
      </w:tr>
      <w:tr w:rsidR="00D61C3D" w:rsidRPr="00802BD9" w:rsidTr="00D61C3D">
        <w:trPr>
          <w:trHeight w:val="114"/>
        </w:trPr>
        <w:tc>
          <w:tcPr>
            <w:tcW w:w="2033" w:type="pct"/>
            <w:tcBorders>
              <w:top w:val="nil"/>
              <w:bottom w:val="nil"/>
            </w:tcBorders>
            <w:vAlign w:val="center"/>
          </w:tcPr>
          <w:p w:rsidR="00D61C3D" w:rsidRPr="00B147D0" w:rsidRDefault="00D61C3D" w:rsidP="00D61C3D">
            <w:pPr>
              <w:spacing w:before="20" w:after="20"/>
              <w:ind w:left="-94" w:right="-94"/>
              <w:rPr>
                <w:rFonts w:ascii="Garamond" w:hAnsi="Garamond"/>
                <w:color w:val="0D0D0D"/>
                <w:sz w:val="20"/>
                <w:szCs w:val="20"/>
                <w:lang w:val="en-GB"/>
              </w:rPr>
            </w:pPr>
            <w:r>
              <w:rPr>
                <w:rFonts w:ascii="Garamond" w:hAnsi="Garamond"/>
                <w:color w:val="000000"/>
                <w:sz w:val="20"/>
                <w:szCs w:val="20"/>
              </w:rPr>
              <w:fldChar w:fldCharType="begin" w:fldLock="1"/>
            </w:r>
            <w:r>
              <w:rPr>
                <w:rFonts w:ascii="Garamond" w:hAnsi="Garamond"/>
                <w:color w:val="000000"/>
                <w:sz w:val="20"/>
                <w:szCs w:val="20"/>
              </w:rPr>
              <w:instrText>ADDIN CSL_CITATION {"citationItems":[{"id":"ITEM-1","itemData":{"DOI":"10.1088/1742-6596/1581/1/012036","ISSN":"1742-6588","abstract":"The learning process with scientific learning focuses on students’ abilities in observing, questioning, associating, experimenting, and communicating. This current study aimed to determine the effectiveness of scientific learning in terms of Problem Based Learning (PBL) and Guided Inquiry Learning (GIL) in improving students’ reflective thinking skills and self-efficacy. This research was an experimental study with the subject population of all eighth-grade students of junior high school in Bandar Lampung. The samples of the study were students from two selected schools representing high-rank schools and middle-rank schools. The sample was chosen by purposive random sampling technique. The research design is a pretest-posttest control group design. The data were obtained through mathematical reflective thinking skills test and self-efficacy scale. The data were analyzed quantitatively and qualitatively to obtain a comprehensive description of the impact of learning on improve in both skills. The results showed that (1) student’s mathematical reflective thinking skills in PBL and student’s mathematical reflective thinking skills in GIL were higher than student’s mathematical reflective thinking skills in conventional learning, (2) student’s self-efficacy in PBL and student’s self-efficacy in GIL were not different from student’s self-efficacy in conventional learning. Therefore, it can be concluded that scientific learning effective to improve students’ mathematical reflective thinking skills but it has not meaningful contributions to improving students’ self-efficacy.","author":[{"dropping-particle":"","family":"Noer","given":"S. H.","non-dropping-particle":"","parse-names":false,"suffix":""},{"dropping-particle":"","family":"Gunowibowo","given":"P.","non-dropping-particle":"","parse-names":false,"suffix":""},{"dropping-particle":"","family":"Triana","given":"M.","non-dropping-particle":"","parse-names":false,"suffix":""}],"container-title":"Journal of Physics: Conference Series","id":"ITEM-1","issue":"1","issued":{"date-parts":[["2020","7","1"]]},"page":"012036","title":"Improving students’ reflective thinking skills and self-efficacy through scientific learning","type":"article-journal","volume":"1581"},"uris":["http://www.mendeley.com/documents/?uuid=66d782a1-42ab-4175-8f76-757b80c313d7"]}],"mendeley":{"formattedCitation":"(Noer et al., 2020)","manualFormatting":"Noer et al.,","plainTextFormattedCitation":"(Noer et al., 2020)","previouslyFormattedCitation":"(Noer et al., 2020)"},"properties":{"noteIndex":0},"schema":"https://github.com/citation-style-language/schema/raw/master/csl-citation.json"}</w:instrText>
            </w:r>
            <w:r>
              <w:rPr>
                <w:rFonts w:ascii="Garamond" w:hAnsi="Garamond"/>
                <w:color w:val="000000"/>
                <w:sz w:val="20"/>
                <w:szCs w:val="20"/>
              </w:rPr>
              <w:fldChar w:fldCharType="separate"/>
            </w:r>
            <w:r w:rsidRPr="009D124C">
              <w:rPr>
                <w:rFonts w:ascii="Garamond" w:hAnsi="Garamond"/>
                <w:noProof/>
                <w:color w:val="000000"/>
                <w:sz w:val="20"/>
                <w:szCs w:val="20"/>
              </w:rPr>
              <w:t>Noer et al.,</w:t>
            </w:r>
            <w:r>
              <w:rPr>
                <w:rFonts w:ascii="Garamond" w:hAnsi="Garamond"/>
                <w:color w:val="000000"/>
                <w:sz w:val="20"/>
                <w:szCs w:val="20"/>
              </w:rPr>
              <w:fldChar w:fldCharType="end"/>
            </w:r>
            <w:r w:rsidRPr="00B147D0">
              <w:rPr>
                <w:rFonts w:ascii="Garamond" w:hAnsi="Garamond"/>
                <w:color w:val="000000"/>
                <w:sz w:val="20"/>
                <w:szCs w:val="20"/>
              </w:rPr>
              <w:t xml:space="preserve"> (Self-Efficacy)</w:t>
            </w:r>
          </w:p>
        </w:tc>
        <w:tc>
          <w:tcPr>
            <w:tcW w:w="35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00000"/>
                <w:sz w:val="20"/>
                <w:szCs w:val="20"/>
              </w:rPr>
            </w:pPr>
            <w:r w:rsidRPr="00B147D0">
              <w:rPr>
                <w:rFonts w:ascii="Garamond" w:hAnsi="Garamond"/>
                <w:color w:val="000000"/>
                <w:sz w:val="20"/>
                <w:szCs w:val="20"/>
              </w:rPr>
              <w:t>2020</w:t>
            </w:r>
          </w:p>
        </w:tc>
        <w:tc>
          <w:tcPr>
            <w:tcW w:w="34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28</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86,00</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9,08</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28</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87,54</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8,51</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0,10</w:t>
            </w:r>
          </w:p>
        </w:tc>
        <w:tc>
          <w:tcPr>
            <w:tcW w:w="31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0,27</w:t>
            </w:r>
          </w:p>
        </w:tc>
      </w:tr>
      <w:tr w:rsidR="00D61C3D" w:rsidRPr="00802BD9" w:rsidTr="00D61C3D">
        <w:trPr>
          <w:trHeight w:val="246"/>
        </w:trPr>
        <w:tc>
          <w:tcPr>
            <w:tcW w:w="2033" w:type="pct"/>
            <w:tcBorders>
              <w:top w:val="nil"/>
              <w:bottom w:val="nil"/>
            </w:tcBorders>
            <w:vAlign w:val="center"/>
          </w:tcPr>
          <w:p w:rsidR="00D61C3D" w:rsidRPr="00B147D0" w:rsidRDefault="00D61C3D" w:rsidP="00D61C3D">
            <w:pPr>
              <w:spacing w:before="20" w:after="20"/>
              <w:ind w:left="-94" w:right="-94"/>
              <w:rPr>
                <w:rFonts w:ascii="Garamond" w:hAnsi="Garamond"/>
                <w:color w:val="0D0D0D"/>
                <w:sz w:val="20"/>
                <w:szCs w:val="20"/>
                <w:lang w:val="en-GB"/>
              </w:rPr>
            </w:pPr>
            <w:r>
              <w:rPr>
                <w:rFonts w:ascii="Garamond" w:hAnsi="Garamond"/>
                <w:color w:val="0D0D0D"/>
                <w:sz w:val="20"/>
                <w:szCs w:val="20"/>
                <w:lang w:val="en-GB"/>
              </w:rPr>
              <w:fldChar w:fldCharType="begin" w:fldLock="1"/>
            </w:r>
            <w:r>
              <w:rPr>
                <w:rFonts w:ascii="Garamond" w:hAnsi="Garamond"/>
                <w:color w:val="0D0D0D"/>
                <w:sz w:val="20"/>
                <w:szCs w:val="20"/>
                <w:lang w:val="en-GB"/>
              </w:rPr>
              <w:instrText>ADDIN CSL_CITATION {"citationItems":[{"id":"ITEM-1","itemData":{"DOI":"10.1088/1742-6596/1465/1/012065","ISSN":"1742-6588","abstract":"Learning materials are the important thing that will support teaching and learning process at school. The existence of a good learning materials will help the students to understand the given subject matter. Mathematics is a subject matter which has a higher level of difficulty than other subjects. So teacher needs the right learning materials when delivering the material. a method that can be used to improve student’s understanding related to mathematics learning material, especially the subject of two dimensional is inquiry-based learning. This method emphasize the active participation of students to understand the material provided. Implementing this method in learning materials are expected to develop student’s critical thinking skills. Type of this research is mixed method research which combining qualitative and quantitative method. Quantitative methods are used to analyze the types of interval data on student learning outcomes while qualitative methods are used to analyze ordinal data types of student’s critical thinking skills. Respondents of this research consisted of one control class and one experimental class consisting of 30 students at 4 th grade class in Sawaran Kulon 02 Lumajang Elementary School. Based on the experiment result, control class was obtained 65% of interpretation, 65% of analysis, 59% of evaluation and 52% of inference. Meanwhile, the experimental class was obtained 75% of interpretation, 75% of analysis, 69% of evaluation and 82% of inference. The t-test result of independent sample shows that there is a significant difference between control class and experimental class with a sig (2-tailed) value of 0.00 (p = &lt;0.05). It can be concluded that the implementation of learning materials using inquiry-based learning method can improve the critical thinking of elementary school students.","author":[{"dropping-particle":"","family":"Wijaya","given":"A M Y","non-dropping-particle":"","parse-names":false,"suffix":""},{"dropping-particle":"","family":"Hobri","given":"","non-dropping-particle":"","parse-names":false,"suffix":""},{"dropping-particle":"","family":"Prastiti","given":"T. D.","non-dropping-particle":"","parse-names":false,"suffix":""},{"dropping-particle":"","family":"Dafik","given":"","non-dropping-particle":"","parse-names":false,"suffix":""},{"dropping-particle":"","family":"Suratno","given":"","non-dropping-particle":"","parse-names":false,"suffix":""}],"container-title":"Journal of Physics: Conference Series","id":"ITEM-1","issue":"1","issued":{"date-parts":[["2020","2","1"]]},"page":"012065","title":"The analysis of learning materials implementation using inquiry based learning method to enhance student’s critical thinking skills in solving two dimensional problem","type":"article-journal","volume":"1465"},"uris":["http://www.mendeley.com/documents/?uuid=8df6e736-7a37-4798-a261-1bcb8b10bbaf"]}],"mendeley":{"formattedCitation":"(Wijaya et al., 2020)","manualFormatting":"Wijaya et al.,","plainTextFormattedCitation":"(Wijaya et al., 2020)","previouslyFormattedCitation":"(Wijaya et al., 2020)"},"properties":{"noteIndex":0},"schema":"https://github.com/citation-style-language/schema/raw/master/csl-citation.json"}</w:instrText>
            </w:r>
            <w:r>
              <w:rPr>
                <w:rFonts w:ascii="Garamond" w:hAnsi="Garamond"/>
                <w:color w:val="0D0D0D"/>
                <w:sz w:val="20"/>
                <w:szCs w:val="20"/>
                <w:lang w:val="en-GB"/>
              </w:rPr>
              <w:fldChar w:fldCharType="separate"/>
            </w:r>
            <w:r w:rsidRPr="009D124C">
              <w:rPr>
                <w:rFonts w:ascii="Garamond" w:hAnsi="Garamond"/>
                <w:noProof/>
                <w:color w:val="0D0D0D"/>
                <w:sz w:val="20"/>
                <w:szCs w:val="20"/>
                <w:lang w:val="en-GB"/>
              </w:rPr>
              <w:t>Wijaya et al.,</w:t>
            </w:r>
            <w:r>
              <w:rPr>
                <w:rFonts w:ascii="Garamond" w:hAnsi="Garamond"/>
                <w:color w:val="0D0D0D"/>
                <w:sz w:val="20"/>
                <w:szCs w:val="20"/>
                <w:lang w:val="en-GB"/>
              </w:rPr>
              <w:fldChar w:fldCharType="end"/>
            </w:r>
          </w:p>
        </w:tc>
        <w:tc>
          <w:tcPr>
            <w:tcW w:w="35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00000"/>
                <w:sz w:val="20"/>
                <w:szCs w:val="20"/>
              </w:rPr>
            </w:pPr>
            <w:r w:rsidRPr="00B147D0">
              <w:rPr>
                <w:rFonts w:ascii="Garamond" w:hAnsi="Garamond"/>
                <w:color w:val="000000"/>
                <w:sz w:val="20"/>
                <w:szCs w:val="20"/>
              </w:rPr>
              <w:t>2020</w:t>
            </w:r>
          </w:p>
        </w:tc>
        <w:tc>
          <w:tcPr>
            <w:tcW w:w="34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30</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65,33</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8,29</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30</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74,60</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5,84</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0,59</w:t>
            </w:r>
          </w:p>
        </w:tc>
        <w:tc>
          <w:tcPr>
            <w:tcW w:w="31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0,26</w:t>
            </w:r>
          </w:p>
        </w:tc>
      </w:tr>
      <w:tr w:rsidR="00D61C3D" w:rsidRPr="00802BD9" w:rsidTr="00D61C3D">
        <w:trPr>
          <w:trHeight w:val="80"/>
        </w:trPr>
        <w:tc>
          <w:tcPr>
            <w:tcW w:w="2033" w:type="pct"/>
            <w:tcBorders>
              <w:top w:val="nil"/>
              <w:bottom w:val="nil"/>
            </w:tcBorders>
            <w:vAlign w:val="center"/>
          </w:tcPr>
          <w:p w:rsidR="00D61C3D" w:rsidRPr="00B147D0" w:rsidRDefault="00D61C3D" w:rsidP="00D61C3D">
            <w:pPr>
              <w:spacing w:before="20" w:after="20"/>
              <w:ind w:left="-94" w:right="-94"/>
              <w:rPr>
                <w:rFonts w:ascii="Garamond" w:hAnsi="Garamond"/>
                <w:color w:val="0D0D0D"/>
                <w:sz w:val="20"/>
                <w:szCs w:val="20"/>
                <w:lang w:val="en-GB"/>
              </w:rPr>
            </w:pPr>
            <w:r>
              <w:rPr>
                <w:rFonts w:ascii="Garamond" w:hAnsi="Garamond"/>
                <w:color w:val="0D0D0D"/>
                <w:sz w:val="20"/>
                <w:szCs w:val="20"/>
                <w:lang w:val="en-GB"/>
              </w:rPr>
              <w:fldChar w:fldCharType="begin" w:fldLock="1"/>
            </w:r>
            <w:r>
              <w:rPr>
                <w:rFonts w:ascii="Garamond" w:hAnsi="Garamond"/>
                <w:color w:val="0D0D0D"/>
                <w:sz w:val="20"/>
                <w:szCs w:val="20"/>
                <w:lang w:val="en-GB"/>
              </w:rPr>
              <w:instrText>ADDIN CSL_CITATION {"citationItems":[{"id":"ITEM-1","itemData":{"DOI":"10.1088/1742-6596/1816/1/012094","ISSN":"1742-6588","abstract":"This study aimed to produce physics learning tools based on inquiry that are valid, practical, and effective to improve students’ creative thinking skills on heat material. This study is a developmental research using the 4D (define, design, develop, disseminate) model. Learning tools in the form of syllabus, lesson plan, student activity sheets, student textbooks, and test instruments were validated by 2 experts before being implemented on 22 students. The research data were collected using instruments of validation, observation, questionnaires, and tests which were then analyzed descriptively and statistically. The results showed that the learning tools produced was valid in terms of content and construct, was practical based on the implementation of learning and student responses, and was effective in improving students’ creative thinking skills. Research findings based on indicators of creative thinking skills such as fluency, flexibility, originality, and elaboration are also described in this paper.","author":[{"dropping-particle":"","family":"Asy’ari","given":"M","non-dropping-particle":"","parse-names":false,"suffix":""},{"dropping-particle":"","family":"Prayogi","given":"S.","non-dropping-particle":"","parse-names":false,"suffix":""},{"dropping-particle":"","family":"Mirawati","given":"B.","non-dropping-particle":"","parse-names":false,"suffix":""},{"dropping-particle":"","family":"Syarifuddin","given":"","non-dropping-particle":"","parse-names":false,"suffix":""},{"dropping-particle":"","family":"Hunaepi","given":"","non-dropping-particle":"","parse-names":false,"suffix":""},{"dropping-particle":"","family":"Syahrir","given":"","non-dropping-particle":"","parse-names":false,"suffix":""},{"dropping-particle":"","family":"Suhirman","given":"","non-dropping-particle":"","parse-names":false,"suffix":""}],"container-title":"Journal of Physics: Conference Series","id":"ITEM-1","issue":"1","issued":{"date-parts":[["2021","2","1"]]},"page":"012094","title":"Development of physics learning tools based on inquiry to increase creative thinking skills","type":"article-journal","volume":"1816"},"uris":["http://www.mendeley.com/documents/?uuid=111267e5-95e8-458c-8339-ab2db239ae72"]}],"mendeley":{"formattedCitation":"(Asy’ari et al., 2021)","manualFormatting":"Asy’ari et al.,","plainTextFormattedCitation":"(Asy’ari et al., 2021)","previouslyFormattedCitation":"(Asy’ari et al., 2021)"},"properties":{"noteIndex":0},"schema":"https://github.com/citation-style-language/schema/raw/master/csl-citation.json"}</w:instrText>
            </w:r>
            <w:r>
              <w:rPr>
                <w:rFonts w:ascii="Garamond" w:hAnsi="Garamond"/>
                <w:color w:val="0D0D0D"/>
                <w:sz w:val="20"/>
                <w:szCs w:val="20"/>
                <w:lang w:val="en-GB"/>
              </w:rPr>
              <w:fldChar w:fldCharType="separate"/>
            </w:r>
            <w:r w:rsidRPr="009D124C">
              <w:rPr>
                <w:rFonts w:ascii="Garamond" w:hAnsi="Garamond"/>
                <w:noProof/>
                <w:color w:val="0D0D0D"/>
                <w:sz w:val="20"/>
                <w:szCs w:val="20"/>
                <w:lang w:val="en-GB"/>
              </w:rPr>
              <w:t>Asy’ari et al.,</w:t>
            </w:r>
            <w:r>
              <w:rPr>
                <w:rFonts w:ascii="Garamond" w:hAnsi="Garamond"/>
                <w:color w:val="0D0D0D"/>
                <w:sz w:val="20"/>
                <w:szCs w:val="20"/>
                <w:lang w:val="en-GB"/>
              </w:rPr>
              <w:fldChar w:fldCharType="end"/>
            </w:r>
          </w:p>
        </w:tc>
        <w:tc>
          <w:tcPr>
            <w:tcW w:w="35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00000"/>
                <w:sz w:val="20"/>
                <w:szCs w:val="20"/>
              </w:rPr>
            </w:pPr>
            <w:r w:rsidRPr="00B147D0">
              <w:rPr>
                <w:rFonts w:ascii="Garamond" w:hAnsi="Garamond"/>
                <w:color w:val="000000"/>
                <w:sz w:val="20"/>
                <w:szCs w:val="20"/>
              </w:rPr>
              <w:t>2021</w:t>
            </w:r>
          </w:p>
        </w:tc>
        <w:tc>
          <w:tcPr>
            <w:tcW w:w="34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22</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2,14</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0,50</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22</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3,36</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0,53</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0,37</w:t>
            </w:r>
          </w:p>
        </w:tc>
        <w:tc>
          <w:tcPr>
            <w:tcW w:w="31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0,30</w:t>
            </w:r>
          </w:p>
        </w:tc>
      </w:tr>
      <w:tr w:rsidR="00D61C3D" w:rsidRPr="00802BD9" w:rsidTr="00D61C3D">
        <w:trPr>
          <w:trHeight w:val="80"/>
        </w:trPr>
        <w:tc>
          <w:tcPr>
            <w:tcW w:w="2033" w:type="pct"/>
            <w:tcBorders>
              <w:top w:val="nil"/>
              <w:bottom w:val="nil"/>
            </w:tcBorders>
            <w:vAlign w:val="center"/>
          </w:tcPr>
          <w:p w:rsidR="00D61C3D" w:rsidRPr="00B147D0" w:rsidRDefault="00D61C3D" w:rsidP="00D61C3D">
            <w:pPr>
              <w:spacing w:before="20" w:after="20"/>
              <w:ind w:left="-94" w:right="-94"/>
              <w:rPr>
                <w:rFonts w:ascii="Garamond" w:hAnsi="Garamond"/>
                <w:color w:val="0D0D0D"/>
                <w:sz w:val="20"/>
                <w:szCs w:val="20"/>
                <w:lang w:val="en-GB"/>
              </w:rPr>
            </w:pPr>
            <w:r>
              <w:rPr>
                <w:rFonts w:ascii="Garamond" w:hAnsi="Garamond"/>
                <w:color w:val="0D0D0D"/>
                <w:sz w:val="20"/>
                <w:szCs w:val="20"/>
                <w:lang w:val="en-GB"/>
              </w:rPr>
              <w:fldChar w:fldCharType="begin" w:fldLock="1"/>
            </w:r>
            <w:r>
              <w:rPr>
                <w:rFonts w:ascii="Garamond" w:hAnsi="Garamond"/>
                <w:color w:val="0D0D0D"/>
                <w:sz w:val="20"/>
                <w:szCs w:val="20"/>
                <w:lang w:val="en-GB"/>
              </w:rPr>
              <w:instrText>ADDIN CSL_CITATION {"citationItems":[{"id":"ITEM-1","itemData":{"DOI":"10.1088/1742-6596/1819/1/012009","ISSN":"1742-6588","abstract":"Indonesian National Qualification Framework requisite on students’ scientific process skill in analytical chemistry courses is difficult to be satisfied since the content is loaded with calculation and applicative discovery. Overcoming this challenge, investigative study of guided inquiry-based learning with creative thingking ability towards students’ scientific process skill in analytical chemistry courses was done. The implementation was done towards 56 pre-service chemistry teachers. As comparison, conventional learning model was done towards 26 pre-service chemistry teachers using th same courses. The effectivenes was measured using pre and post-test which consisted of fifteen valid and reliable essay items. For statistical analysis of variance (ANOVA) was used and resulted students’ scientific process skill which taught by using guided inquiry-based learning is better than conventional class, especially for upper group of creative thingking ability with average of postest in experimental class is 31.11 meanwhile control class is 18.08 from maximum score is 39. The interaction between learning model with creative thingking model and students’scientific process skill was significant with probability 0.04 lower than selected alpha 0.05. According to these results, innovation of guided inquiry-based learning with creative thingking ability is recommended to improve students’ scientific process skill especially for chemistry courses.","author":[{"dropping-particle":"","family":"Juniar","given":"Anna","non-dropping-particle":"","parse-names":false,"suffix":""},{"dropping-particle":"","family":"Silalahi","given":"Albinus","non-dropping-particle":"","parse-names":false,"suffix":""},{"dropping-particle":"","family":"Suyanti","given":"Retno Dwi","non-dropping-particle":"","parse-names":false,"suffix":""}],"container-title":"Journal of Physics: Conference Series","id":"ITEM-1","issue":"1","issued":{"date-parts":[["2021","3","1"]]},"page":"012009","title":"The Effect of Guided Inquiry-based Learning with Creative Thingking Ability towards Students’ Scientific Process Skill in Analytical Chemistry Courses","type":"article-journal","volume":"1819"},"uris":["http://www.mendeley.com/documents/?uuid=ce595c7e-ebcf-48b1-8893-e40f140037a8"]}],"mendeley":{"formattedCitation":"(Juniar, Silalahi, et al., 2021)","manualFormatting":"Juniar, Silalahi, et al.,","plainTextFormattedCitation":"(Juniar, Silalahi, et al., 2021)","previouslyFormattedCitation":"(Juniar, Silalahi, et al., 2021)"},"properties":{"noteIndex":0},"schema":"https://github.com/citation-style-language/schema/raw/master/csl-citation.json"}</w:instrText>
            </w:r>
            <w:r>
              <w:rPr>
                <w:rFonts w:ascii="Garamond" w:hAnsi="Garamond"/>
                <w:color w:val="0D0D0D"/>
                <w:sz w:val="20"/>
                <w:szCs w:val="20"/>
                <w:lang w:val="en-GB"/>
              </w:rPr>
              <w:fldChar w:fldCharType="separate"/>
            </w:r>
            <w:r w:rsidRPr="009D124C">
              <w:rPr>
                <w:rFonts w:ascii="Garamond" w:hAnsi="Garamond"/>
                <w:noProof/>
                <w:color w:val="0D0D0D"/>
                <w:sz w:val="20"/>
                <w:szCs w:val="20"/>
                <w:lang w:val="en-GB"/>
              </w:rPr>
              <w:t>Juniar, Silalahi, et al.,</w:t>
            </w:r>
            <w:r>
              <w:rPr>
                <w:rFonts w:ascii="Garamond" w:hAnsi="Garamond"/>
                <w:color w:val="0D0D0D"/>
                <w:sz w:val="20"/>
                <w:szCs w:val="20"/>
                <w:lang w:val="en-GB"/>
              </w:rPr>
              <w:fldChar w:fldCharType="end"/>
            </w:r>
          </w:p>
        </w:tc>
        <w:tc>
          <w:tcPr>
            <w:tcW w:w="35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00000"/>
                <w:sz w:val="20"/>
                <w:szCs w:val="20"/>
              </w:rPr>
            </w:pPr>
            <w:r w:rsidRPr="00B147D0">
              <w:rPr>
                <w:rFonts w:ascii="Garamond" w:hAnsi="Garamond"/>
                <w:color w:val="000000"/>
                <w:sz w:val="20"/>
                <w:szCs w:val="20"/>
              </w:rPr>
              <w:t>2021</w:t>
            </w:r>
          </w:p>
        </w:tc>
        <w:tc>
          <w:tcPr>
            <w:tcW w:w="34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26</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18,08</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3,33</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56</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31,11</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2,32</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1,41</w:t>
            </w:r>
          </w:p>
        </w:tc>
        <w:tc>
          <w:tcPr>
            <w:tcW w:w="31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0,26</w:t>
            </w:r>
          </w:p>
        </w:tc>
      </w:tr>
      <w:tr w:rsidR="00D61C3D" w:rsidRPr="00802BD9" w:rsidTr="00D61C3D">
        <w:trPr>
          <w:trHeight w:val="80"/>
        </w:trPr>
        <w:tc>
          <w:tcPr>
            <w:tcW w:w="2033" w:type="pct"/>
            <w:tcBorders>
              <w:top w:val="nil"/>
              <w:bottom w:val="nil"/>
            </w:tcBorders>
            <w:vAlign w:val="center"/>
          </w:tcPr>
          <w:p w:rsidR="00D61C3D" w:rsidRPr="00B147D0" w:rsidRDefault="00D61C3D" w:rsidP="00D61C3D">
            <w:pPr>
              <w:spacing w:before="20" w:after="20"/>
              <w:ind w:left="-94" w:right="-94"/>
              <w:rPr>
                <w:rFonts w:ascii="Garamond" w:hAnsi="Garamond"/>
                <w:color w:val="0D0D0D"/>
                <w:sz w:val="20"/>
                <w:szCs w:val="20"/>
                <w:lang w:val="en-GB"/>
              </w:rPr>
            </w:pPr>
            <w:r>
              <w:rPr>
                <w:rFonts w:ascii="Garamond" w:hAnsi="Garamond"/>
                <w:color w:val="000000"/>
                <w:sz w:val="20"/>
                <w:szCs w:val="20"/>
              </w:rPr>
              <w:fldChar w:fldCharType="begin" w:fldLock="1"/>
            </w:r>
            <w:r>
              <w:rPr>
                <w:rFonts w:ascii="Garamond" w:hAnsi="Garamond"/>
                <w:color w:val="000000"/>
                <w:sz w:val="20"/>
                <w:szCs w:val="20"/>
              </w:rPr>
              <w:instrText>ADDIN CSL_CITATION {"citationItems":[{"id":"ITEM-1","itemData":{"DOI":"10.1088/1742-6596/1481/1/012132","ISSN":"1742-6588","abstract":"The enhancement of critical thinking skills (CTS) is one of the learning targets of universities. Although research on enhancing CTS has been achieved, the improvement of CTS through physics instruction is still becoming a problem. This study attempts to find out the integration of conceptual scaffolding to group investigation (GI) and its influence on students’ CTS. This mixed-method research used an explanatory design by involving 59 students in the Fundamental Physics III course in the Department of Physics, State University of Malang. The experimental group received treatment of conceptual scaffolding in GI, whereas the control group received conventional instruction. The instrument used was the prior knowledge test consisting of 17 multiple-choice items (Cronbach Alpha = 0.72) and the tests of CTS consisting of 11 essay items (Cronbach Alpha = 0.67), interview guidelines, and think-aloud protocol. The results of the study show that there are no differences in CTS between the experimental group and the control group. However, for the low prior-knowledge students, CTS of students who use conceptual scaffolding in GI higher than that of students who study with conventional instruction. Low prior-knowledge students who use scaffolding in the GI can use high-level strategies and exhibit more focused actions in solving problems.","author":[{"dropping-particle":"","family":"Koes-H","given":"S","non-dropping-particle":"","parse-names":false,"suffix":""},{"dropping-particle":"","family":"Pradana","given":"S D S","non-dropping-particle":"","parse-names":false,"suffix":""},{"dropping-particle":"","family":"Suwasono","given":"P.","non-dropping-particle":"","parse-names":false,"suffix":""}],"container-title":"Journal of Physics: Conference Series","id":"ITEM-1","issue":"1","issued":{"date-parts":[["2020","3","1"]]},"page":"012132","title":"Integration conceptual scaffolding in the group investigation: its influence on students’ critical thinking skills","type":"article-journal","volume":"1481"},"uris":["http://www.mendeley.com/documents/?uuid=f834edbc-6a23-49f8-b6a0-8540228306fe"]}],"mendeley":{"formattedCitation":"(Koes-H et al., 2020)","manualFormatting":"Koes-H et al.,","plainTextFormattedCitation":"(Koes-H et al., 2020)","previouslyFormattedCitation":"(Koes-H et al., 2020)"},"properties":{"noteIndex":0},"schema":"https://github.com/citation-style-language/schema/raw/master/csl-citation.json"}</w:instrText>
            </w:r>
            <w:r>
              <w:rPr>
                <w:rFonts w:ascii="Garamond" w:hAnsi="Garamond"/>
                <w:color w:val="000000"/>
                <w:sz w:val="20"/>
                <w:szCs w:val="20"/>
              </w:rPr>
              <w:fldChar w:fldCharType="separate"/>
            </w:r>
            <w:r w:rsidRPr="009D124C">
              <w:rPr>
                <w:rFonts w:ascii="Garamond" w:hAnsi="Garamond"/>
                <w:noProof/>
                <w:color w:val="000000"/>
                <w:sz w:val="20"/>
                <w:szCs w:val="20"/>
              </w:rPr>
              <w:t>Koes-H et al.,</w:t>
            </w:r>
            <w:r>
              <w:rPr>
                <w:rFonts w:ascii="Garamond" w:hAnsi="Garamond"/>
                <w:color w:val="000000"/>
                <w:sz w:val="20"/>
                <w:szCs w:val="20"/>
              </w:rPr>
              <w:fldChar w:fldCharType="end"/>
            </w:r>
            <w:r w:rsidRPr="00B147D0">
              <w:rPr>
                <w:rFonts w:ascii="Garamond" w:hAnsi="Garamond"/>
                <w:color w:val="000000"/>
                <w:sz w:val="20"/>
                <w:szCs w:val="20"/>
              </w:rPr>
              <w:t xml:space="preserve"> (Prior Knowledge)</w:t>
            </w:r>
          </w:p>
        </w:tc>
        <w:tc>
          <w:tcPr>
            <w:tcW w:w="35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00000"/>
                <w:sz w:val="20"/>
                <w:szCs w:val="20"/>
              </w:rPr>
            </w:pPr>
            <w:r w:rsidRPr="00B147D0">
              <w:rPr>
                <w:rFonts w:ascii="Garamond" w:hAnsi="Garamond"/>
                <w:color w:val="000000"/>
                <w:sz w:val="20"/>
                <w:szCs w:val="20"/>
              </w:rPr>
              <w:t>2020</w:t>
            </w:r>
          </w:p>
        </w:tc>
        <w:tc>
          <w:tcPr>
            <w:tcW w:w="34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29</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45,03</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16,73</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30</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42,35</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15,78</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-0,12</w:t>
            </w:r>
          </w:p>
        </w:tc>
        <w:tc>
          <w:tcPr>
            <w:tcW w:w="31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0,26</w:t>
            </w:r>
          </w:p>
        </w:tc>
      </w:tr>
      <w:tr w:rsidR="00D61C3D" w:rsidRPr="00802BD9" w:rsidTr="00D61C3D">
        <w:trPr>
          <w:trHeight w:val="80"/>
        </w:trPr>
        <w:tc>
          <w:tcPr>
            <w:tcW w:w="2033" w:type="pct"/>
            <w:tcBorders>
              <w:top w:val="nil"/>
              <w:bottom w:val="nil"/>
            </w:tcBorders>
            <w:vAlign w:val="center"/>
          </w:tcPr>
          <w:p w:rsidR="00D61C3D" w:rsidRPr="00B147D0" w:rsidRDefault="00D61C3D" w:rsidP="00D61C3D">
            <w:pPr>
              <w:spacing w:before="20" w:after="20"/>
              <w:ind w:left="-94" w:right="-94"/>
              <w:rPr>
                <w:rFonts w:ascii="Garamond" w:hAnsi="Garamond"/>
                <w:color w:val="0D0D0D"/>
                <w:sz w:val="20"/>
                <w:szCs w:val="20"/>
                <w:lang w:val="en-GB"/>
              </w:rPr>
            </w:pPr>
            <w:r>
              <w:rPr>
                <w:rFonts w:ascii="Garamond" w:hAnsi="Garamond"/>
                <w:color w:val="000000"/>
                <w:sz w:val="20"/>
                <w:szCs w:val="20"/>
              </w:rPr>
              <w:fldChar w:fldCharType="begin" w:fldLock="1"/>
            </w:r>
            <w:r>
              <w:rPr>
                <w:rFonts w:ascii="Garamond" w:hAnsi="Garamond"/>
                <w:color w:val="000000"/>
                <w:sz w:val="20"/>
                <w:szCs w:val="20"/>
              </w:rPr>
              <w:instrText>ADDIN CSL_CITATION {"citationItems":[{"id":"ITEM-1","itemData":{"DOI":"10.1088/1742-6596/1481/1/012132","ISSN":"1742-6588","abstract":"The enhancement of critical thinking skills (CTS) is one of the learning targets of universities. Although research on enhancing CTS has been achieved, the improvement of CTS through physics instruction is still becoming a problem. This study attempts to find out the integration of conceptual scaffolding to group investigation (GI) and its influence on students’ CTS. This mixed-method research used an explanatory design by involving 59 students in the Fundamental Physics III course in the Department of Physics, State University of Malang. The experimental group received treatment of conceptual scaffolding in GI, whereas the control group received conventional instruction. The instrument used was the prior knowledge test consisting of 17 multiple-choice items (Cronbach Alpha = 0.72) and the tests of CTS consisting of 11 essay items (Cronbach Alpha = 0.67), interview guidelines, and think-aloud protocol. The results of the study show that there are no differences in CTS between the experimental group and the control group. However, for the low prior-knowledge students, CTS of students who use conceptual scaffolding in GI higher than that of students who study with conventional instruction. Low prior-knowledge students who use scaffolding in the GI can use high-level strategies and exhibit more focused actions in solving problems.","author":[{"dropping-particle":"","family":"Koes-H","given":"S","non-dropping-particle":"","parse-names":false,"suffix":""},{"dropping-particle":"","family":"Pradana","given":"S D S","non-dropping-particle":"","parse-names":false,"suffix":""},{"dropping-particle":"","family":"Suwasono","given":"P.","non-dropping-particle":"","parse-names":false,"suffix":""}],"container-title":"Journal of Physics: Conference Series","id":"ITEM-1","issue":"1","issued":{"date-parts":[["2020","3","1"]]},"page":"012132","title":"Integration conceptual scaffolding in the group investigation: its influence on students’ critical thinking skills","type":"article-journal","volume":"1481"},"uris":["http://www.mendeley.com/documents/?uuid=f834edbc-6a23-49f8-b6a0-8540228306fe"]}],"mendeley":{"formattedCitation":"(Koes-H et al., 2020)","manualFormatting":"Koes-H et al.,","plainTextFormattedCitation":"(Koes-H et al., 2020)","previouslyFormattedCitation":"(Koes-H et al., 2020)"},"properties":{"noteIndex":0},"schema":"https://github.com/citation-style-language/schema/raw/master/csl-citation.json"}</w:instrText>
            </w:r>
            <w:r>
              <w:rPr>
                <w:rFonts w:ascii="Garamond" w:hAnsi="Garamond"/>
                <w:color w:val="000000"/>
                <w:sz w:val="20"/>
                <w:szCs w:val="20"/>
              </w:rPr>
              <w:fldChar w:fldCharType="separate"/>
            </w:r>
            <w:r w:rsidRPr="009D124C">
              <w:rPr>
                <w:rFonts w:ascii="Garamond" w:hAnsi="Garamond"/>
                <w:noProof/>
                <w:color w:val="000000"/>
                <w:sz w:val="20"/>
                <w:szCs w:val="20"/>
              </w:rPr>
              <w:t>Koes-H et al.,</w:t>
            </w:r>
            <w:r>
              <w:rPr>
                <w:rFonts w:ascii="Garamond" w:hAnsi="Garamond"/>
                <w:color w:val="000000"/>
                <w:sz w:val="20"/>
                <w:szCs w:val="20"/>
              </w:rPr>
              <w:fldChar w:fldCharType="end"/>
            </w:r>
            <w:r>
              <w:rPr>
                <w:rFonts w:ascii="Garamond" w:hAnsi="Garamond"/>
                <w:color w:val="000000"/>
                <w:sz w:val="20"/>
                <w:szCs w:val="20"/>
              </w:rPr>
              <w:t xml:space="preserve"> </w:t>
            </w:r>
            <w:r w:rsidRPr="00B147D0">
              <w:rPr>
                <w:rFonts w:ascii="Garamond" w:hAnsi="Garamond"/>
                <w:color w:val="000000"/>
                <w:sz w:val="20"/>
                <w:szCs w:val="20"/>
              </w:rPr>
              <w:t>(Critical Thinking Skills)</w:t>
            </w:r>
          </w:p>
        </w:tc>
        <w:tc>
          <w:tcPr>
            <w:tcW w:w="35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00000"/>
                <w:sz w:val="20"/>
                <w:szCs w:val="20"/>
              </w:rPr>
            </w:pPr>
            <w:r w:rsidRPr="00B147D0">
              <w:rPr>
                <w:rFonts w:ascii="Garamond" w:hAnsi="Garamond"/>
                <w:color w:val="000000"/>
                <w:sz w:val="20"/>
                <w:szCs w:val="20"/>
              </w:rPr>
              <w:t>2020</w:t>
            </w:r>
          </w:p>
        </w:tc>
        <w:tc>
          <w:tcPr>
            <w:tcW w:w="34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29</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27,77</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11,69</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30</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29,12</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9,56</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0,07</w:t>
            </w:r>
          </w:p>
        </w:tc>
        <w:tc>
          <w:tcPr>
            <w:tcW w:w="31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0,26</w:t>
            </w:r>
          </w:p>
        </w:tc>
      </w:tr>
      <w:tr w:rsidR="00D61C3D" w:rsidRPr="00802BD9" w:rsidTr="00D61C3D">
        <w:trPr>
          <w:trHeight w:val="80"/>
        </w:trPr>
        <w:tc>
          <w:tcPr>
            <w:tcW w:w="2033" w:type="pct"/>
            <w:tcBorders>
              <w:top w:val="nil"/>
              <w:bottom w:val="nil"/>
            </w:tcBorders>
            <w:vAlign w:val="center"/>
          </w:tcPr>
          <w:p w:rsidR="00D61C3D" w:rsidRPr="00B147D0" w:rsidRDefault="00D61C3D" w:rsidP="00D61C3D">
            <w:pPr>
              <w:spacing w:before="20" w:after="20"/>
              <w:ind w:left="-94" w:right="-94"/>
              <w:rPr>
                <w:rFonts w:ascii="Garamond" w:hAnsi="Garamond"/>
                <w:color w:val="0D0D0D"/>
                <w:sz w:val="20"/>
                <w:szCs w:val="20"/>
                <w:lang w:val="en-GB"/>
              </w:rPr>
            </w:pPr>
            <w:r>
              <w:rPr>
                <w:rFonts w:ascii="Garamond" w:hAnsi="Garamond"/>
                <w:color w:val="0D0D0D"/>
                <w:sz w:val="20"/>
                <w:szCs w:val="20"/>
                <w:lang w:val="en-GB"/>
              </w:rPr>
              <w:fldChar w:fldCharType="begin" w:fldLock="1"/>
            </w:r>
            <w:r>
              <w:rPr>
                <w:rFonts w:ascii="Garamond" w:hAnsi="Garamond"/>
                <w:color w:val="0D0D0D"/>
                <w:sz w:val="20"/>
                <w:szCs w:val="20"/>
                <w:lang w:val="en-GB"/>
              </w:rPr>
              <w:instrText>ADDIN CSL_CITATION {"citationItems":[{"id":"ITEM-1","itemData":{"DOI":"10.1088/1742-6596/1594/1/012015","ISSN":"1742-6588","abstract":"The development of scientific literacy skills were the main purpose of science education. The curriculum 2013 has suggested scientific approach as the alternative instruction to foster students’ scientific literacy. This goal of this study was to examine the effect of scientific approach on scientific literacy of students. The data was collected through pre-test and post-test arranged based on three indicators of scientific literacy, namely scientific reasoning, scientific investigation, and problem solving. The tests were administered to 34 students and the results were analyzed using the normalized gain score (N-gain). The findings informed that scientific approach has a medium effect on scientific literacy. In addition, the dominant indicator of scientific literacy was scientific reasoning. This valuable information could be used by the teacher as a reference to develop the students’ scientific literacy through scientific approach.","author":[{"dropping-particle":"","family":"Shofiyah","given":"Noly","non-dropping-particle":"","parse-names":false,"suffix":""},{"dropping-particle":"","family":"Afrilia","given":"Iftita","non-dropping-particle":"","parse-names":false,"suffix":""},{"dropping-particle":"","family":"Wulandari","given":"Fitria Eka","non-dropping-particle":"","parse-names":false,"suffix":""}],"container-title":"Journal of Physics: Conference Series","id":"ITEM-1","issue":"1","issued":{"date-parts":[["2020","7","1"]]},"page":"012015","title":"Scientific Approach and The Effect on Students Scientific Literacy","type":"article-journal","volume":"1594"},"uris":["http://www.mendeley.com/documents/?uuid=04db0820-57bd-4f3a-81bc-4f000775669a"]}],"mendeley":{"formattedCitation":"(Shofiyah et al., 2020)","manualFormatting":"Shofiyah et al.,","plainTextFormattedCitation":"(Shofiyah et al., 2020)","previouslyFormattedCitation":"(Shofiyah et al., 2020)"},"properties":{"noteIndex":0},"schema":"https://github.com/citation-style-language/schema/raw/master/csl-citation.json"}</w:instrText>
            </w:r>
            <w:r>
              <w:rPr>
                <w:rFonts w:ascii="Garamond" w:hAnsi="Garamond"/>
                <w:color w:val="0D0D0D"/>
                <w:sz w:val="20"/>
                <w:szCs w:val="20"/>
                <w:lang w:val="en-GB"/>
              </w:rPr>
              <w:fldChar w:fldCharType="separate"/>
            </w:r>
            <w:r w:rsidRPr="009D124C">
              <w:rPr>
                <w:rFonts w:ascii="Garamond" w:hAnsi="Garamond"/>
                <w:noProof/>
                <w:color w:val="0D0D0D"/>
                <w:sz w:val="20"/>
                <w:szCs w:val="20"/>
                <w:lang w:val="en-GB"/>
              </w:rPr>
              <w:t>Shofiyah et al.,</w:t>
            </w:r>
            <w:r>
              <w:rPr>
                <w:rFonts w:ascii="Garamond" w:hAnsi="Garamond"/>
                <w:color w:val="0D0D0D"/>
                <w:sz w:val="20"/>
                <w:szCs w:val="20"/>
                <w:lang w:val="en-GB"/>
              </w:rPr>
              <w:fldChar w:fldCharType="end"/>
            </w:r>
          </w:p>
        </w:tc>
        <w:tc>
          <w:tcPr>
            <w:tcW w:w="35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00000"/>
                <w:sz w:val="20"/>
                <w:szCs w:val="20"/>
              </w:rPr>
            </w:pPr>
            <w:r w:rsidRPr="00B147D0">
              <w:rPr>
                <w:rFonts w:ascii="Garamond" w:hAnsi="Garamond"/>
                <w:color w:val="000000"/>
                <w:sz w:val="20"/>
                <w:szCs w:val="20"/>
              </w:rPr>
              <w:t>2020</w:t>
            </w:r>
          </w:p>
        </w:tc>
        <w:tc>
          <w:tcPr>
            <w:tcW w:w="34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34</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42,00</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6,21</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34</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63,47</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7,74</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1,49</w:t>
            </w:r>
          </w:p>
        </w:tc>
        <w:tc>
          <w:tcPr>
            <w:tcW w:w="31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0,27</w:t>
            </w:r>
          </w:p>
        </w:tc>
      </w:tr>
      <w:tr w:rsidR="00D61C3D" w:rsidRPr="00802BD9" w:rsidTr="00D61C3D">
        <w:trPr>
          <w:trHeight w:val="80"/>
        </w:trPr>
        <w:tc>
          <w:tcPr>
            <w:tcW w:w="2033" w:type="pct"/>
            <w:tcBorders>
              <w:top w:val="nil"/>
              <w:bottom w:val="nil"/>
            </w:tcBorders>
            <w:vAlign w:val="center"/>
          </w:tcPr>
          <w:p w:rsidR="00D61C3D" w:rsidRPr="00B147D0" w:rsidRDefault="00D61C3D" w:rsidP="00D61C3D">
            <w:pPr>
              <w:spacing w:before="20" w:after="20"/>
              <w:ind w:left="-94" w:right="-94"/>
              <w:rPr>
                <w:rFonts w:ascii="Garamond" w:hAnsi="Garamond"/>
                <w:color w:val="0D0D0D"/>
                <w:sz w:val="20"/>
                <w:szCs w:val="20"/>
                <w:lang w:val="en-GB"/>
              </w:rPr>
            </w:pPr>
            <w:r>
              <w:rPr>
                <w:rFonts w:ascii="Garamond" w:hAnsi="Garamond"/>
                <w:color w:val="0D0D0D"/>
                <w:sz w:val="20"/>
                <w:szCs w:val="20"/>
                <w:lang w:val="en-GB"/>
              </w:rPr>
              <w:fldChar w:fldCharType="begin" w:fldLock="1"/>
            </w:r>
            <w:r>
              <w:rPr>
                <w:rFonts w:ascii="Garamond" w:hAnsi="Garamond"/>
                <w:color w:val="0D0D0D"/>
                <w:sz w:val="20"/>
                <w:szCs w:val="20"/>
                <w:lang w:val="en-GB"/>
              </w:rPr>
              <w:instrText>ADDIN CSL_CITATION {"citationItems":[{"id":"ITEM-1","itemData":{"DOI":"10.1088/1742-6596/2727/1/012029","ISBN":"0000000345","ISSN":"1742-6588","abstract":"This study explored the pedagogical beliefs held by South African physics teachers towards inquiry approaches. A significant curriculum goal of school science in most countries is for learning to happen through inquiry. A similar goal is expressed in the South African school science curriculum. The findings of a quantitative survey that was administered to 166 teachers showed that teachers reported having a predominantly constructivist pedagogical belief suggesting a tendency to facilitate students’ construct of knowledge through their experiential learning. To a lesser extent, teachers exhibited a traditionalist belief that is teacher-directed and lends itself to transmission of knowledge. In investigating the relationship between pedagogical beliefs and orientation towards inquiry-based teaching, it was found that teachers who have a constructivist belief favour guided inquiry and open inquiry. Teacher who possess a traditionalist beliefs have a tendency for direct epistemic approaches such as didactic direct or active direct.","author":[{"dropping-particle":"","family":"Ramnarain","given":"Umesh","non-dropping-particle":"","parse-names":false,"suffix":""}],"container-title":"Journal of Physics: Conference Series","id":"ITEM-1","issue":"1","issued":{"date-parts":[["2024","3","1"]]},"page":"012029","title":"Pedagogical beliefs of South African physics teachers for inquiry approaches","type":"article-journal","volume":"2727"},"uris":["http://www.mendeley.com/documents/?uuid=ec83197e-5b8b-43e3-8eda-6524797fd523"]}],"mendeley":{"formattedCitation":"(Ramnarain, 2024)","manualFormatting":"Ramnarain,","plainTextFormattedCitation":"(Ramnarain, 2024)","previouslyFormattedCitation":"(Ramnarain, 2024)"},"properties":{"noteIndex":0},"schema":"https://github.com/citation-style-language/schema/raw/master/csl-citation.json"}</w:instrText>
            </w:r>
            <w:r>
              <w:rPr>
                <w:rFonts w:ascii="Garamond" w:hAnsi="Garamond"/>
                <w:color w:val="0D0D0D"/>
                <w:sz w:val="20"/>
                <w:szCs w:val="20"/>
                <w:lang w:val="en-GB"/>
              </w:rPr>
              <w:fldChar w:fldCharType="separate"/>
            </w:r>
            <w:r w:rsidRPr="009D124C">
              <w:rPr>
                <w:rFonts w:ascii="Garamond" w:hAnsi="Garamond"/>
                <w:noProof/>
                <w:color w:val="0D0D0D"/>
                <w:sz w:val="20"/>
                <w:szCs w:val="20"/>
                <w:lang w:val="en-GB"/>
              </w:rPr>
              <w:t>Ramnarain,</w:t>
            </w:r>
            <w:r>
              <w:rPr>
                <w:rFonts w:ascii="Garamond" w:hAnsi="Garamond"/>
                <w:color w:val="0D0D0D"/>
                <w:sz w:val="20"/>
                <w:szCs w:val="20"/>
                <w:lang w:val="en-GB"/>
              </w:rPr>
              <w:fldChar w:fldCharType="end"/>
            </w:r>
          </w:p>
        </w:tc>
        <w:tc>
          <w:tcPr>
            <w:tcW w:w="35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00000"/>
                <w:sz w:val="20"/>
                <w:szCs w:val="20"/>
              </w:rPr>
            </w:pPr>
            <w:r w:rsidRPr="00B147D0">
              <w:rPr>
                <w:rFonts w:ascii="Garamond" w:hAnsi="Garamond"/>
                <w:color w:val="000000"/>
                <w:sz w:val="20"/>
                <w:szCs w:val="20"/>
              </w:rPr>
              <w:t>2024</w:t>
            </w:r>
          </w:p>
        </w:tc>
        <w:tc>
          <w:tcPr>
            <w:tcW w:w="34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166</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2,05</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0,33</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166</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3,41</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0,45</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0,18</w:t>
            </w:r>
          </w:p>
        </w:tc>
        <w:tc>
          <w:tcPr>
            <w:tcW w:w="31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0,11</w:t>
            </w:r>
          </w:p>
        </w:tc>
      </w:tr>
      <w:tr w:rsidR="00D61C3D" w:rsidRPr="00802BD9" w:rsidTr="00D61C3D">
        <w:trPr>
          <w:trHeight w:val="80"/>
        </w:trPr>
        <w:tc>
          <w:tcPr>
            <w:tcW w:w="2033" w:type="pct"/>
            <w:tcBorders>
              <w:top w:val="nil"/>
              <w:bottom w:val="nil"/>
            </w:tcBorders>
            <w:vAlign w:val="center"/>
          </w:tcPr>
          <w:p w:rsidR="00D61C3D" w:rsidRPr="00B147D0" w:rsidRDefault="00D61C3D" w:rsidP="00D61C3D">
            <w:pPr>
              <w:spacing w:before="20" w:after="20"/>
              <w:ind w:left="-94" w:right="-94"/>
              <w:rPr>
                <w:rFonts w:ascii="Garamond" w:hAnsi="Garamond"/>
                <w:color w:val="0D0D0D"/>
                <w:sz w:val="20"/>
                <w:szCs w:val="20"/>
                <w:lang w:val="en-GB"/>
              </w:rPr>
            </w:pPr>
            <w:r>
              <w:rPr>
                <w:rFonts w:ascii="Garamond" w:hAnsi="Garamond"/>
                <w:color w:val="0D0D0D"/>
                <w:sz w:val="20"/>
                <w:szCs w:val="20"/>
                <w:lang w:val="en-GB"/>
              </w:rPr>
              <w:fldChar w:fldCharType="begin" w:fldLock="1"/>
            </w:r>
            <w:r>
              <w:rPr>
                <w:rFonts w:ascii="Garamond" w:hAnsi="Garamond"/>
                <w:color w:val="0D0D0D"/>
                <w:sz w:val="20"/>
                <w:szCs w:val="20"/>
                <w:lang w:val="en-GB"/>
              </w:rPr>
              <w:instrText>ADDIN CSL_CITATION {"citationItems":[{"id":"ITEM-1","itemData":{"DOI":"10.1088/1742-6596/1836/1/012078","ISSN":"1742-6588","abstract":"The 2013 curriculum emphasizes a learning system that can build students HOTS. The Inquiry Model is known to increase HOTS. Even though it is effective for increasing HOTS, the Inquiry model has shortcomings soThinking Maps are needed. The research objective was to determine the effect of the use Inquiry model assisted by Thinking Maps on HOTS in chemistry. The research method used a Quasi Experiment with a research design of Non equivalentPretest and Posttest Control. The research design group consisted of a control and experimental group. The research sample involved students of class X MIPA 1 and MIPA 2 in high schools at Depok with a total sample of 25 students who were taken using purposive sampling technique. The data were obtained from 25 multiple choice instruments of HOTS. The results of the posttest hypothesis test using the Independent Sample T Test indicate that the Sig. 2-tailed is 0.021 &lt;a (0.05), which means it is accepted. The results of the data obtained were then analyzed. The results showed that there were implications for the Inquiry learning model assisted by Thinking Maps on HOTS in chemistry. The Thinking Maps assisted Inquiry Model can train HOTS on students.","author":[{"dropping-particle":"","family":"Kharismayuni","given":"E.","non-dropping-particle":"","parse-names":false,"suffix":""},{"dropping-particle":"","family":"Feronika","given":"T.","non-dropping-particle":"","parse-names":false,"suffix":""},{"dropping-particle":"","family":"Yunita","given":"L.","non-dropping-particle":"","parse-names":false,"suffix":""}],"container-title":"Journal of Physics: Conference Series","id":"ITEM-1","issue":"1","issued":{"date-parts":[["2021","3","1"]]},"page":"012078","title":"Implication of thinking maps assisted inquiry model for higher order thinking skills (HOTS) on chemistry","type":"article-journal","volume":"1836"},"uris":["http://www.mendeley.com/documents/?uuid=b5c1ed60-aa1f-4fe8-ba3a-d964baf4e870"]}],"mendeley":{"formattedCitation":"(Kharismayuni et al., 2021)","manualFormatting":"Kharismayuni et al.,","plainTextFormattedCitation":"(Kharismayuni et al., 2021)","previouslyFormattedCitation":"(Kharismayuni et al., 2021)"},"properties":{"noteIndex":0},"schema":"https://github.com/citation-style-language/schema/raw/master/csl-citation.json"}</w:instrText>
            </w:r>
            <w:r>
              <w:rPr>
                <w:rFonts w:ascii="Garamond" w:hAnsi="Garamond"/>
                <w:color w:val="0D0D0D"/>
                <w:sz w:val="20"/>
                <w:szCs w:val="20"/>
                <w:lang w:val="en-GB"/>
              </w:rPr>
              <w:fldChar w:fldCharType="separate"/>
            </w:r>
            <w:r w:rsidRPr="009D124C">
              <w:rPr>
                <w:rFonts w:ascii="Garamond" w:hAnsi="Garamond"/>
                <w:noProof/>
                <w:color w:val="0D0D0D"/>
                <w:sz w:val="20"/>
                <w:szCs w:val="20"/>
                <w:lang w:val="en-GB"/>
              </w:rPr>
              <w:t>Kharismayuni et al.,</w:t>
            </w:r>
            <w:r>
              <w:rPr>
                <w:rFonts w:ascii="Garamond" w:hAnsi="Garamond"/>
                <w:color w:val="0D0D0D"/>
                <w:sz w:val="20"/>
                <w:szCs w:val="20"/>
                <w:lang w:val="en-GB"/>
              </w:rPr>
              <w:fldChar w:fldCharType="end"/>
            </w:r>
          </w:p>
        </w:tc>
        <w:tc>
          <w:tcPr>
            <w:tcW w:w="35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00000"/>
                <w:sz w:val="20"/>
                <w:szCs w:val="20"/>
              </w:rPr>
            </w:pPr>
            <w:r w:rsidRPr="00B147D0">
              <w:rPr>
                <w:rFonts w:ascii="Garamond" w:hAnsi="Garamond"/>
                <w:color w:val="000000"/>
                <w:sz w:val="20"/>
                <w:szCs w:val="20"/>
              </w:rPr>
              <w:t>2021</w:t>
            </w:r>
          </w:p>
        </w:tc>
        <w:tc>
          <w:tcPr>
            <w:tcW w:w="34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25</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81,28</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9,22</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25</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87,20</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8,25</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0,39</w:t>
            </w:r>
          </w:p>
        </w:tc>
        <w:tc>
          <w:tcPr>
            <w:tcW w:w="31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0,28</w:t>
            </w:r>
          </w:p>
        </w:tc>
      </w:tr>
      <w:tr w:rsidR="00D61C3D" w:rsidRPr="00802BD9" w:rsidTr="00D61C3D">
        <w:trPr>
          <w:trHeight w:val="80"/>
        </w:trPr>
        <w:tc>
          <w:tcPr>
            <w:tcW w:w="2033" w:type="pct"/>
            <w:tcBorders>
              <w:top w:val="nil"/>
              <w:bottom w:val="nil"/>
            </w:tcBorders>
            <w:vAlign w:val="center"/>
          </w:tcPr>
          <w:p w:rsidR="00D61C3D" w:rsidRPr="00B147D0" w:rsidRDefault="00D61C3D" w:rsidP="00D61C3D">
            <w:pPr>
              <w:spacing w:before="20" w:after="20"/>
              <w:ind w:left="-94" w:right="-94"/>
              <w:rPr>
                <w:rFonts w:ascii="Garamond" w:hAnsi="Garamond"/>
                <w:color w:val="0D0D0D"/>
                <w:sz w:val="20"/>
                <w:szCs w:val="20"/>
                <w:lang w:val="en-GB"/>
              </w:rPr>
            </w:pPr>
            <w:r>
              <w:rPr>
                <w:rFonts w:ascii="Garamond" w:hAnsi="Garamond"/>
                <w:color w:val="000000"/>
                <w:sz w:val="20"/>
                <w:szCs w:val="20"/>
              </w:rPr>
              <w:fldChar w:fldCharType="begin" w:fldLock="1"/>
            </w:r>
            <w:r>
              <w:rPr>
                <w:rFonts w:ascii="Garamond" w:hAnsi="Garamond"/>
                <w:color w:val="000000"/>
                <w:sz w:val="20"/>
                <w:szCs w:val="20"/>
              </w:rPr>
              <w:instrText>ADDIN CSL_CITATION {"citationItems":[{"id":"ITEM-1","itemData":{"DOI":"10.1088/1742-6596/1811/1/012003","ISSN":"1742-6588","abstract":"This study aims to analyze how science process skills use scientific inquiry, to analyze how science process skills with high scientific attitude and low scientific attitude, to analyze the interaction between scientific inquiry and scientific attitude. This type of research is a quasi experiment with a pretest-posttest control group design. Data analysis was performed using descriptive analysis which aims to be able to explain and predict the symptoms that apply on the basis of data obtained in the field. Based on the results of the study it was found that the science process skills using scientific inquiry on the temperature and heat material experienced a significant increase, the skills that had a high scientific attitude were better than the science process skills which had a low scientific attitude, and there was an interaction between scientific inquiry and scientific attitude.","author":[{"dropping-particle":"","family":"Pulungan","given":"Mailita Sari","non-dropping-particle":"","parse-names":false,"suffix":""},{"dropping-particle":"","family":"Nasution","given":"Derlina","non-dropping-particle":"","parse-names":false,"suffix":""},{"dropping-particle":"","family":"Rahmatsyah","given":"","non-dropping-particle":"","parse-names":false,"suffix":""}],"container-title":"Journal of Physics: Conference Series","id":"ITEM-1","issue":"1","issued":{"date-parts":[["2021","3","1"]]},"page":"012003","title":"The effect of scientific inquiry learning model and scientific attitude on students’ science process skills","type":"article-journal","volume":"1811"},"uris":["http://www.mendeley.com/documents/?uuid=ac7b165f-17d9-485d-b1b6-3592a38a3e44"]}],"mendeley":{"formattedCitation":"(Pulungan et al., 2021)","manualFormatting":"Pulungan et al.,","plainTextFormattedCitation":"(Pulungan et al., 2021)","previouslyFormattedCitation":"(Pulungan et al., 2021)"},"properties":{"noteIndex":0},"schema":"https://github.com/citation-style-language/schema/raw/master/csl-citation.json"}</w:instrText>
            </w:r>
            <w:r>
              <w:rPr>
                <w:rFonts w:ascii="Garamond" w:hAnsi="Garamond"/>
                <w:color w:val="000000"/>
                <w:sz w:val="20"/>
                <w:szCs w:val="20"/>
              </w:rPr>
              <w:fldChar w:fldCharType="separate"/>
            </w:r>
            <w:r w:rsidRPr="009D124C">
              <w:rPr>
                <w:rFonts w:ascii="Garamond" w:hAnsi="Garamond"/>
                <w:noProof/>
                <w:color w:val="000000"/>
                <w:sz w:val="20"/>
                <w:szCs w:val="20"/>
              </w:rPr>
              <w:t>Pulungan et al.,</w:t>
            </w:r>
            <w:r>
              <w:rPr>
                <w:rFonts w:ascii="Garamond" w:hAnsi="Garamond"/>
                <w:color w:val="000000"/>
                <w:sz w:val="20"/>
                <w:szCs w:val="20"/>
              </w:rPr>
              <w:fldChar w:fldCharType="end"/>
            </w:r>
          </w:p>
        </w:tc>
        <w:tc>
          <w:tcPr>
            <w:tcW w:w="35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00000"/>
                <w:sz w:val="20"/>
                <w:szCs w:val="20"/>
              </w:rPr>
            </w:pPr>
            <w:r w:rsidRPr="00B147D0">
              <w:rPr>
                <w:rFonts w:ascii="Garamond" w:hAnsi="Garamond"/>
                <w:color w:val="000000"/>
                <w:sz w:val="20"/>
                <w:szCs w:val="20"/>
              </w:rPr>
              <w:t>2021</w:t>
            </w:r>
          </w:p>
        </w:tc>
        <w:tc>
          <w:tcPr>
            <w:tcW w:w="34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32</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58,47</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8,66</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33</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66,12</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11,70</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0,46</w:t>
            </w:r>
          </w:p>
        </w:tc>
        <w:tc>
          <w:tcPr>
            <w:tcW w:w="31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0,25</w:t>
            </w:r>
          </w:p>
        </w:tc>
      </w:tr>
      <w:tr w:rsidR="00D61C3D" w:rsidRPr="00802BD9" w:rsidTr="00D61C3D">
        <w:trPr>
          <w:trHeight w:val="80"/>
        </w:trPr>
        <w:tc>
          <w:tcPr>
            <w:tcW w:w="2033" w:type="pct"/>
            <w:tcBorders>
              <w:top w:val="nil"/>
              <w:bottom w:val="nil"/>
            </w:tcBorders>
            <w:vAlign w:val="center"/>
          </w:tcPr>
          <w:p w:rsidR="00D61C3D" w:rsidRPr="00B147D0" w:rsidRDefault="00D61C3D" w:rsidP="00D61C3D">
            <w:pPr>
              <w:spacing w:before="20" w:after="20"/>
              <w:ind w:left="-94" w:right="-94"/>
              <w:rPr>
                <w:rFonts w:ascii="Garamond" w:hAnsi="Garamond"/>
                <w:color w:val="0D0D0D"/>
                <w:sz w:val="20"/>
                <w:szCs w:val="20"/>
                <w:lang w:val="en-GB"/>
              </w:rPr>
            </w:pPr>
            <w:r>
              <w:rPr>
                <w:rFonts w:ascii="Garamond" w:hAnsi="Garamond"/>
                <w:color w:val="0D0D0D"/>
                <w:sz w:val="20"/>
                <w:szCs w:val="20"/>
                <w:lang w:val="en-GB"/>
              </w:rPr>
              <w:fldChar w:fldCharType="begin" w:fldLock="1"/>
            </w:r>
            <w:r>
              <w:rPr>
                <w:rFonts w:ascii="Garamond" w:hAnsi="Garamond"/>
                <w:color w:val="0D0D0D"/>
                <w:sz w:val="20"/>
                <w:szCs w:val="20"/>
                <w:lang w:val="en-GB"/>
              </w:rPr>
              <w:instrText>ADDIN CSL_CITATION {"citationItems":[{"id":"ITEM-1","itemData":{"DOI":"10.1088/1742-6596/1836/1/012073","ISSN":"1742-6588","abstract":"Mathematical reasoning is defined as an activity of mathematical thinking to produce statements or conclusions based on existing facts. Mathematical reasoning is divided into creative reasoning and imitative reasoning. According to constructivism theory, the idea in mathematics should be built by students, therefore mathematics become logic, meaningful, and real. One of the constructivist learning models that facilitate students to actively discover their own concepts is CBI model. The study aims to know the effectiveness of the CBI model on teaching mathematics toward improving MCR. The research is conducted in the year 2019/2020 at junior high school one in Citeureup-Bogor. Two classes, as the sample of the research, the first class as experiment class,and the second class as control class, both of them consists of 36 students. The instrument used to identify students’ MCR abilities was an essay test on the polyhedron material. By using t-test analysis at a significant level of 5%, we obtained the Sig. (2-tailed) the value obtained was 0.018. Therefore, Sig. (2-tailed) = 0.018 &lt; α = 0.05. It means that students’ MCR taught by CBI model is higher than students’ MCR who taught with conventional learning models.","author":[{"dropping-particle":"","family":"Dwirahayu","given":"G.","non-dropping-particle":"","parse-names":false,"suffix":""},{"dropping-particle":"","family":"Mas’ud","given":"A","non-dropping-particle":"","parse-names":false,"suffix":""},{"dropping-particle":"","family":"Satriawati","given":"G.","non-dropping-particle":"","parse-names":false,"suffix":""},{"dropping-particle":"","family":"Atiqoh","given":"K S N","non-dropping-particle":"","parse-names":false,"suffix":""},{"dropping-particle":"","family":"Dewi","given":"S.","non-dropping-particle":"","parse-names":false,"suffix":""}],"container-title":"Journal of Physics: Conference Series","id":"ITEM-1","issue":"1","issued":{"date-parts":[["2021","3","1"]]},"page":"012073","title":"Improving students’ mathematical creative reasoning on polyhedron through concept-based inquiry model","type":"article-journal","volume":"1836"},"uris":["http://www.mendeley.com/documents/?uuid=ada316ee-b59d-4523-ac64-3ba80cdf0ed0"]}],"mendeley":{"formattedCitation":"(Dwirahayu et al., 2021)","manualFormatting":"Dwirahayu et al.,","plainTextFormattedCitation":"(Dwirahayu et al., 2021)","previouslyFormattedCitation":"(Dwirahayu et al., 2021)"},"properties":{"noteIndex":0},"schema":"https://github.com/citation-style-language/schema/raw/master/csl-citation.json"}</w:instrText>
            </w:r>
            <w:r>
              <w:rPr>
                <w:rFonts w:ascii="Garamond" w:hAnsi="Garamond"/>
                <w:color w:val="0D0D0D"/>
                <w:sz w:val="20"/>
                <w:szCs w:val="20"/>
                <w:lang w:val="en-GB"/>
              </w:rPr>
              <w:fldChar w:fldCharType="separate"/>
            </w:r>
            <w:r w:rsidRPr="009D124C">
              <w:rPr>
                <w:rFonts w:ascii="Garamond" w:hAnsi="Garamond"/>
                <w:noProof/>
                <w:color w:val="0D0D0D"/>
                <w:sz w:val="20"/>
                <w:szCs w:val="20"/>
                <w:lang w:val="en-GB"/>
              </w:rPr>
              <w:t>Dwirahayu et al.,</w:t>
            </w:r>
            <w:r>
              <w:rPr>
                <w:rFonts w:ascii="Garamond" w:hAnsi="Garamond"/>
                <w:color w:val="0D0D0D"/>
                <w:sz w:val="20"/>
                <w:szCs w:val="20"/>
                <w:lang w:val="en-GB"/>
              </w:rPr>
              <w:fldChar w:fldCharType="end"/>
            </w:r>
          </w:p>
        </w:tc>
        <w:tc>
          <w:tcPr>
            <w:tcW w:w="35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00000"/>
                <w:sz w:val="20"/>
                <w:szCs w:val="20"/>
              </w:rPr>
            </w:pPr>
            <w:r w:rsidRPr="00B147D0">
              <w:rPr>
                <w:rFonts w:ascii="Garamond" w:hAnsi="Garamond"/>
                <w:color w:val="000000"/>
                <w:sz w:val="20"/>
                <w:szCs w:val="20"/>
              </w:rPr>
              <w:t>2021</w:t>
            </w:r>
          </w:p>
        </w:tc>
        <w:tc>
          <w:tcPr>
            <w:tcW w:w="34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36</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60,56</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20,03</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36</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70,69</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15,22</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0,38</w:t>
            </w:r>
          </w:p>
        </w:tc>
        <w:tc>
          <w:tcPr>
            <w:tcW w:w="31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0,24</w:t>
            </w:r>
          </w:p>
        </w:tc>
      </w:tr>
      <w:tr w:rsidR="00D61C3D" w:rsidRPr="00802BD9" w:rsidTr="00D61C3D">
        <w:trPr>
          <w:trHeight w:val="80"/>
        </w:trPr>
        <w:tc>
          <w:tcPr>
            <w:tcW w:w="2033" w:type="pct"/>
            <w:tcBorders>
              <w:top w:val="nil"/>
              <w:bottom w:val="nil"/>
            </w:tcBorders>
            <w:vAlign w:val="center"/>
          </w:tcPr>
          <w:p w:rsidR="00D61C3D" w:rsidRPr="00B147D0" w:rsidRDefault="00D61C3D" w:rsidP="00D61C3D">
            <w:pPr>
              <w:spacing w:before="20" w:after="20"/>
              <w:ind w:left="-94" w:right="-94"/>
              <w:rPr>
                <w:rFonts w:ascii="Garamond" w:hAnsi="Garamond"/>
                <w:color w:val="0D0D0D"/>
                <w:sz w:val="20"/>
                <w:szCs w:val="20"/>
                <w:lang w:val="en-GB"/>
              </w:rPr>
            </w:pPr>
            <w:r>
              <w:rPr>
                <w:rFonts w:ascii="Garamond" w:hAnsi="Garamond"/>
                <w:color w:val="0D0D0D"/>
                <w:sz w:val="20"/>
                <w:szCs w:val="20"/>
                <w:lang w:val="en-GB"/>
              </w:rPr>
              <w:fldChar w:fldCharType="begin" w:fldLock="1"/>
            </w:r>
            <w:r>
              <w:rPr>
                <w:rFonts w:ascii="Garamond" w:hAnsi="Garamond"/>
                <w:color w:val="0D0D0D"/>
                <w:sz w:val="20"/>
                <w:szCs w:val="20"/>
                <w:lang w:val="en-GB"/>
              </w:rPr>
              <w:instrText>ADDIN CSL_CITATION {"citationItems":[{"id":"ITEM-1","itemData":{"DOI":"10.1109/TLT.2023.3241058","ISSN":"1939-1382","abstract":"Intelligent personal assistants (IPAs) carry massive potential in enhancing students' performance through individualized dynamic scaffolding strategy. Despite IPAs being increasingly recognized among educationists, little is known about their application in the development of students' scientific inquiry skills, particularly in physics. This study integrated the use of Apple's Siri in physics learning and examined the impact on secondary school student's scientific inquiry skills, and how these interactions affect their learning experiences. This mixed-method study conducted two field quasi-experiments (School A: science boarding school; School B: vocational boarding school) and post-experimental focus group discussions. Each school had two classes that were randomly assigned as experimental and control groups. The quantitative data showed that the experimental groups developed significantly higher scientific inquiry skills in comparison to the control groups (School A: p = 0.050; School B: p &lt; 0.001) with moderate (d = 0.62) to large effect size (d = 1.82). The qualitative data further revealed the perceived ability of the IPA to support students' individualized learning by providing timely scaffolding. This study offers substantial empirical data to support the effectiveness of the IPA in increasing secondary school students' achievement in physics and scientific inquiry skills.","author":[{"dropping-particle":"","family":"Nasri","given":"Nurfaradilla Mohamad","non-dropping-particle":"","parse-names":false,"suffix":""},{"dropping-particle":"","family":"Nasri","given":"Nurfarahin","non-dropping-particle":"","parse-names":false,"suffix":""},{"dropping-particle":"","family":"Nasri","given":"Nur Faraliyana","non-dropping-particle":"","parse-names":false,"suffix":""},{"dropping-particle":"","family":"Talib","given":"Mohamad Asyraf Abd","non-dropping-particle":"","parse-names":false,"suffix":""}],"container-title":"IEEE Transactions on Learning Technologies","id":"ITEM-1","issue":"2","issued":{"date-parts":[["2023","4","1"]]},"page":"232-242","publisher":"IEEE","title":"The Impact of Integrating an Intelligent Personal Assistant (IPA) on Secondary School Physics Students’ Scientific Inquiry Skills","type":"article-journal","volume":"16"},"uris":["http://www.mendeley.com/documents/?uuid=59f1046b-3502-4ea9-8362-3ea224d28fc2"]}],"mendeley":{"formattedCitation":"(Nasri et al., 2023)","manualFormatting":"Nasri et al.,","plainTextFormattedCitation":"(Nasri et al., 2023)","previouslyFormattedCitation":"(Nasri et al., 2023)"},"properties":{"noteIndex":0},"schema":"https://github.com/citation-style-language/schema/raw/master/csl-citation.json"}</w:instrText>
            </w:r>
            <w:r>
              <w:rPr>
                <w:rFonts w:ascii="Garamond" w:hAnsi="Garamond"/>
                <w:color w:val="0D0D0D"/>
                <w:sz w:val="20"/>
                <w:szCs w:val="20"/>
                <w:lang w:val="en-GB"/>
              </w:rPr>
              <w:fldChar w:fldCharType="separate"/>
            </w:r>
            <w:r w:rsidRPr="009D124C">
              <w:rPr>
                <w:rFonts w:ascii="Garamond" w:hAnsi="Garamond"/>
                <w:noProof/>
                <w:color w:val="0D0D0D"/>
                <w:sz w:val="20"/>
                <w:szCs w:val="20"/>
                <w:lang w:val="en-GB"/>
              </w:rPr>
              <w:t>Nasri et al.,</w:t>
            </w:r>
            <w:r>
              <w:rPr>
                <w:rFonts w:ascii="Garamond" w:hAnsi="Garamond"/>
                <w:color w:val="0D0D0D"/>
                <w:sz w:val="20"/>
                <w:szCs w:val="20"/>
                <w:lang w:val="en-GB"/>
              </w:rPr>
              <w:fldChar w:fldCharType="end"/>
            </w:r>
          </w:p>
        </w:tc>
        <w:tc>
          <w:tcPr>
            <w:tcW w:w="35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00000"/>
                <w:sz w:val="20"/>
                <w:szCs w:val="20"/>
              </w:rPr>
            </w:pPr>
            <w:r w:rsidRPr="00B147D0">
              <w:rPr>
                <w:rFonts w:ascii="Garamond" w:hAnsi="Garamond"/>
                <w:color w:val="000000"/>
                <w:sz w:val="20"/>
                <w:szCs w:val="20"/>
              </w:rPr>
              <w:t>2023</w:t>
            </w:r>
          </w:p>
        </w:tc>
        <w:tc>
          <w:tcPr>
            <w:tcW w:w="34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23</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76,52</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4,78</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22</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93,44</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4,38</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1,63</w:t>
            </w:r>
          </w:p>
        </w:tc>
        <w:tc>
          <w:tcPr>
            <w:tcW w:w="31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0,34</w:t>
            </w:r>
          </w:p>
        </w:tc>
      </w:tr>
      <w:tr w:rsidR="00D61C3D" w:rsidRPr="00802BD9" w:rsidTr="00D61C3D">
        <w:trPr>
          <w:trHeight w:val="80"/>
        </w:trPr>
        <w:tc>
          <w:tcPr>
            <w:tcW w:w="2033" w:type="pct"/>
            <w:tcBorders>
              <w:top w:val="nil"/>
              <w:bottom w:val="nil"/>
            </w:tcBorders>
            <w:vAlign w:val="center"/>
          </w:tcPr>
          <w:p w:rsidR="00D61C3D" w:rsidRPr="00B147D0" w:rsidRDefault="00D61C3D" w:rsidP="00D61C3D">
            <w:pPr>
              <w:spacing w:before="20" w:after="20"/>
              <w:ind w:left="-94" w:right="-94"/>
              <w:rPr>
                <w:rFonts w:ascii="Garamond" w:hAnsi="Garamond"/>
                <w:color w:val="0D0D0D"/>
                <w:sz w:val="20"/>
                <w:szCs w:val="20"/>
                <w:lang w:val="en-GB"/>
              </w:rPr>
            </w:pPr>
            <w:r>
              <w:rPr>
                <w:rFonts w:ascii="Garamond" w:hAnsi="Garamond"/>
                <w:color w:val="0D0D0D"/>
                <w:sz w:val="20"/>
                <w:szCs w:val="20"/>
                <w:lang w:val="en-GB"/>
              </w:rPr>
              <w:fldChar w:fldCharType="begin" w:fldLock="1"/>
            </w:r>
            <w:r>
              <w:rPr>
                <w:rFonts w:ascii="Garamond" w:hAnsi="Garamond"/>
                <w:color w:val="0D0D0D"/>
                <w:sz w:val="20"/>
                <w:szCs w:val="20"/>
                <w:lang w:val="en-GB"/>
              </w:rPr>
              <w:instrText>ADDIN CSL_CITATION {"citationItems":[{"id":"ITEM-1","itemData":{"DOI":"10.18178/ijiet.2021.11.12.1575","ISSN":"20103689","abstract":"Teachers must possess critical thinking skills to become good facilitators in the education process to produce students with high-order thinking skills. This research aims to evaluate the implementation of the inquiry-based learning (IBL) method in improving the critical thinking (CT) skills of prospective teachers with their own learning styles. An experimental study is the research method used in this research with the matching-only pretest–posttest with a control group design. The selected participants consisted of two groups of prospective teachers, a total of 76 people with low critical thinking skills and 50 people with very low skills. The experimental group was given the IBL method, while the control group was given the problem-based learning method, which refers to the latest curriculum. Treatment is given for 8 weeks. The statistical analysis used includes Wilcoxon, Mann–Whitney, and Kruskal–Wallis followed by post hoc. The results of this study show an increase in critical thinking in both the experimental group and the control group. However, the increase in the experimental group was significantly higher than the control group. The increase in experimental group with low and very low CT group did not differ significantly. On the other hand, in the control group, the increase in CT in the low group was significantly higher than the very low group. Furthermore, the Kruskal–Wallis difference test in the experimental group based on learning styles showed that prospective teachers with converging learning styles were more able to follow the IBL method compared to other learning styles.","author":[{"dropping-particle":"","family":"Dewi","given":"Damajanti Kusuma","non-dropping-particle":"","parse-names":false,"suffix":""},{"dropping-particle":"","family":"Ardhana","given":"Wayan","non-dropping-particle":"","parse-names":false,"suffix":""},{"dropping-particle":"","family":"Irtadji","given":"","non-dropping-particle":"","parse-names":false,"suffix":""},{"dropping-particle":"","family":"Chusniyah","given":"Tutut","non-dropping-particle":"","parse-names":false,"suffix":""},{"dropping-particle":"","family":"Sulianti","given":"Ambar","non-dropping-particle":"","parse-names":false,"suffix":""}],"container-title":"International Journal of Information and Education Technology","id":"ITEM-1","issue":"12","issued":{"date-parts":[["2021"]]},"page":"638-645","title":"Inquiry-Based Learning Implementation to Improve Critical Thinking of Prospective Teachers","type":"article-journal","volume":"11"},"uris":["http://www.mendeley.com/documents/?uuid=4befe8b0-eb1c-48a3-ac53-4570241f7564"]}],"mendeley":{"formattedCitation":"(Dewi et al., 2021)","manualFormatting":"Dewi et al.,","plainTextFormattedCitation":"(Dewi et al., 2021)","previouslyFormattedCitation":"(Dewi et al., 2021)"},"properties":{"noteIndex":0},"schema":"https://github.com/citation-style-language/schema/raw/master/csl-citation.json"}</w:instrText>
            </w:r>
            <w:r>
              <w:rPr>
                <w:rFonts w:ascii="Garamond" w:hAnsi="Garamond"/>
                <w:color w:val="0D0D0D"/>
                <w:sz w:val="20"/>
                <w:szCs w:val="20"/>
                <w:lang w:val="en-GB"/>
              </w:rPr>
              <w:fldChar w:fldCharType="separate"/>
            </w:r>
            <w:r w:rsidRPr="009D124C">
              <w:rPr>
                <w:rFonts w:ascii="Garamond" w:hAnsi="Garamond"/>
                <w:noProof/>
                <w:color w:val="0D0D0D"/>
                <w:sz w:val="20"/>
                <w:szCs w:val="20"/>
                <w:lang w:val="en-GB"/>
              </w:rPr>
              <w:t>Dewi et al.,</w:t>
            </w:r>
            <w:r>
              <w:rPr>
                <w:rFonts w:ascii="Garamond" w:hAnsi="Garamond"/>
                <w:color w:val="0D0D0D"/>
                <w:sz w:val="20"/>
                <w:szCs w:val="20"/>
                <w:lang w:val="en-GB"/>
              </w:rPr>
              <w:fldChar w:fldCharType="end"/>
            </w:r>
          </w:p>
        </w:tc>
        <w:tc>
          <w:tcPr>
            <w:tcW w:w="35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00000"/>
                <w:sz w:val="20"/>
                <w:szCs w:val="20"/>
              </w:rPr>
            </w:pPr>
            <w:r w:rsidRPr="00B147D0">
              <w:rPr>
                <w:rFonts w:ascii="Garamond" w:hAnsi="Garamond"/>
                <w:color w:val="000000"/>
                <w:sz w:val="20"/>
                <w:szCs w:val="20"/>
              </w:rPr>
              <w:t>2021</w:t>
            </w:r>
          </w:p>
        </w:tc>
        <w:tc>
          <w:tcPr>
            <w:tcW w:w="34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38</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9,68</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1,17</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38</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11,08</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1,92</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0,21</w:t>
            </w:r>
          </w:p>
        </w:tc>
        <w:tc>
          <w:tcPr>
            <w:tcW w:w="31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0,23</w:t>
            </w:r>
          </w:p>
        </w:tc>
      </w:tr>
      <w:tr w:rsidR="00D61C3D" w:rsidRPr="00802BD9" w:rsidTr="00D61C3D">
        <w:trPr>
          <w:trHeight w:val="80"/>
        </w:trPr>
        <w:tc>
          <w:tcPr>
            <w:tcW w:w="2033" w:type="pct"/>
            <w:tcBorders>
              <w:top w:val="nil"/>
              <w:bottom w:val="nil"/>
            </w:tcBorders>
            <w:vAlign w:val="center"/>
          </w:tcPr>
          <w:p w:rsidR="00D61C3D" w:rsidRPr="00B147D0" w:rsidRDefault="00D61C3D" w:rsidP="00D61C3D">
            <w:pPr>
              <w:spacing w:before="20" w:after="20"/>
              <w:ind w:left="-94" w:right="-94"/>
              <w:rPr>
                <w:rFonts w:ascii="Garamond" w:hAnsi="Garamond"/>
                <w:color w:val="0D0D0D"/>
                <w:sz w:val="20"/>
                <w:szCs w:val="20"/>
                <w:lang w:val="en-GB"/>
              </w:rPr>
            </w:pPr>
            <w:r>
              <w:rPr>
                <w:rFonts w:ascii="Garamond" w:hAnsi="Garamond"/>
                <w:color w:val="0D0D0D"/>
                <w:sz w:val="20"/>
                <w:szCs w:val="20"/>
                <w:lang w:val="en-GB"/>
              </w:rPr>
              <w:fldChar w:fldCharType="begin" w:fldLock="1"/>
            </w:r>
            <w:r>
              <w:rPr>
                <w:rFonts w:ascii="Garamond" w:hAnsi="Garamond"/>
                <w:color w:val="0D0D0D"/>
                <w:sz w:val="20"/>
                <w:szCs w:val="20"/>
                <w:lang w:val="en-GB"/>
              </w:rPr>
              <w:instrText>ADDIN CSL_CITATION {"citationItems":[{"id":"ITEM-1","itemData":{"DOI":"10.18178/ijiet.2023.13.11.1977","ISSN":"20103689","abstract":"This study aimed to determine the effect of the GeoGebra-assisted inquiry-discovery learning strategy on students’ mastery and interest in algebraic expressions. The Malaysian Ministry of Education recommends investigation or experimentation activities and the use of dynamic software technologies in mathematics lessons because these activities can improve students’ mastery and interest. Therefore, this study was conducted to overcome the problem of low concept mastery and lack of students’ interest in Basic Arithmetic Operations involving Algebraic Expressions. This quantitative study was carried out with quasi-experimental design. A total of 60 form students from a secondary school in Johor, divided into two groups: experimental group of GeoGebra-assisted inquiry-discovery learning strategy consisting 30 students, and a control group of standard textbook-based learning consisting of 30 students. The study sample was selected by a simple random sampling technique. The instruments used in this study were a modified pre-mastery and post-mastery test and questionnaires. The quantitative data in this research was analyzed based on descriptive and inferential statistics using Statistical Packages for Social Science (SPSS) software Version 28.0. The Wilcoxon test results showed that there are significant differences between experimental group (M = 50.20, SD = 18.63) and control group (M = 41.97, SD = 17.81) on students’ mastery and interest after using GeoGebra-assisted inquiry-discovery learning strategy. The findings also show that there was a fairly strong positive relationship between students’ mastery and interest, which was statistically significant using Spearman’s rho correlation analysis (p = 0.001). In conclusion, GeoGebra-assisted inquiry-discovery learning strategy can improve students’ mastery and interest in Algebraic Expression.","author":[{"dropping-particle":"","family":"Marion","given":"Zuraini","non-dropping-particle":"","parse-names":false,"suffix":""},{"dropping-particle":"","family":"Abdullah","given":"Abdul Halim","non-dropping-particle":"","parse-names":false,"suffix":""},{"dropping-particle":"","family":"Rahman","given":"Sharifah Nurarfah S. Abd","non-dropping-particle":"","parse-names":false,"suffix":""}],"container-title":"International Journal of Information and Education Technology","id":"ITEM-1","issue":"11","issued":{"date-parts":[["2023"]]},"page":"1681-1695","title":"The Effectiveness of the GeoGebra-Assisted Inquiry-Discovery Learning Strategy on Students’ Mastery and Interest in Algebraic Expressions","type":"article-journal","volume":"13"},"uris":["http://www.mendeley.com/documents/?uuid=87f3b2b5-4e8c-42b3-a008-0c6de64cea6a"]}],"mendeley":{"formattedCitation":"(Marion et al., 2023)","manualFormatting":"Marion et al.,","plainTextFormattedCitation":"(Marion et al., 2023)","previouslyFormattedCitation":"(Marion et al., 2023)"},"properties":{"noteIndex":0},"schema":"https://github.com/citation-style-language/schema/raw/master/csl-citation.json"}</w:instrText>
            </w:r>
            <w:r>
              <w:rPr>
                <w:rFonts w:ascii="Garamond" w:hAnsi="Garamond"/>
                <w:color w:val="0D0D0D"/>
                <w:sz w:val="20"/>
                <w:szCs w:val="20"/>
                <w:lang w:val="en-GB"/>
              </w:rPr>
              <w:fldChar w:fldCharType="separate"/>
            </w:r>
            <w:r w:rsidRPr="009D124C">
              <w:rPr>
                <w:rFonts w:ascii="Garamond" w:hAnsi="Garamond"/>
                <w:noProof/>
                <w:color w:val="0D0D0D"/>
                <w:sz w:val="20"/>
                <w:szCs w:val="20"/>
                <w:lang w:val="en-GB"/>
              </w:rPr>
              <w:t>Marion et al.,</w:t>
            </w:r>
            <w:r>
              <w:rPr>
                <w:rFonts w:ascii="Garamond" w:hAnsi="Garamond"/>
                <w:color w:val="0D0D0D"/>
                <w:sz w:val="20"/>
                <w:szCs w:val="20"/>
                <w:lang w:val="en-GB"/>
              </w:rPr>
              <w:fldChar w:fldCharType="end"/>
            </w:r>
          </w:p>
        </w:tc>
        <w:tc>
          <w:tcPr>
            <w:tcW w:w="35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00000"/>
                <w:sz w:val="20"/>
                <w:szCs w:val="20"/>
              </w:rPr>
            </w:pPr>
            <w:r w:rsidRPr="00B147D0">
              <w:rPr>
                <w:rFonts w:ascii="Garamond" w:hAnsi="Garamond"/>
                <w:color w:val="000000"/>
                <w:sz w:val="20"/>
                <w:szCs w:val="20"/>
              </w:rPr>
              <w:t>2023</w:t>
            </w:r>
          </w:p>
        </w:tc>
        <w:tc>
          <w:tcPr>
            <w:tcW w:w="34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30</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50,20</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18,63</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30</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65,13</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18,00</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0,64</w:t>
            </w:r>
          </w:p>
        </w:tc>
        <w:tc>
          <w:tcPr>
            <w:tcW w:w="31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0,26</w:t>
            </w:r>
          </w:p>
        </w:tc>
      </w:tr>
      <w:tr w:rsidR="00D61C3D" w:rsidRPr="00802BD9" w:rsidTr="00D61C3D">
        <w:trPr>
          <w:trHeight w:val="80"/>
        </w:trPr>
        <w:tc>
          <w:tcPr>
            <w:tcW w:w="2033" w:type="pct"/>
            <w:tcBorders>
              <w:top w:val="nil"/>
              <w:bottom w:val="nil"/>
            </w:tcBorders>
            <w:vAlign w:val="center"/>
          </w:tcPr>
          <w:p w:rsidR="00D61C3D" w:rsidRPr="00B147D0" w:rsidRDefault="00D61C3D" w:rsidP="00D61C3D">
            <w:pPr>
              <w:spacing w:before="20" w:after="20"/>
              <w:ind w:left="-94" w:right="-94"/>
              <w:rPr>
                <w:rFonts w:ascii="Garamond" w:hAnsi="Garamond"/>
                <w:color w:val="0D0D0D"/>
                <w:sz w:val="20"/>
                <w:szCs w:val="20"/>
                <w:lang w:val="en-GB"/>
              </w:rPr>
            </w:pPr>
            <w:r>
              <w:rPr>
                <w:rFonts w:ascii="Garamond" w:hAnsi="Garamond"/>
                <w:color w:val="0D0D0D"/>
                <w:sz w:val="20"/>
                <w:szCs w:val="20"/>
                <w:lang w:val="en-GB"/>
              </w:rPr>
              <w:fldChar w:fldCharType="begin" w:fldLock="1"/>
            </w:r>
            <w:r>
              <w:rPr>
                <w:rFonts w:ascii="Garamond" w:hAnsi="Garamond"/>
                <w:color w:val="0D0D0D"/>
                <w:sz w:val="20"/>
                <w:szCs w:val="20"/>
                <w:lang w:val="en-GB"/>
              </w:rPr>
              <w:instrText>ADDIN CSL_CITATION {"citationItems":[{"id":"ITEM-1","itemData":{"DOI":"10.18178/ijiet.2024.14.2.2052","ISSN":"20103689","abstract":"In response to the evolving demands of the digital era, the significance of programming skills has led to a reevaluation of traditional classroom instruction. This study introduced a collaborative inquiry-based online system to enhance individual and peer-supported coding practice. Through a quasi-experimental design, 346 Thai undergraduates were divided into a control group, which continued with conventional classroom teaching, and an experimental group that utilized the collaborative inquiry-based online approach. The research assessed conceptual learning performance via a pre-and post-test consisting of 15 questions. In addition, perceptions of the learning environment and motivation were assessed through 19-item and pre-post questionnaires with 20 items, respectively. The results indicated that the experimental group outperformed the control group in understanding programming, problem-solving abilities, and coding proficiency. Furthermore, the students in the experimental group demonstrated higher engagement and motivation, alongside improved teamwork and communication skills, which are essential in the modern online learning environment. This study suggests collaborative inquiry-based online learning can effectively complement or replace traditional instruction, offering valuable insights for educators, instructional designers, and policymakers. It advocates for a shift towards a more student-centered, interactive, and engaging learning experience in computer science education.","author":[{"dropping-particle":"","family":"Thongkoo","given":"Krittawaya","non-dropping-particle":"","parse-names":false,"suffix":""},{"dropping-particle":"","family":"Daungcharone","given":"Kannika","non-dropping-particle":"","parse-names":false,"suffix":""},{"dropping-particle":"","family":"Panjaburee","given":"Patcharin","non-dropping-particle":"","parse-names":false,"suffix":""}],"container-title":"International Journal of Information and Education Technology","id":"ITEM-1","issue":"2","issued":{"date-parts":[["2024"]]},"page":"302-309","title":"Effects of Collaborative Inquiry-Based Online Approach in Thai University Students’ Computing Program","type":"article-journal","volume":"14"},"uris":["http://www.mendeley.com/documents/?uuid=0ec8f851-6ee6-47c1-8828-efd3e891a3bd"]}],"mendeley":{"formattedCitation":"(Thongkoo et al., 2024)","manualFormatting":"Thongkoo et al.,","plainTextFormattedCitation":"(Thongkoo et al., 2024)","previouslyFormattedCitation":"(Thongkoo et al., 2024)"},"properties":{"noteIndex":0},"schema":"https://github.com/citation-style-language/schema/raw/master/csl-citation.json"}</w:instrText>
            </w:r>
            <w:r>
              <w:rPr>
                <w:rFonts w:ascii="Garamond" w:hAnsi="Garamond"/>
                <w:color w:val="0D0D0D"/>
                <w:sz w:val="20"/>
                <w:szCs w:val="20"/>
                <w:lang w:val="en-GB"/>
              </w:rPr>
              <w:fldChar w:fldCharType="separate"/>
            </w:r>
            <w:r w:rsidRPr="009D124C">
              <w:rPr>
                <w:rFonts w:ascii="Garamond" w:hAnsi="Garamond"/>
                <w:noProof/>
                <w:color w:val="0D0D0D"/>
                <w:sz w:val="20"/>
                <w:szCs w:val="20"/>
                <w:lang w:val="en-GB"/>
              </w:rPr>
              <w:t>Thongkoo et al.,</w:t>
            </w:r>
            <w:r>
              <w:rPr>
                <w:rFonts w:ascii="Garamond" w:hAnsi="Garamond"/>
                <w:color w:val="0D0D0D"/>
                <w:sz w:val="20"/>
                <w:szCs w:val="20"/>
                <w:lang w:val="en-GB"/>
              </w:rPr>
              <w:fldChar w:fldCharType="end"/>
            </w:r>
          </w:p>
        </w:tc>
        <w:tc>
          <w:tcPr>
            <w:tcW w:w="35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00000"/>
                <w:sz w:val="20"/>
                <w:szCs w:val="20"/>
              </w:rPr>
            </w:pPr>
            <w:r w:rsidRPr="00B147D0">
              <w:rPr>
                <w:rFonts w:ascii="Garamond" w:hAnsi="Garamond"/>
                <w:color w:val="000000"/>
                <w:sz w:val="20"/>
                <w:szCs w:val="20"/>
              </w:rPr>
              <w:t>2024</w:t>
            </w:r>
          </w:p>
        </w:tc>
        <w:tc>
          <w:tcPr>
            <w:tcW w:w="34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176</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7,61</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2,58</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170</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9,22</w:t>
            </w:r>
          </w:p>
        </w:tc>
        <w:tc>
          <w:tcPr>
            <w:tcW w:w="324"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2,87</w:t>
            </w:r>
          </w:p>
        </w:tc>
        <w:tc>
          <w:tcPr>
            <w:tcW w:w="323"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0,08</w:t>
            </w:r>
          </w:p>
        </w:tc>
        <w:tc>
          <w:tcPr>
            <w:tcW w:w="319" w:type="pct"/>
            <w:tcBorders>
              <w:top w:val="nil"/>
              <w:bottom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0,11</w:t>
            </w:r>
          </w:p>
        </w:tc>
      </w:tr>
      <w:tr w:rsidR="00D61C3D" w:rsidRPr="00802BD9" w:rsidTr="00D61C3D">
        <w:trPr>
          <w:trHeight w:val="80"/>
        </w:trPr>
        <w:tc>
          <w:tcPr>
            <w:tcW w:w="2033" w:type="pct"/>
            <w:tcBorders>
              <w:top w:val="nil"/>
            </w:tcBorders>
            <w:vAlign w:val="center"/>
          </w:tcPr>
          <w:p w:rsidR="00D61C3D" w:rsidRPr="00B147D0" w:rsidRDefault="00D61C3D" w:rsidP="00D61C3D">
            <w:pPr>
              <w:spacing w:before="20" w:after="20"/>
              <w:ind w:left="-94" w:right="-94"/>
              <w:rPr>
                <w:rFonts w:ascii="Garamond" w:hAnsi="Garamond"/>
                <w:color w:val="0D0D0D"/>
                <w:sz w:val="20"/>
                <w:szCs w:val="20"/>
                <w:lang w:val="en-GB"/>
              </w:rPr>
            </w:pPr>
            <w:r>
              <w:rPr>
                <w:rFonts w:ascii="Garamond" w:hAnsi="Garamond"/>
                <w:color w:val="0D0D0D"/>
                <w:sz w:val="20"/>
                <w:szCs w:val="20"/>
                <w:lang w:val="en-GB"/>
              </w:rPr>
              <w:fldChar w:fldCharType="begin" w:fldLock="1"/>
            </w:r>
            <w:r>
              <w:rPr>
                <w:rFonts w:ascii="Garamond" w:hAnsi="Garamond"/>
                <w:color w:val="0D0D0D"/>
                <w:sz w:val="20"/>
                <w:szCs w:val="20"/>
                <w:lang w:val="en-GB"/>
              </w:rPr>
              <w:instrText>ADDIN CSL_CITATION {"citationItems":[{"id":"ITEM-1","itemData":{"DOI":"10.3991/ijim.v18i05.47011","ISSN":"1865-7923","abstract":"This study examines the impact of inquiry-based learning (IBL) on the academic performance of third-grade students in the science unit “Materials” from the third-grade science textbook in schools under the Directorate of Education in Irbid, Jordan. A sample of 71 students was selected and separated into two groups: an experimental group of 36 students and a control group of 35 students. The empirical group used IBL, while the reference group was taught using conventional teaching techniques. An achievement test of multiple-choice questions was prepared for the study, comprising 24 items. The test’s content validity was confirmed through expert judgment, and its reliability was assessed using Cronbach’s alpha coefficient, which was found to be 0.83. The test’s content validity was confirmed through expert judgment, and its reliability was assessed using Cronbach’s alpha coefficient, which was found to be 0.83. Data were collected and processed using SPSS software. The findings showed statistically significant differences in the average scores of the study participants on the post-test based on the teaching technique variable, indicating a preference for survey-based learning. Based on these findings, the investigation recommends providing in-service and pre-service training on IBL for science supervisors and teachers at the primary education level.","author":[{"dropping-particle":"","family":"Abdellateef Alqawasmi","given":"","non-dropping-particle":"","parse-names":false,"suffix":""},{"dropping-particle":"","family":"Najeh Rajeh Alsalhi","given":"","non-dropping-particle":"","parse-names":false,"suffix":""},{"dropping-particle":"","family":"Sami Sulieman Al Qatawneh","given":"","non-dropping-particle":"","parse-names":false,"suffix":""}],"container-title":"International Journal of Interactive Mobile Technologies (iJIM)","id":"ITEM-1","issue":"05","issued":{"date-parts":[["2024","3","5"]]},"page":"62-76","title":"The Influence of Utilizing Inquiry-Based Learning Strategy on Science Accomplishment of Primary Students’ Stage","type":"article-journal","volume":"18"},"uris":["http://www.mendeley.com/documents/?uuid=9b66c2e3-3ad2-4306-9ce5-915ebc9f0bca"]}],"mendeley":{"formattedCitation":"(Abdellateef Alqawasmi et al., 2024)","manualFormatting":"Abdellateef Alqawasmi et al.,","plainTextFormattedCitation":"(Abdellateef Alqawasmi et al., 2024)","previouslyFormattedCitation":"(Abdellateef Alqawasmi et al., 2024)"},"properties":{"noteIndex":0},"schema":"https://github.com/citation-style-language/schema/raw/master/csl-citation.json"}</w:instrText>
            </w:r>
            <w:r>
              <w:rPr>
                <w:rFonts w:ascii="Garamond" w:hAnsi="Garamond"/>
                <w:color w:val="0D0D0D"/>
                <w:sz w:val="20"/>
                <w:szCs w:val="20"/>
                <w:lang w:val="en-GB"/>
              </w:rPr>
              <w:fldChar w:fldCharType="separate"/>
            </w:r>
            <w:r w:rsidRPr="009D124C">
              <w:rPr>
                <w:rFonts w:ascii="Garamond" w:hAnsi="Garamond"/>
                <w:noProof/>
                <w:color w:val="0D0D0D"/>
                <w:sz w:val="20"/>
                <w:szCs w:val="20"/>
                <w:lang w:val="en-GB"/>
              </w:rPr>
              <w:t>Abdellateef Alqawasmi et al.,</w:t>
            </w:r>
            <w:r>
              <w:rPr>
                <w:rFonts w:ascii="Garamond" w:hAnsi="Garamond"/>
                <w:color w:val="0D0D0D"/>
                <w:sz w:val="20"/>
                <w:szCs w:val="20"/>
                <w:lang w:val="en-GB"/>
              </w:rPr>
              <w:fldChar w:fldCharType="end"/>
            </w:r>
          </w:p>
        </w:tc>
        <w:tc>
          <w:tcPr>
            <w:tcW w:w="359" w:type="pct"/>
            <w:tcBorders>
              <w:top w:val="nil"/>
            </w:tcBorders>
            <w:vAlign w:val="center"/>
          </w:tcPr>
          <w:p w:rsidR="00D61C3D" w:rsidRPr="00B147D0" w:rsidRDefault="00D61C3D" w:rsidP="00D61C3D">
            <w:pPr>
              <w:spacing w:before="20" w:after="20"/>
              <w:ind w:left="-94" w:right="-94"/>
              <w:jc w:val="center"/>
              <w:rPr>
                <w:rFonts w:ascii="Garamond" w:hAnsi="Garamond"/>
                <w:color w:val="000000"/>
                <w:sz w:val="20"/>
                <w:szCs w:val="20"/>
              </w:rPr>
            </w:pPr>
            <w:r w:rsidRPr="00B147D0">
              <w:rPr>
                <w:rFonts w:ascii="Garamond" w:hAnsi="Garamond"/>
                <w:color w:val="000000"/>
                <w:sz w:val="20"/>
                <w:szCs w:val="20"/>
              </w:rPr>
              <w:t>2024</w:t>
            </w:r>
          </w:p>
        </w:tc>
        <w:tc>
          <w:tcPr>
            <w:tcW w:w="349" w:type="pct"/>
            <w:tcBorders>
              <w:top w:val="nil"/>
            </w:tcBorders>
            <w:vAlign w:val="center"/>
          </w:tcPr>
          <w:p w:rsidR="00D61C3D" w:rsidRPr="00B147D0" w:rsidRDefault="00D61C3D" w:rsidP="00D61C3D">
            <w:pPr>
              <w:spacing w:before="20" w:after="20"/>
              <w:ind w:left="-94" w:right="-94"/>
              <w:jc w:val="center"/>
              <w:rPr>
                <w:rFonts w:ascii="Garamond" w:hAnsi="Garamond"/>
                <w:color w:val="0D0D0D"/>
                <w:sz w:val="20"/>
                <w:szCs w:val="20"/>
                <w:lang w:val="en-GB"/>
              </w:rPr>
            </w:pPr>
            <w:r w:rsidRPr="00B147D0">
              <w:rPr>
                <w:rFonts w:ascii="Garamond" w:hAnsi="Garamond"/>
                <w:color w:val="000000"/>
                <w:sz w:val="20"/>
                <w:szCs w:val="20"/>
              </w:rPr>
              <w:t>35</w:t>
            </w:r>
          </w:p>
        </w:tc>
        <w:tc>
          <w:tcPr>
            <w:tcW w:w="323" w:type="pct"/>
            <w:tcBorders>
              <w:top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16,97</w:t>
            </w:r>
          </w:p>
        </w:tc>
        <w:tc>
          <w:tcPr>
            <w:tcW w:w="324" w:type="pct"/>
            <w:tcBorders>
              <w:top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1,76</w:t>
            </w:r>
          </w:p>
        </w:tc>
        <w:tc>
          <w:tcPr>
            <w:tcW w:w="323" w:type="pct"/>
            <w:tcBorders>
              <w:top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36</w:t>
            </w:r>
          </w:p>
        </w:tc>
        <w:tc>
          <w:tcPr>
            <w:tcW w:w="324" w:type="pct"/>
            <w:tcBorders>
              <w:top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18,19</w:t>
            </w:r>
          </w:p>
        </w:tc>
        <w:tc>
          <w:tcPr>
            <w:tcW w:w="324" w:type="pct"/>
            <w:tcBorders>
              <w:top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2,21</w:t>
            </w:r>
          </w:p>
        </w:tc>
        <w:tc>
          <w:tcPr>
            <w:tcW w:w="323" w:type="pct"/>
            <w:tcBorders>
              <w:top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0,16</w:t>
            </w:r>
          </w:p>
        </w:tc>
        <w:tc>
          <w:tcPr>
            <w:tcW w:w="319" w:type="pct"/>
            <w:tcBorders>
              <w:top w:val="nil"/>
            </w:tcBorders>
            <w:vAlign w:val="center"/>
          </w:tcPr>
          <w:p w:rsidR="00D61C3D" w:rsidRPr="00B147D0" w:rsidRDefault="00D61C3D" w:rsidP="00D61C3D">
            <w:pPr>
              <w:spacing w:before="20" w:after="20"/>
              <w:ind w:left="-94" w:right="-94"/>
              <w:jc w:val="center"/>
              <w:rPr>
                <w:rFonts w:ascii="Garamond" w:hAnsi="Garamond"/>
                <w:color w:val="0D0D0D"/>
                <w:sz w:val="20"/>
                <w:szCs w:val="20"/>
              </w:rPr>
            </w:pPr>
            <w:r w:rsidRPr="00B147D0">
              <w:rPr>
                <w:rFonts w:ascii="Garamond" w:hAnsi="Garamond"/>
                <w:color w:val="000000"/>
                <w:sz w:val="20"/>
                <w:szCs w:val="20"/>
              </w:rPr>
              <w:t>0,24</w:t>
            </w:r>
          </w:p>
        </w:tc>
      </w:tr>
    </w:tbl>
    <w:p w:rsidR="00D61C3D" w:rsidRPr="00C742FA" w:rsidRDefault="00D61C3D" w:rsidP="00D61C3D">
      <w:pPr>
        <w:pStyle w:val="E-JOURNALBODY"/>
        <w:ind w:firstLine="0"/>
        <w:rPr>
          <w:rFonts w:ascii="Garamond" w:hAnsi="Garamond"/>
          <w:sz w:val="20"/>
          <w:szCs w:val="20"/>
        </w:rPr>
      </w:pPr>
      <w:r w:rsidRPr="00C742FA">
        <w:rPr>
          <w:rFonts w:ascii="Garamond" w:hAnsi="Garamond"/>
          <w:sz w:val="20"/>
          <w:szCs w:val="20"/>
        </w:rPr>
        <w:t>Note:  Sample kelas kontrol (Nc), Rata-rata kelas kontrol (Mc), Standar deviasi kelas kontrol (SDc), Sample kelas eksperimen (Ne), Rata-rata kelas eksperimen (Me), Standar deviasi kelas eksperimen (SDe), effect size (</w:t>
      </w:r>
      <w:r w:rsidRPr="00C742FA">
        <w:rPr>
          <w:rFonts w:ascii="Garamond" w:hAnsi="Garamond"/>
          <w:i/>
          <w:iCs/>
          <w:sz w:val="20"/>
          <w:szCs w:val="20"/>
        </w:rPr>
        <w:t>d</w:t>
      </w:r>
      <w:r w:rsidRPr="00C742FA">
        <w:rPr>
          <w:rFonts w:ascii="Garamond" w:hAnsi="Garamond"/>
          <w:sz w:val="20"/>
          <w:szCs w:val="20"/>
        </w:rPr>
        <w:t>), Standar error (Er).</w:t>
      </w:r>
    </w:p>
    <w:p w:rsidR="00D61C3D" w:rsidRDefault="00D61C3D" w:rsidP="002B31FD">
      <w:pPr>
        <w:pStyle w:val="Alishlah31text"/>
      </w:pPr>
    </w:p>
    <w:p w:rsidR="00BF4E78" w:rsidRDefault="00BF4E78" w:rsidP="002B31FD">
      <w:pPr>
        <w:pStyle w:val="Alishlah31text"/>
      </w:pPr>
      <w:r>
        <w:t xml:space="preserve">After all the data has been collected, as shown in Table 2, a meta-analysis will be conducted using the JASP software. The overall results of the meta-analysis can be seen in the forest plot effect size shown in Figure 2. Based on the obtained results, it is evident that the impact of inquiry-based learning varies across each study. The lowest effect size is -0.84, which was found in the study by </w:t>
      </w:r>
      <w:proofErr w:type="spellStart"/>
      <w:r>
        <w:t>Abidin</w:t>
      </w:r>
      <w:proofErr w:type="spellEnd"/>
      <w:r>
        <w:t xml:space="preserve"> et al. (2021). Their findings showed that problem-based learning (PBL) was more effective in improving students' mathematical reasoning skills compared to the inquiry learning model. On the other hand, the best result was found by </w:t>
      </w:r>
      <w:proofErr w:type="spellStart"/>
      <w:r>
        <w:t>Thahir</w:t>
      </w:r>
      <w:proofErr w:type="spellEnd"/>
      <w:r>
        <w:t xml:space="preserve"> et al. (2020), with an effect size of 0.78, stating that inquiry-based learning significantly enhances students' scientific attitude. To specifically assess the overall impact of inquiry-based learning, the results are presented in Table 3. From this, it can be concluded that the obtained effect size is 0.444. When interpreted using Cohen's d criteria, the effect size falls under the small category (Goulet-Pelletier &amp; Cousineau, 2020). Therefore, it can be concluded that inquiry-based learning has a small impact on improving students' knowledge in the learning process at educational institutions.</w:t>
      </w:r>
    </w:p>
    <w:p w:rsidR="00BF4E78" w:rsidRPr="00BF4E78" w:rsidRDefault="00BF4E78" w:rsidP="00BF4E78">
      <w:pPr>
        <w:spacing w:before="100" w:beforeAutospacing="1" w:after="100" w:afterAutospacing="1" w:line="240" w:lineRule="auto"/>
        <w:rPr>
          <w:rFonts w:ascii="Times New Roman" w:eastAsia="Times New Roman" w:hAnsi="Times New Roman" w:cs="Times New Roman"/>
          <w:sz w:val="24"/>
          <w:szCs w:val="24"/>
          <w:lang w:eastAsia="en-ID"/>
        </w:rPr>
      </w:pPr>
      <w:r w:rsidRPr="00BF4E78">
        <w:rPr>
          <w:rFonts w:ascii="Times New Roman" w:eastAsia="Times New Roman" w:hAnsi="Times New Roman" w:cs="Times New Roman"/>
          <w:b/>
          <w:bCs/>
          <w:sz w:val="24"/>
          <w:szCs w:val="24"/>
          <w:lang w:eastAsia="en-ID"/>
        </w:rPr>
        <w:t>Table 3. Meta-Analysis Effect Size Test Results</w:t>
      </w:r>
    </w:p>
    <w:tbl>
      <w:tblPr>
        <w:tblStyle w:val="TableGrid1"/>
        <w:tblW w:w="0" w:type="auto"/>
        <w:tblLook w:val="04A0" w:firstRow="1" w:lastRow="0" w:firstColumn="1" w:lastColumn="0" w:noHBand="0" w:noVBand="1"/>
      </w:tblPr>
      <w:tblGrid>
        <w:gridCol w:w="1123"/>
        <w:gridCol w:w="1836"/>
        <w:gridCol w:w="756"/>
        <w:gridCol w:w="756"/>
        <w:gridCol w:w="2803"/>
      </w:tblGrid>
      <w:tr w:rsidR="00BF4E78" w:rsidRPr="00BF4E78" w:rsidTr="00BF4E78">
        <w:tc>
          <w:tcPr>
            <w:tcW w:w="0" w:type="auto"/>
            <w:hideMark/>
          </w:tcPr>
          <w:p w:rsidR="00BF4E78" w:rsidRPr="00BF4E78" w:rsidRDefault="00BF4E78" w:rsidP="00BF4E78">
            <w:pPr>
              <w:jc w:val="center"/>
              <w:rPr>
                <w:rFonts w:ascii="Times New Roman" w:eastAsia="Times New Roman" w:hAnsi="Times New Roman" w:cs="Times New Roman"/>
                <w:b/>
                <w:bCs/>
                <w:sz w:val="24"/>
                <w:szCs w:val="24"/>
                <w:lang w:eastAsia="en-ID"/>
              </w:rPr>
            </w:pPr>
            <w:r w:rsidRPr="00BF4E78">
              <w:rPr>
                <w:rFonts w:ascii="Times New Roman" w:eastAsia="Times New Roman" w:hAnsi="Times New Roman" w:cs="Times New Roman"/>
                <w:b/>
                <w:bCs/>
                <w:sz w:val="24"/>
                <w:szCs w:val="24"/>
                <w:lang w:eastAsia="en-ID"/>
              </w:rPr>
              <w:t>Estimate</w:t>
            </w:r>
          </w:p>
        </w:tc>
        <w:tc>
          <w:tcPr>
            <w:tcW w:w="0" w:type="auto"/>
            <w:hideMark/>
          </w:tcPr>
          <w:p w:rsidR="00BF4E78" w:rsidRPr="00BF4E78" w:rsidRDefault="00BF4E78" w:rsidP="00BF4E78">
            <w:pPr>
              <w:jc w:val="center"/>
              <w:rPr>
                <w:rFonts w:ascii="Times New Roman" w:eastAsia="Times New Roman" w:hAnsi="Times New Roman" w:cs="Times New Roman"/>
                <w:b/>
                <w:bCs/>
                <w:sz w:val="24"/>
                <w:szCs w:val="24"/>
                <w:lang w:eastAsia="en-ID"/>
              </w:rPr>
            </w:pPr>
            <w:r w:rsidRPr="00BF4E78">
              <w:rPr>
                <w:rFonts w:ascii="Times New Roman" w:eastAsia="Times New Roman" w:hAnsi="Times New Roman" w:cs="Times New Roman"/>
                <w:b/>
                <w:bCs/>
                <w:sz w:val="24"/>
                <w:szCs w:val="24"/>
                <w:lang w:eastAsia="en-ID"/>
              </w:rPr>
              <w:t>Standard Error</w:t>
            </w:r>
          </w:p>
        </w:tc>
        <w:tc>
          <w:tcPr>
            <w:tcW w:w="0" w:type="auto"/>
            <w:hideMark/>
          </w:tcPr>
          <w:p w:rsidR="00BF4E78" w:rsidRPr="00BF4E78" w:rsidRDefault="00BF4E78" w:rsidP="00BF4E78">
            <w:pPr>
              <w:jc w:val="center"/>
              <w:rPr>
                <w:rFonts w:ascii="Times New Roman" w:eastAsia="Times New Roman" w:hAnsi="Times New Roman" w:cs="Times New Roman"/>
                <w:b/>
                <w:bCs/>
                <w:sz w:val="24"/>
                <w:szCs w:val="24"/>
                <w:lang w:eastAsia="en-ID"/>
              </w:rPr>
            </w:pPr>
            <w:r w:rsidRPr="00BF4E78">
              <w:rPr>
                <w:rFonts w:ascii="Times New Roman" w:eastAsia="Times New Roman" w:hAnsi="Times New Roman" w:cs="Times New Roman"/>
                <w:b/>
                <w:bCs/>
                <w:sz w:val="24"/>
                <w:szCs w:val="24"/>
                <w:lang w:eastAsia="en-ID"/>
              </w:rPr>
              <w:t>z</w:t>
            </w:r>
          </w:p>
        </w:tc>
        <w:tc>
          <w:tcPr>
            <w:tcW w:w="0" w:type="auto"/>
            <w:hideMark/>
          </w:tcPr>
          <w:p w:rsidR="00BF4E78" w:rsidRPr="00BF4E78" w:rsidRDefault="00BF4E78" w:rsidP="00BF4E78">
            <w:pPr>
              <w:jc w:val="center"/>
              <w:rPr>
                <w:rFonts w:ascii="Times New Roman" w:eastAsia="Times New Roman" w:hAnsi="Times New Roman" w:cs="Times New Roman"/>
                <w:b/>
                <w:bCs/>
                <w:sz w:val="24"/>
                <w:szCs w:val="24"/>
                <w:lang w:eastAsia="en-ID"/>
              </w:rPr>
            </w:pPr>
            <w:r w:rsidRPr="00BF4E78">
              <w:rPr>
                <w:rFonts w:ascii="Times New Roman" w:eastAsia="Times New Roman" w:hAnsi="Times New Roman" w:cs="Times New Roman"/>
                <w:b/>
                <w:bCs/>
                <w:sz w:val="24"/>
                <w:szCs w:val="24"/>
                <w:lang w:eastAsia="en-ID"/>
              </w:rPr>
              <w:t>p</w:t>
            </w:r>
          </w:p>
        </w:tc>
        <w:tc>
          <w:tcPr>
            <w:tcW w:w="0" w:type="auto"/>
            <w:hideMark/>
          </w:tcPr>
          <w:p w:rsidR="00BF4E78" w:rsidRPr="00BF4E78" w:rsidRDefault="00BF4E78" w:rsidP="00BF4E78">
            <w:pPr>
              <w:jc w:val="center"/>
              <w:rPr>
                <w:rFonts w:ascii="Times New Roman" w:eastAsia="Times New Roman" w:hAnsi="Times New Roman" w:cs="Times New Roman"/>
                <w:b/>
                <w:bCs/>
                <w:sz w:val="24"/>
                <w:szCs w:val="24"/>
                <w:lang w:eastAsia="en-ID"/>
              </w:rPr>
            </w:pPr>
            <w:r w:rsidRPr="00BF4E78">
              <w:rPr>
                <w:rFonts w:ascii="Times New Roman" w:eastAsia="Times New Roman" w:hAnsi="Times New Roman" w:cs="Times New Roman"/>
                <w:b/>
                <w:bCs/>
                <w:sz w:val="24"/>
                <w:szCs w:val="24"/>
                <w:lang w:eastAsia="en-ID"/>
              </w:rPr>
              <w:t>95% Confidence Interval</w:t>
            </w:r>
          </w:p>
        </w:tc>
      </w:tr>
      <w:tr w:rsidR="00BF4E78" w:rsidRPr="00BF4E78" w:rsidTr="00BF4E78">
        <w:tc>
          <w:tcPr>
            <w:tcW w:w="0" w:type="auto"/>
            <w:hideMark/>
          </w:tcPr>
          <w:p w:rsidR="00BF4E78" w:rsidRPr="00BF4E78" w:rsidRDefault="00BF4E78" w:rsidP="00BF4E78">
            <w:pPr>
              <w:jc w:val="center"/>
              <w:rPr>
                <w:rFonts w:ascii="Times New Roman" w:eastAsia="Times New Roman" w:hAnsi="Times New Roman" w:cs="Times New Roman"/>
                <w:b/>
                <w:bCs/>
                <w:sz w:val="24"/>
                <w:szCs w:val="24"/>
                <w:lang w:eastAsia="en-ID"/>
              </w:rPr>
            </w:pPr>
          </w:p>
        </w:tc>
        <w:tc>
          <w:tcPr>
            <w:tcW w:w="0" w:type="auto"/>
            <w:hideMark/>
          </w:tcPr>
          <w:p w:rsidR="00BF4E78" w:rsidRPr="00BF4E78" w:rsidRDefault="00BF4E78" w:rsidP="00BF4E78">
            <w:pPr>
              <w:rPr>
                <w:rFonts w:ascii="Times New Roman" w:eastAsia="Times New Roman" w:hAnsi="Times New Roman" w:cs="Times New Roman"/>
                <w:sz w:val="20"/>
                <w:szCs w:val="20"/>
                <w:lang w:eastAsia="en-ID"/>
              </w:rPr>
            </w:pPr>
          </w:p>
        </w:tc>
        <w:tc>
          <w:tcPr>
            <w:tcW w:w="0" w:type="auto"/>
            <w:hideMark/>
          </w:tcPr>
          <w:p w:rsidR="00BF4E78" w:rsidRPr="00BF4E78" w:rsidRDefault="00BF4E78" w:rsidP="00BF4E78">
            <w:pPr>
              <w:rPr>
                <w:rFonts w:ascii="Times New Roman" w:eastAsia="Times New Roman" w:hAnsi="Times New Roman" w:cs="Times New Roman"/>
                <w:sz w:val="20"/>
                <w:szCs w:val="20"/>
                <w:lang w:eastAsia="en-ID"/>
              </w:rPr>
            </w:pPr>
          </w:p>
        </w:tc>
        <w:tc>
          <w:tcPr>
            <w:tcW w:w="0" w:type="auto"/>
            <w:hideMark/>
          </w:tcPr>
          <w:p w:rsidR="00BF4E78" w:rsidRPr="00BF4E78" w:rsidRDefault="00BF4E78" w:rsidP="00BF4E78">
            <w:pPr>
              <w:rPr>
                <w:rFonts w:ascii="Times New Roman" w:eastAsia="Times New Roman" w:hAnsi="Times New Roman" w:cs="Times New Roman"/>
                <w:sz w:val="20"/>
                <w:szCs w:val="20"/>
                <w:lang w:eastAsia="en-ID"/>
              </w:rPr>
            </w:pPr>
          </w:p>
        </w:tc>
        <w:tc>
          <w:tcPr>
            <w:tcW w:w="0" w:type="auto"/>
            <w:hideMark/>
          </w:tcPr>
          <w:p w:rsidR="00BF4E78" w:rsidRPr="00BF4E78" w:rsidRDefault="00BF4E78" w:rsidP="00BF4E78">
            <w:pPr>
              <w:rPr>
                <w:rFonts w:ascii="Times New Roman" w:eastAsia="Times New Roman" w:hAnsi="Times New Roman" w:cs="Times New Roman"/>
                <w:sz w:val="24"/>
                <w:szCs w:val="24"/>
                <w:lang w:eastAsia="en-ID"/>
              </w:rPr>
            </w:pPr>
            <w:r w:rsidRPr="00BF4E78">
              <w:rPr>
                <w:rFonts w:ascii="Times New Roman" w:eastAsia="Times New Roman" w:hAnsi="Times New Roman" w:cs="Times New Roman"/>
                <w:sz w:val="24"/>
                <w:szCs w:val="24"/>
                <w:lang w:eastAsia="en-ID"/>
              </w:rPr>
              <w:t>Lower</w:t>
            </w:r>
          </w:p>
        </w:tc>
      </w:tr>
      <w:tr w:rsidR="00BF4E78" w:rsidRPr="00BF4E78" w:rsidTr="00BF4E78">
        <w:tc>
          <w:tcPr>
            <w:tcW w:w="0" w:type="auto"/>
            <w:hideMark/>
          </w:tcPr>
          <w:p w:rsidR="00BF4E78" w:rsidRPr="00BF4E78" w:rsidRDefault="00BF4E78" w:rsidP="00BF4E78">
            <w:pPr>
              <w:rPr>
                <w:rFonts w:ascii="Times New Roman" w:eastAsia="Times New Roman" w:hAnsi="Times New Roman" w:cs="Times New Roman"/>
                <w:sz w:val="24"/>
                <w:szCs w:val="24"/>
                <w:lang w:eastAsia="en-ID"/>
              </w:rPr>
            </w:pPr>
            <w:r w:rsidRPr="00BF4E78">
              <w:rPr>
                <w:rFonts w:ascii="Times New Roman" w:eastAsia="Times New Roman" w:hAnsi="Times New Roman" w:cs="Times New Roman"/>
                <w:sz w:val="24"/>
                <w:szCs w:val="24"/>
                <w:lang w:eastAsia="en-ID"/>
              </w:rPr>
              <w:t>intercept</w:t>
            </w:r>
          </w:p>
        </w:tc>
        <w:tc>
          <w:tcPr>
            <w:tcW w:w="0" w:type="auto"/>
            <w:hideMark/>
          </w:tcPr>
          <w:p w:rsidR="00BF4E78" w:rsidRPr="00BF4E78" w:rsidRDefault="00BF4E78" w:rsidP="00BF4E78">
            <w:pPr>
              <w:rPr>
                <w:rFonts w:ascii="Times New Roman" w:eastAsia="Times New Roman" w:hAnsi="Times New Roman" w:cs="Times New Roman"/>
                <w:sz w:val="24"/>
                <w:szCs w:val="24"/>
                <w:lang w:eastAsia="en-ID"/>
              </w:rPr>
            </w:pPr>
            <w:r w:rsidRPr="00BF4E78">
              <w:rPr>
                <w:rFonts w:ascii="Times New Roman" w:eastAsia="Times New Roman" w:hAnsi="Times New Roman" w:cs="Times New Roman"/>
                <w:sz w:val="24"/>
                <w:szCs w:val="24"/>
                <w:lang w:eastAsia="en-ID"/>
              </w:rPr>
              <w:t>0.444</w:t>
            </w:r>
          </w:p>
        </w:tc>
        <w:tc>
          <w:tcPr>
            <w:tcW w:w="0" w:type="auto"/>
            <w:hideMark/>
          </w:tcPr>
          <w:p w:rsidR="00BF4E78" w:rsidRPr="00BF4E78" w:rsidRDefault="00BF4E78" w:rsidP="00BF4E78">
            <w:pPr>
              <w:rPr>
                <w:rFonts w:ascii="Times New Roman" w:eastAsia="Times New Roman" w:hAnsi="Times New Roman" w:cs="Times New Roman"/>
                <w:sz w:val="24"/>
                <w:szCs w:val="24"/>
                <w:lang w:eastAsia="en-ID"/>
              </w:rPr>
            </w:pPr>
            <w:r w:rsidRPr="00BF4E78">
              <w:rPr>
                <w:rFonts w:ascii="Times New Roman" w:eastAsia="Times New Roman" w:hAnsi="Times New Roman" w:cs="Times New Roman"/>
                <w:sz w:val="24"/>
                <w:szCs w:val="24"/>
                <w:lang w:eastAsia="en-ID"/>
              </w:rPr>
              <w:t>0.102</w:t>
            </w:r>
          </w:p>
        </w:tc>
        <w:tc>
          <w:tcPr>
            <w:tcW w:w="0" w:type="auto"/>
            <w:hideMark/>
          </w:tcPr>
          <w:p w:rsidR="00BF4E78" w:rsidRPr="00BF4E78" w:rsidRDefault="00BF4E78" w:rsidP="00BF4E78">
            <w:pPr>
              <w:rPr>
                <w:rFonts w:ascii="Times New Roman" w:eastAsia="Times New Roman" w:hAnsi="Times New Roman" w:cs="Times New Roman"/>
                <w:sz w:val="24"/>
                <w:szCs w:val="24"/>
                <w:lang w:eastAsia="en-ID"/>
              </w:rPr>
            </w:pPr>
            <w:r w:rsidRPr="00BF4E78">
              <w:rPr>
                <w:rFonts w:ascii="Times New Roman" w:eastAsia="Times New Roman" w:hAnsi="Times New Roman" w:cs="Times New Roman"/>
                <w:sz w:val="24"/>
                <w:szCs w:val="24"/>
                <w:lang w:eastAsia="en-ID"/>
              </w:rPr>
              <w:t>4.347</w:t>
            </w:r>
          </w:p>
        </w:tc>
        <w:tc>
          <w:tcPr>
            <w:tcW w:w="0" w:type="auto"/>
            <w:hideMark/>
          </w:tcPr>
          <w:p w:rsidR="00BF4E78" w:rsidRPr="00BF4E78" w:rsidRDefault="00BF4E78" w:rsidP="00BF4E78">
            <w:pPr>
              <w:rPr>
                <w:rFonts w:ascii="Times New Roman" w:eastAsia="Times New Roman" w:hAnsi="Times New Roman" w:cs="Times New Roman"/>
                <w:sz w:val="24"/>
                <w:szCs w:val="24"/>
                <w:lang w:eastAsia="en-ID"/>
              </w:rPr>
            </w:pPr>
            <w:r w:rsidRPr="00BF4E78">
              <w:rPr>
                <w:rFonts w:ascii="Times New Roman" w:eastAsia="Times New Roman" w:hAnsi="Times New Roman" w:cs="Times New Roman"/>
                <w:sz w:val="24"/>
                <w:szCs w:val="24"/>
                <w:lang w:eastAsia="en-ID"/>
              </w:rPr>
              <w:t>&lt; 0.001</w:t>
            </w:r>
          </w:p>
        </w:tc>
      </w:tr>
    </w:tbl>
    <w:p w:rsidR="00BF4E78" w:rsidRPr="00BF4E78" w:rsidRDefault="00BF4E78" w:rsidP="00BF4E78">
      <w:pPr>
        <w:spacing w:before="100" w:beforeAutospacing="1" w:after="100" w:afterAutospacing="1" w:line="240" w:lineRule="auto"/>
        <w:jc w:val="both"/>
        <w:rPr>
          <w:rFonts w:ascii="Palatino Linotype" w:eastAsia="Times New Roman" w:hAnsi="Palatino Linotype" w:cs="Times New Roman"/>
          <w:sz w:val="20"/>
          <w:szCs w:val="20"/>
          <w:lang w:eastAsia="en-ID"/>
        </w:rPr>
      </w:pPr>
      <w:r w:rsidRPr="00BF4E78">
        <w:rPr>
          <w:rFonts w:ascii="Palatino Linotype" w:eastAsia="Times New Roman" w:hAnsi="Palatino Linotype" w:cs="Times New Roman"/>
          <w:sz w:val="20"/>
          <w:szCs w:val="20"/>
          <w:lang w:eastAsia="en-ID"/>
        </w:rPr>
        <w:t>Additionally, the standard error value of 0.102 indicates that the level of uncertainty in the effect size estimate is very low, meaning the results obtained can be considered quite stable and accurate. The z-</w:t>
      </w:r>
      <w:r w:rsidRPr="00BF4E78">
        <w:rPr>
          <w:rFonts w:ascii="Palatino Linotype" w:eastAsia="Times New Roman" w:hAnsi="Palatino Linotype" w:cs="Times New Roman"/>
          <w:sz w:val="20"/>
          <w:szCs w:val="20"/>
          <w:lang w:eastAsia="en-ID"/>
        </w:rPr>
        <w:lastRenderedPageBreak/>
        <w:t xml:space="preserve">value of 4.347 suggests a strong relationship between the </w:t>
      </w:r>
      <w:proofErr w:type="spellStart"/>
      <w:r w:rsidRPr="00BF4E78">
        <w:rPr>
          <w:rFonts w:ascii="Palatino Linotype" w:eastAsia="Times New Roman" w:hAnsi="Palatino Linotype" w:cs="Times New Roman"/>
          <w:sz w:val="20"/>
          <w:szCs w:val="20"/>
          <w:lang w:eastAsia="en-ID"/>
        </w:rPr>
        <w:t>analyzed</w:t>
      </w:r>
      <w:proofErr w:type="spellEnd"/>
      <w:r w:rsidRPr="00BF4E78">
        <w:rPr>
          <w:rFonts w:ascii="Palatino Linotype" w:eastAsia="Times New Roman" w:hAnsi="Palatino Linotype" w:cs="Times New Roman"/>
          <w:sz w:val="20"/>
          <w:szCs w:val="20"/>
          <w:lang w:eastAsia="en-ID"/>
        </w:rPr>
        <w:t xml:space="preserve"> variables, and the result is highly statistically significant, as reinforced by the p-value of &lt; 0.001, which means the probability of this result occurring by chance is very small, almost close to zero. Furthermore, the 95% confidence interval ranging from 0.244 to 0.644 provides evidence that the true effect size is almost certainly within this interval. Since this range does not include zero, it can be concluded that the found effect is not only statistically significant but also practically meaningful. Overall, this analysis provides a high level of confidence in the validity and reliability of the results, showing a real and consistent effect, supporting the existence of a significant relationship between inquiry-based learning and students' learning outcomes in educational institutions.</w:t>
      </w:r>
    </w:p>
    <w:p w:rsidR="00BF4E78" w:rsidRDefault="00BF4E78" w:rsidP="00BF4E78">
      <w:pPr>
        <w:pStyle w:val="Alishlah31text"/>
        <w:ind w:firstLine="0"/>
      </w:pPr>
      <w:r w:rsidRPr="001B5DF3">
        <w:rPr>
          <w:noProof/>
        </w:rPr>
        <w:drawing>
          <wp:inline distT="0" distB="0" distL="0" distR="0" wp14:anchorId="07A57025" wp14:editId="70CBFD13">
            <wp:extent cx="4777594" cy="5760000"/>
            <wp:effectExtent l="0" t="0" r="4445" b="0"/>
            <wp:docPr id="10352227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77594" cy="5760000"/>
                    </a:xfrm>
                    <a:prstGeom prst="rect">
                      <a:avLst/>
                    </a:prstGeom>
                    <a:noFill/>
                    <a:ln>
                      <a:noFill/>
                    </a:ln>
                  </pic:spPr>
                </pic:pic>
              </a:graphicData>
            </a:graphic>
          </wp:inline>
        </w:drawing>
      </w:r>
    </w:p>
    <w:p w:rsidR="00BF4E78" w:rsidRPr="00BF4E78" w:rsidRDefault="00BF4E78" w:rsidP="00BF4E78">
      <w:pPr>
        <w:spacing w:before="100" w:beforeAutospacing="1" w:after="100" w:afterAutospacing="1" w:line="240" w:lineRule="auto"/>
        <w:jc w:val="both"/>
        <w:rPr>
          <w:rFonts w:ascii="Palatino Linotype" w:eastAsia="Times New Roman" w:hAnsi="Palatino Linotype" w:cs="Times New Roman"/>
          <w:sz w:val="20"/>
          <w:szCs w:val="20"/>
          <w:lang w:eastAsia="en-ID"/>
        </w:rPr>
      </w:pPr>
      <w:r w:rsidRPr="00BF4E78">
        <w:rPr>
          <w:rFonts w:ascii="Palatino Linotype" w:eastAsia="Times New Roman" w:hAnsi="Palatino Linotype" w:cs="Times New Roman"/>
          <w:b/>
          <w:bCs/>
          <w:sz w:val="20"/>
          <w:szCs w:val="20"/>
          <w:lang w:eastAsia="en-ID"/>
        </w:rPr>
        <w:t>Figure 2. Forest Plot Effect Size Results</w:t>
      </w:r>
    </w:p>
    <w:p w:rsidR="00BF4E78" w:rsidRDefault="00BF4E78" w:rsidP="00BF4E78">
      <w:pPr>
        <w:spacing w:before="100" w:beforeAutospacing="1" w:after="100" w:afterAutospacing="1" w:line="240" w:lineRule="auto"/>
        <w:jc w:val="both"/>
        <w:rPr>
          <w:rFonts w:ascii="Palatino Linotype" w:eastAsia="Times New Roman" w:hAnsi="Palatino Linotype" w:cs="Times New Roman"/>
          <w:sz w:val="20"/>
          <w:szCs w:val="20"/>
          <w:lang w:eastAsia="en-ID"/>
        </w:rPr>
      </w:pPr>
      <w:r w:rsidRPr="00BF4E78">
        <w:rPr>
          <w:rFonts w:ascii="Palatino Linotype" w:eastAsia="Times New Roman" w:hAnsi="Palatino Linotype" w:cs="Times New Roman"/>
          <w:sz w:val="20"/>
          <w:szCs w:val="20"/>
          <w:lang w:eastAsia="en-ID"/>
        </w:rPr>
        <w:t xml:space="preserve">After obtaining the results from the meta-analysis, it is essential to examine the potential bias in the research articles used. This step aims to enhance the validity of the data and the results of the meta-analysis conducted (Dai &amp; Martins, 2024; </w:t>
      </w:r>
      <w:proofErr w:type="spellStart"/>
      <w:r w:rsidRPr="00BF4E78">
        <w:rPr>
          <w:rFonts w:ascii="Palatino Linotype" w:eastAsia="Times New Roman" w:hAnsi="Palatino Linotype" w:cs="Times New Roman"/>
          <w:sz w:val="20"/>
          <w:szCs w:val="20"/>
          <w:lang w:eastAsia="en-ID"/>
        </w:rPr>
        <w:t>Setyawan</w:t>
      </w:r>
      <w:proofErr w:type="spellEnd"/>
      <w:r w:rsidRPr="00BF4E78">
        <w:rPr>
          <w:rFonts w:ascii="Palatino Linotype" w:eastAsia="Times New Roman" w:hAnsi="Palatino Linotype" w:cs="Times New Roman"/>
          <w:sz w:val="20"/>
          <w:szCs w:val="20"/>
          <w:lang w:eastAsia="en-ID"/>
        </w:rPr>
        <w:t xml:space="preserve"> et al., 2024). The first test is performed by examining </w:t>
      </w:r>
      <w:r w:rsidRPr="00BF4E78">
        <w:rPr>
          <w:rFonts w:ascii="Palatino Linotype" w:eastAsia="Times New Roman" w:hAnsi="Palatino Linotype" w:cs="Times New Roman"/>
          <w:sz w:val="20"/>
          <w:szCs w:val="20"/>
          <w:lang w:eastAsia="en-ID"/>
        </w:rPr>
        <w:lastRenderedPageBreak/>
        <w:t xml:space="preserve">the funnel plot produced by all the studies included in this meta-analysis, as shown in </w:t>
      </w:r>
      <w:r w:rsidRPr="00BF4E78">
        <w:rPr>
          <w:rFonts w:ascii="Palatino Linotype" w:eastAsia="Times New Roman" w:hAnsi="Palatino Linotype" w:cs="Times New Roman"/>
          <w:b/>
          <w:bCs/>
          <w:sz w:val="20"/>
          <w:szCs w:val="20"/>
          <w:lang w:eastAsia="en-ID"/>
        </w:rPr>
        <w:t>Figure 3</w:t>
      </w:r>
      <w:r w:rsidRPr="00BF4E78">
        <w:rPr>
          <w:rFonts w:ascii="Palatino Linotype" w:eastAsia="Times New Roman" w:hAnsi="Palatino Linotype" w:cs="Times New Roman"/>
          <w:sz w:val="20"/>
          <w:szCs w:val="20"/>
          <w:lang w:eastAsia="en-ID"/>
        </w:rPr>
        <w:t xml:space="preserve">. The funnel plot is used to assess the potential publication bias in the meta-analysis. The points representing the studies are spread around the central vertical line, which indicates the average effect size, with a relatively symmetrical distribution. Studies with small standard errors (large sample sizes) are concentrated near the top of the funnel, while studies with larger standard errors (small sample sizes) are spread more widely at the bottom. The symmetry of the plot indicates that the potential for publication bias is low, as there are no significant deviations or patterns showing that certain study results tend to be unreported. However, to confirm this conclusion, additional analyses such as Kendall’s τ test, Egger’s test, and fail-safe N are conducted. The results obtained from these tests are presented in </w:t>
      </w:r>
      <w:r w:rsidRPr="00BF4E78">
        <w:rPr>
          <w:rFonts w:ascii="Palatino Linotype" w:eastAsia="Times New Roman" w:hAnsi="Palatino Linotype" w:cs="Times New Roman"/>
          <w:b/>
          <w:bCs/>
          <w:sz w:val="20"/>
          <w:szCs w:val="20"/>
          <w:lang w:eastAsia="en-ID"/>
        </w:rPr>
        <w:t>Table 4</w:t>
      </w:r>
      <w:r w:rsidRPr="00BF4E78">
        <w:rPr>
          <w:rFonts w:ascii="Palatino Linotype" w:eastAsia="Times New Roman" w:hAnsi="Palatino Linotype" w:cs="Times New Roman"/>
          <w:sz w:val="20"/>
          <w:szCs w:val="20"/>
          <w:lang w:eastAsia="en-ID"/>
        </w:rPr>
        <w:t>.</w:t>
      </w:r>
    </w:p>
    <w:p w:rsidR="00BF4E78" w:rsidRPr="00BF4E78" w:rsidRDefault="00BF4E78" w:rsidP="00BF4E78">
      <w:pPr>
        <w:spacing w:before="100" w:beforeAutospacing="1" w:after="100" w:afterAutospacing="1" w:line="240" w:lineRule="auto"/>
        <w:jc w:val="both"/>
        <w:rPr>
          <w:rFonts w:ascii="Palatino Linotype" w:eastAsia="Times New Roman" w:hAnsi="Palatino Linotype" w:cs="Times New Roman"/>
          <w:sz w:val="20"/>
          <w:szCs w:val="20"/>
          <w:lang w:eastAsia="en-ID"/>
        </w:rPr>
      </w:pPr>
      <w:r w:rsidRPr="001B5DF3">
        <w:rPr>
          <w:noProof/>
        </w:rPr>
        <w:drawing>
          <wp:inline distT="0" distB="0" distL="0" distR="0" wp14:anchorId="66777B62" wp14:editId="10C54D6C">
            <wp:extent cx="3965331" cy="2519680"/>
            <wp:effectExtent l="0" t="0" r="0" b="0"/>
            <wp:docPr id="15441871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68846" cy="2521914"/>
                    </a:xfrm>
                    <a:prstGeom prst="rect">
                      <a:avLst/>
                    </a:prstGeom>
                    <a:noFill/>
                    <a:ln>
                      <a:noFill/>
                    </a:ln>
                  </pic:spPr>
                </pic:pic>
              </a:graphicData>
            </a:graphic>
          </wp:inline>
        </w:drawing>
      </w:r>
    </w:p>
    <w:p w:rsidR="00BF4E78" w:rsidRPr="00BF4E78" w:rsidRDefault="00BF4E78" w:rsidP="00BF4E78">
      <w:pPr>
        <w:spacing w:before="100" w:beforeAutospacing="1" w:after="100" w:afterAutospacing="1" w:line="240" w:lineRule="auto"/>
        <w:jc w:val="both"/>
        <w:rPr>
          <w:rFonts w:ascii="Palatino Linotype" w:eastAsia="Times New Roman" w:hAnsi="Palatino Linotype" w:cs="Times New Roman"/>
          <w:sz w:val="20"/>
          <w:szCs w:val="20"/>
          <w:lang w:eastAsia="en-ID"/>
        </w:rPr>
      </w:pPr>
      <w:r w:rsidRPr="00BF4E78">
        <w:rPr>
          <w:rFonts w:ascii="Palatino Linotype" w:eastAsia="Times New Roman" w:hAnsi="Palatino Linotype" w:cs="Times New Roman"/>
          <w:b/>
          <w:bCs/>
          <w:sz w:val="20"/>
          <w:szCs w:val="20"/>
          <w:lang w:eastAsia="en-ID"/>
        </w:rPr>
        <w:t>Figure 3. Publication Bias Testing Results from Funnel Plot</w:t>
      </w:r>
    </w:p>
    <w:p w:rsidR="00BF4E78" w:rsidRPr="00BF4E78" w:rsidRDefault="00BF4E78" w:rsidP="00BF4E78">
      <w:pPr>
        <w:spacing w:before="100" w:beforeAutospacing="1" w:after="100" w:afterAutospacing="1" w:line="240" w:lineRule="auto"/>
        <w:jc w:val="both"/>
        <w:rPr>
          <w:rFonts w:ascii="Palatino Linotype" w:eastAsia="Times New Roman" w:hAnsi="Palatino Linotype" w:cs="Times New Roman"/>
          <w:sz w:val="20"/>
          <w:szCs w:val="20"/>
          <w:lang w:eastAsia="en-ID"/>
        </w:rPr>
      </w:pPr>
      <w:r w:rsidRPr="00BF4E78">
        <w:rPr>
          <w:rFonts w:ascii="Palatino Linotype" w:eastAsia="Times New Roman" w:hAnsi="Palatino Linotype" w:cs="Times New Roman"/>
          <w:sz w:val="20"/>
          <w:szCs w:val="20"/>
          <w:lang w:eastAsia="en-ID"/>
        </w:rPr>
        <w:t>The analysis of publication bias in this meta-analysis shows that Kendall’s τ has a value of 0.238 with a p-value of 0.097. Based on these results, it can be concluded that there is no statistically significant indication of publication bias (p &gt; 0.05). Kendall’s τ test is used to evaluate the relationship between effect size and sample size in individual studies, where a non-significant p-value indicates that the distribution of study effects is not affected by publication bias. Next, Egger’s Test produces a z value of 1.405 with a p-value of 0.160, also showing no significant asymmetry in the funnel plot (p &gt; 0.05). Egger’s Test is used to detect the presence of publication bias through regression analysis on the funnel plot, and this result indicates that the meta-analysis is free from asymmetry bias. Overall, both tests consistently show that publication bias does not significantly affect the reliability of this meta-analysis. Furthermore, the Fail-safe N value is 687,000 with a p-value of 0.001. The Fail-safe N obtained will be compared with the equation 5K + 10 (135); comparing these values, it is found that the Fail-safe N value (687,000) is much larger than 5K + 10 (135). This large value of Fail-safe N indicates that the meta-analysis results are very stable and not susceptible to publication bias. Overall, these findings show that this meta-analysis is free from significant publication bias and has a high level of reliability.</w:t>
      </w:r>
    </w:p>
    <w:p w:rsidR="00BF4E78" w:rsidRPr="00BF4E78" w:rsidRDefault="00BF4E78" w:rsidP="00BF4E78">
      <w:pPr>
        <w:spacing w:before="100" w:beforeAutospacing="1" w:after="100" w:afterAutospacing="1" w:line="240" w:lineRule="auto"/>
        <w:jc w:val="both"/>
        <w:rPr>
          <w:rFonts w:ascii="Palatino Linotype" w:eastAsia="Times New Roman" w:hAnsi="Palatino Linotype" w:cs="Times New Roman"/>
          <w:sz w:val="20"/>
          <w:szCs w:val="20"/>
          <w:lang w:eastAsia="en-ID"/>
        </w:rPr>
      </w:pPr>
      <w:r w:rsidRPr="00BF4E78">
        <w:rPr>
          <w:rFonts w:ascii="Palatino Linotype" w:eastAsia="Times New Roman" w:hAnsi="Palatino Linotype" w:cs="Times New Roman"/>
          <w:b/>
          <w:bCs/>
          <w:sz w:val="20"/>
          <w:szCs w:val="20"/>
          <w:lang w:eastAsia="en-ID"/>
        </w:rPr>
        <w:t>Table 4. Results of Bias Testing with Kendall’s τ, Egger’s Test, and Fail-safe N</w:t>
      </w:r>
    </w:p>
    <w:tbl>
      <w:tblPr>
        <w:tblStyle w:val="TableGrid1"/>
        <w:tblW w:w="0" w:type="auto"/>
        <w:tblInd w:w="1822" w:type="dxa"/>
        <w:tblLook w:val="04A0" w:firstRow="1" w:lastRow="0" w:firstColumn="1" w:lastColumn="0" w:noHBand="0" w:noVBand="1"/>
      </w:tblPr>
      <w:tblGrid>
        <w:gridCol w:w="1578"/>
        <w:gridCol w:w="1788"/>
        <w:gridCol w:w="905"/>
      </w:tblGrid>
      <w:tr w:rsidR="00BF4E78" w:rsidRPr="00BF4E78" w:rsidTr="00BF4E78">
        <w:tc>
          <w:tcPr>
            <w:tcW w:w="0" w:type="auto"/>
            <w:hideMark/>
          </w:tcPr>
          <w:p w:rsidR="00BF4E78" w:rsidRPr="00BF4E78" w:rsidRDefault="00BF4E78" w:rsidP="00BF4E78">
            <w:pPr>
              <w:jc w:val="both"/>
              <w:rPr>
                <w:rFonts w:ascii="Palatino Linotype" w:eastAsia="Times New Roman" w:hAnsi="Palatino Linotype" w:cs="Times New Roman"/>
                <w:b/>
                <w:bCs/>
                <w:sz w:val="20"/>
                <w:szCs w:val="20"/>
                <w:lang w:eastAsia="en-ID"/>
              </w:rPr>
            </w:pPr>
            <w:r w:rsidRPr="00BF4E78">
              <w:rPr>
                <w:rFonts w:ascii="Palatino Linotype" w:eastAsia="Times New Roman" w:hAnsi="Palatino Linotype" w:cs="Times New Roman"/>
                <w:b/>
                <w:bCs/>
                <w:sz w:val="20"/>
                <w:szCs w:val="20"/>
                <w:lang w:eastAsia="en-ID"/>
              </w:rPr>
              <w:t>Analysis</w:t>
            </w:r>
          </w:p>
        </w:tc>
        <w:tc>
          <w:tcPr>
            <w:tcW w:w="0" w:type="auto"/>
            <w:hideMark/>
          </w:tcPr>
          <w:p w:rsidR="00BF4E78" w:rsidRPr="00BF4E78" w:rsidRDefault="00BF4E78" w:rsidP="00BF4E78">
            <w:pPr>
              <w:jc w:val="both"/>
              <w:rPr>
                <w:rFonts w:ascii="Palatino Linotype" w:eastAsia="Times New Roman" w:hAnsi="Palatino Linotype" w:cs="Times New Roman"/>
                <w:b/>
                <w:bCs/>
                <w:sz w:val="20"/>
                <w:szCs w:val="20"/>
                <w:lang w:eastAsia="en-ID"/>
              </w:rPr>
            </w:pPr>
            <w:r w:rsidRPr="00BF4E78">
              <w:rPr>
                <w:rFonts w:ascii="Palatino Linotype" w:eastAsia="Times New Roman" w:hAnsi="Palatino Linotype" w:cs="Times New Roman"/>
                <w:b/>
                <w:bCs/>
                <w:sz w:val="20"/>
                <w:szCs w:val="20"/>
                <w:lang w:eastAsia="en-ID"/>
              </w:rPr>
              <w:t>Calculated Value</w:t>
            </w:r>
          </w:p>
        </w:tc>
        <w:tc>
          <w:tcPr>
            <w:tcW w:w="0" w:type="auto"/>
            <w:hideMark/>
          </w:tcPr>
          <w:p w:rsidR="00BF4E78" w:rsidRPr="00BF4E78" w:rsidRDefault="00BF4E78" w:rsidP="00BF4E78">
            <w:pPr>
              <w:jc w:val="both"/>
              <w:rPr>
                <w:rFonts w:ascii="Palatino Linotype" w:eastAsia="Times New Roman" w:hAnsi="Palatino Linotype" w:cs="Times New Roman"/>
                <w:b/>
                <w:bCs/>
                <w:sz w:val="20"/>
                <w:szCs w:val="20"/>
                <w:lang w:eastAsia="en-ID"/>
              </w:rPr>
            </w:pPr>
            <w:r w:rsidRPr="00BF4E78">
              <w:rPr>
                <w:rFonts w:ascii="Palatino Linotype" w:eastAsia="Times New Roman" w:hAnsi="Palatino Linotype" w:cs="Times New Roman"/>
                <w:b/>
                <w:bCs/>
                <w:sz w:val="20"/>
                <w:szCs w:val="20"/>
                <w:lang w:eastAsia="en-ID"/>
              </w:rPr>
              <w:t>p-value</w:t>
            </w:r>
          </w:p>
        </w:tc>
      </w:tr>
      <w:tr w:rsidR="00BF4E78" w:rsidRPr="00BF4E78" w:rsidTr="00BF4E78">
        <w:tc>
          <w:tcPr>
            <w:tcW w:w="0" w:type="auto"/>
            <w:hideMark/>
          </w:tcPr>
          <w:p w:rsidR="00BF4E78" w:rsidRPr="00BF4E78" w:rsidRDefault="00BF4E78" w:rsidP="00BF4E78">
            <w:pPr>
              <w:jc w:val="both"/>
              <w:rPr>
                <w:rFonts w:ascii="Palatino Linotype" w:eastAsia="Times New Roman" w:hAnsi="Palatino Linotype" w:cs="Times New Roman"/>
                <w:sz w:val="20"/>
                <w:szCs w:val="20"/>
                <w:lang w:eastAsia="en-ID"/>
              </w:rPr>
            </w:pPr>
            <w:r w:rsidRPr="00BF4E78">
              <w:rPr>
                <w:rFonts w:ascii="Palatino Linotype" w:eastAsia="Times New Roman" w:hAnsi="Palatino Linotype" w:cs="Times New Roman"/>
                <w:sz w:val="20"/>
                <w:szCs w:val="20"/>
                <w:lang w:eastAsia="en-ID"/>
              </w:rPr>
              <w:t>Kendall’s τ</w:t>
            </w:r>
          </w:p>
        </w:tc>
        <w:tc>
          <w:tcPr>
            <w:tcW w:w="0" w:type="auto"/>
            <w:hideMark/>
          </w:tcPr>
          <w:p w:rsidR="00BF4E78" w:rsidRPr="00BF4E78" w:rsidRDefault="00BF4E78" w:rsidP="00BF4E78">
            <w:pPr>
              <w:jc w:val="both"/>
              <w:rPr>
                <w:rFonts w:ascii="Palatino Linotype" w:eastAsia="Times New Roman" w:hAnsi="Palatino Linotype" w:cs="Times New Roman"/>
                <w:sz w:val="20"/>
                <w:szCs w:val="20"/>
                <w:lang w:eastAsia="en-ID"/>
              </w:rPr>
            </w:pPr>
            <w:r w:rsidRPr="00BF4E78">
              <w:rPr>
                <w:rFonts w:ascii="Palatino Linotype" w:eastAsia="Times New Roman" w:hAnsi="Palatino Linotype" w:cs="Times New Roman"/>
                <w:sz w:val="20"/>
                <w:szCs w:val="20"/>
                <w:lang w:eastAsia="en-ID"/>
              </w:rPr>
              <w:t>0.238</w:t>
            </w:r>
          </w:p>
        </w:tc>
        <w:tc>
          <w:tcPr>
            <w:tcW w:w="0" w:type="auto"/>
            <w:hideMark/>
          </w:tcPr>
          <w:p w:rsidR="00BF4E78" w:rsidRPr="00BF4E78" w:rsidRDefault="00BF4E78" w:rsidP="00BF4E78">
            <w:pPr>
              <w:jc w:val="both"/>
              <w:rPr>
                <w:rFonts w:ascii="Palatino Linotype" w:eastAsia="Times New Roman" w:hAnsi="Palatino Linotype" w:cs="Times New Roman"/>
                <w:sz w:val="20"/>
                <w:szCs w:val="20"/>
                <w:lang w:eastAsia="en-ID"/>
              </w:rPr>
            </w:pPr>
            <w:r w:rsidRPr="00BF4E78">
              <w:rPr>
                <w:rFonts w:ascii="Palatino Linotype" w:eastAsia="Times New Roman" w:hAnsi="Palatino Linotype" w:cs="Times New Roman"/>
                <w:sz w:val="20"/>
                <w:szCs w:val="20"/>
                <w:lang w:eastAsia="en-ID"/>
              </w:rPr>
              <w:t>0.097</w:t>
            </w:r>
          </w:p>
        </w:tc>
      </w:tr>
      <w:tr w:rsidR="00BF4E78" w:rsidRPr="00BF4E78" w:rsidTr="00BF4E78">
        <w:tc>
          <w:tcPr>
            <w:tcW w:w="0" w:type="auto"/>
            <w:hideMark/>
          </w:tcPr>
          <w:p w:rsidR="00BF4E78" w:rsidRPr="00BF4E78" w:rsidRDefault="00BF4E78" w:rsidP="00BF4E78">
            <w:pPr>
              <w:jc w:val="both"/>
              <w:rPr>
                <w:rFonts w:ascii="Palatino Linotype" w:eastAsia="Times New Roman" w:hAnsi="Palatino Linotype" w:cs="Times New Roman"/>
                <w:sz w:val="20"/>
                <w:szCs w:val="20"/>
                <w:lang w:eastAsia="en-ID"/>
              </w:rPr>
            </w:pPr>
            <w:r w:rsidRPr="00BF4E78">
              <w:rPr>
                <w:rFonts w:ascii="Palatino Linotype" w:eastAsia="Times New Roman" w:hAnsi="Palatino Linotype" w:cs="Times New Roman"/>
                <w:sz w:val="20"/>
                <w:szCs w:val="20"/>
                <w:lang w:eastAsia="en-ID"/>
              </w:rPr>
              <w:t>Egger’s Test (z)</w:t>
            </w:r>
          </w:p>
        </w:tc>
        <w:tc>
          <w:tcPr>
            <w:tcW w:w="0" w:type="auto"/>
            <w:hideMark/>
          </w:tcPr>
          <w:p w:rsidR="00BF4E78" w:rsidRPr="00BF4E78" w:rsidRDefault="00BF4E78" w:rsidP="00BF4E78">
            <w:pPr>
              <w:jc w:val="both"/>
              <w:rPr>
                <w:rFonts w:ascii="Palatino Linotype" w:eastAsia="Times New Roman" w:hAnsi="Palatino Linotype" w:cs="Times New Roman"/>
                <w:sz w:val="20"/>
                <w:szCs w:val="20"/>
                <w:lang w:eastAsia="en-ID"/>
              </w:rPr>
            </w:pPr>
            <w:r w:rsidRPr="00BF4E78">
              <w:rPr>
                <w:rFonts w:ascii="Palatino Linotype" w:eastAsia="Times New Roman" w:hAnsi="Palatino Linotype" w:cs="Times New Roman"/>
                <w:sz w:val="20"/>
                <w:szCs w:val="20"/>
                <w:lang w:eastAsia="en-ID"/>
              </w:rPr>
              <w:t>1.405</w:t>
            </w:r>
          </w:p>
        </w:tc>
        <w:tc>
          <w:tcPr>
            <w:tcW w:w="0" w:type="auto"/>
            <w:hideMark/>
          </w:tcPr>
          <w:p w:rsidR="00BF4E78" w:rsidRPr="00BF4E78" w:rsidRDefault="00BF4E78" w:rsidP="00BF4E78">
            <w:pPr>
              <w:jc w:val="both"/>
              <w:rPr>
                <w:rFonts w:ascii="Palatino Linotype" w:eastAsia="Times New Roman" w:hAnsi="Palatino Linotype" w:cs="Times New Roman"/>
                <w:sz w:val="20"/>
                <w:szCs w:val="20"/>
                <w:lang w:eastAsia="en-ID"/>
              </w:rPr>
            </w:pPr>
            <w:r w:rsidRPr="00BF4E78">
              <w:rPr>
                <w:rFonts w:ascii="Palatino Linotype" w:eastAsia="Times New Roman" w:hAnsi="Palatino Linotype" w:cs="Times New Roman"/>
                <w:sz w:val="20"/>
                <w:szCs w:val="20"/>
                <w:lang w:eastAsia="en-ID"/>
              </w:rPr>
              <w:t>0.160</w:t>
            </w:r>
          </w:p>
        </w:tc>
      </w:tr>
      <w:tr w:rsidR="00BF4E78" w:rsidRPr="00BF4E78" w:rsidTr="00BF4E78">
        <w:tc>
          <w:tcPr>
            <w:tcW w:w="0" w:type="auto"/>
            <w:hideMark/>
          </w:tcPr>
          <w:p w:rsidR="00BF4E78" w:rsidRPr="00BF4E78" w:rsidRDefault="00BF4E78" w:rsidP="00BF4E78">
            <w:pPr>
              <w:jc w:val="both"/>
              <w:rPr>
                <w:rFonts w:ascii="Palatino Linotype" w:eastAsia="Times New Roman" w:hAnsi="Palatino Linotype" w:cs="Times New Roman"/>
                <w:sz w:val="20"/>
                <w:szCs w:val="20"/>
                <w:lang w:eastAsia="en-ID"/>
              </w:rPr>
            </w:pPr>
            <w:r w:rsidRPr="00BF4E78">
              <w:rPr>
                <w:rFonts w:ascii="Palatino Linotype" w:eastAsia="Times New Roman" w:hAnsi="Palatino Linotype" w:cs="Times New Roman"/>
                <w:sz w:val="20"/>
                <w:szCs w:val="20"/>
                <w:lang w:eastAsia="en-ID"/>
              </w:rPr>
              <w:t>Fail-safe N</w:t>
            </w:r>
          </w:p>
        </w:tc>
        <w:tc>
          <w:tcPr>
            <w:tcW w:w="0" w:type="auto"/>
            <w:hideMark/>
          </w:tcPr>
          <w:p w:rsidR="00BF4E78" w:rsidRPr="00BF4E78" w:rsidRDefault="00BF4E78" w:rsidP="00BF4E78">
            <w:pPr>
              <w:jc w:val="both"/>
              <w:rPr>
                <w:rFonts w:ascii="Palatino Linotype" w:eastAsia="Times New Roman" w:hAnsi="Palatino Linotype" w:cs="Times New Roman"/>
                <w:sz w:val="20"/>
                <w:szCs w:val="20"/>
                <w:lang w:eastAsia="en-ID"/>
              </w:rPr>
            </w:pPr>
            <w:r w:rsidRPr="00BF4E78">
              <w:rPr>
                <w:rFonts w:ascii="Palatino Linotype" w:eastAsia="Times New Roman" w:hAnsi="Palatino Linotype" w:cs="Times New Roman"/>
                <w:sz w:val="20"/>
                <w:szCs w:val="20"/>
                <w:lang w:eastAsia="en-ID"/>
              </w:rPr>
              <w:t>687,000</w:t>
            </w:r>
          </w:p>
        </w:tc>
        <w:tc>
          <w:tcPr>
            <w:tcW w:w="0" w:type="auto"/>
            <w:hideMark/>
          </w:tcPr>
          <w:p w:rsidR="00BF4E78" w:rsidRPr="00BF4E78" w:rsidRDefault="00BF4E78" w:rsidP="00BF4E78">
            <w:pPr>
              <w:jc w:val="both"/>
              <w:rPr>
                <w:rFonts w:ascii="Palatino Linotype" w:eastAsia="Times New Roman" w:hAnsi="Palatino Linotype" w:cs="Times New Roman"/>
                <w:sz w:val="20"/>
                <w:szCs w:val="20"/>
                <w:lang w:eastAsia="en-ID"/>
              </w:rPr>
            </w:pPr>
            <w:r w:rsidRPr="00BF4E78">
              <w:rPr>
                <w:rFonts w:ascii="Palatino Linotype" w:eastAsia="Times New Roman" w:hAnsi="Palatino Linotype" w:cs="Times New Roman"/>
                <w:sz w:val="20"/>
                <w:szCs w:val="20"/>
                <w:lang w:eastAsia="en-ID"/>
              </w:rPr>
              <w:t>0.001</w:t>
            </w:r>
          </w:p>
        </w:tc>
      </w:tr>
    </w:tbl>
    <w:p w:rsidR="00BF4E78" w:rsidRPr="00BF4E78" w:rsidRDefault="00BF4E78" w:rsidP="00BF4E78">
      <w:pPr>
        <w:spacing w:before="100" w:beforeAutospacing="1" w:after="100" w:afterAutospacing="1" w:line="240" w:lineRule="auto"/>
        <w:jc w:val="both"/>
        <w:rPr>
          <w:rFonts w:ascii="Palatino Linotype" w:eastAsia="Times New Roman" w:hAnsi="Palatino Linotype" w:cs="Times New Roman"/>
          <w:sz w:val="20"/>
          <w:szCs w:val="20"/>
          <w:lang w:eastAsia="en-ID"/>
        </w:rPr>
      </w:pPr>
      <w:r w:rsidRPr="00BF4E78">
        <w:rPr>
          <w:rFonts w:ascii="Palatino Linotype" w:eastAsia="Times New Roman" w:hAnsi="Palatino Linotype" w:cs="Times New Roman"/>
          <w:b/>
          <w:bCs/>
          <w:sz w:val="20"/>
          <w:szCs w:val="20"/>
          <w:lang w:eastAsia="en-ID"/>
        </w:rPr>
        <w:lastRenderedPageBreak/>
        <w:t>Discussion</w:t>
      </w:r>
      <w:bookmarkStart w:id="2" w:name="_GoBack"/>
      <w:bookmarkEnd w:id="2"/>
    </w:p>
    <w:p w:rsidR="00BF4E78" w:rsidRPr="00BF4E78" w:rsidRDefault="00BF4E78" w:rsidP="00BF4E78">
      <w:pPr>
        <w:spacing w:before="100" w:beforeAutospacing="1" w:after="100" w:afterAutospacing="1" w:line="240" w:lineRule="auto"/>
        <w:jc w:val="both"/>
        <w:rPr>
          <w:rFonts w:ascii="Palatino Linotype" w:eastAsia="Times New Roman" w:hAnsi="Palatino Linotype" w:cs="Times New Roman"/>
          <w:sz w:val="20"/>
          <w:szCs w:val="20"/>
          <w:lang w:eastAsia="en-ID"/>
        </w:rPr>
      </w:pPr>
      <w:r w:rsidRPr="00BF4E78">
        <w:rPr>
          <w:rFonts w:ascii="Palatino Linotype" w:eastAsia="Times New Roman" w:hAnsi="Palatino Linotype" w:cs="Times New Roman"/>
          <w:sz w:val="20"/>
          <w:szCs w:val="20"/>
          <w:lang w:eastAsia="en-ID"/>
        </w:rPr>
        <w:t>Based on the results of the meta-analysis, it is evident that the impact of inquiry-based learning varies. The lowest effect size is (d = -0.84), while the highest is (d = 1.63). However, the overall average effect size obtained is (d = 0.444) with a p-value of (0.001). These results indicate that inquiry-based learning has a moderate impact on the learning process. Although the impact is moderate, it is significant enough to improve student learning outcomes. The variation in the results is attributed to differences in the context of implementing inquiry-based learning and the quality of teachers in the learning process (</w:t>
      </w:r>
      <w:proofErr w:type="spellStart"/>
      <w:r w:rsidRPr="00BF4E78">
        <w:rPr>
          <w:rFonts w:ascii="Palatino Linotype" w:eastAsia="Times New Roman" w:hAnsi="Palatino Linotype" w:cs="Times New Roman"/>
          <w:sz w:val="20"/>
          <w:szCs w:val="20"/>
          <w:lang w:eastAsia="en-ID"/>
        </w:rPr>
        <w:t>Hinostroza</w:t>
      </w:r>
      <w:proofErr w:type="spellEnd"/>
      <w:r w:rsidRPr="00BF4E78">
        <w:rPr>
          <w:rFonts w:ascii="Palatino Linotype" w:eastAsia="Times New Roman" w:hAnsi="Palatino Linotype" w:cs="Times New Roman"/>
          <w:sz w:val="20"/>
          <w:szCs w:val="20"/>
          <w:lang w:eastAsia="en-ID"/>
        </w:rPr>
        <w:t xml:space="preserve"> et al., 2024; Strat et al., 2024). For example, (</w:t>
      </w:r>
      <w:proofErr w:type="spellStart"/>
      <w:r w:rsidRPr="00BF4E78">
        <w:rPr>
          <w:rFonts w:ascii="Palatino Linotype" w:eastAsia="Times New Roman" w:hAnsi="Palatino Linotype" w:cs="Times New Roman"/>
          <w:sz w:val="20"/>
          <w:szCs w:val="20"/>
          <w:lang w:eastAsia="en-ID"/>
        </w:rPr>
        <w:t>Abidin</w:t>
      </w:r>
      <w:proofErr w:type="spellEnd"/>
      <w:r w:rsidRPr="00BF4E78">
        <w:rPr>
          <w:rFonts w:ascii="Palatino Linotype" w:eastAsia="Times New Roman" w:hAnsi="Palatino Linotype" w:cs="Times New Roman"/>
          <w:sz w:val="20"/>
          <w:szCs w:val="20"/>
          <w:lang w:eastAsia="en-ID"/>
        </w:rPr>
        <w:t xml:space="preserve"> et al., 2021) applied seven steps of inquiry-based learning: asking questions, formulating hypotheses, designing experiments, conducting experiments, </w:t>
      </w:r>
      <w:proofErr w:type="spellStart"/>
      <w:r w:rsidRPr="00BF4E78">
        <w:rPr>
          <w:rFonts w:ascii="Palatino Linotype" w:eastAsia="Times New Roman" w:hAnsi="Palatino Linotype" w:cs="Times New Roman"/>
          <w:sz w:val="20"/>
          <w:szCs w:val="20"/>
          <w:lang w:eastAsia="en-ID"/>
        </w:rPr>
        <w:t>analyzing</w:t>
      </w:r>
      <w:proofErr w:type="spellEnd"/>
      <w:r w:rsidRPr="00BF4E78">
        <w:rPr>
          <w:rFonts w:ascii="Palatino Linotype" w:eastAsia="Times New Roman" w:hAnsi="Palatino Linotype" w:cs="Times New Roman"/>
          <w:sz w:val="20"/>
          <w:szCs w:val="20"/>
          <w:lang w:eastAsia="en-ID"/>
        </w:rPr>
        <w:t xml:space="preserve"> data, drawing conclusions, and applying the results, which yielded less </w:t>
      </w:r>
      <w:proofErr w:type="spellStart"/>
      <w:r w:rsidRPr="00BF4E78">
        <w:rPr>
          <w:rFonts w:ascii="Palatino Linotype" w:eastAsia="Times New Roman" w:hAnsi="Palatino Linotype" w:cs="Times New Roman"/>
          <w:sz w:val="20"/>
          <w:szCs w:val="20"/>
          <w:lang w:eastAsia="en-ID"/>
        </w:rPr>
        <w:t>favorable</w:t>
      </w:r>
      <w:proofErr w:type="spellEnd"/>
      <w:r w:rsidRPr="00BF4E78">
        <w:rPr>
          <w:rFonts w:ascii="Palatino Linotype" w:eastAsia="Times New Roman" w:hAnsi="Palatino Linotype" w:cs="Times New Roman"/>
          <w:sz w:val="20"/>
          <w:szCs w:val="20"/>
          <w:lang w:eastAsia="en-ID"/>
        </w:rPr>
        <w:t xml:space="preserve"> results. Meanwhile, (</w:t>
      </w:r>
      <w:proofErr w:type="spellStart"/>
      <w:r w:rsidRPr="00BF4E78">
        <w:rPr>
          <w:rFonts w:ascii="Palatino Linotype" w:eastAsia="Times New Roman" w:hAnsi="Palatino Linotype" w:cs="Times New Roman"/>
          <w:sz w:val="20"/>
          <w:szCs w:val="20"/>
          <w:lang w:eastAsia="en-ID"/>
        </w:rPr>
        <w:t>Nasri</w:t>
      </w:r>
      <w:proofErr w:type="spellEnd"/>
      <w:r w:rsidRPr="00BF4E78">
        <w:rPr>
          <w:rFonts w:ascii="Palatino Linotype" w:eastAsia="Times New Roman" w:hAnsi="Palatino Linotype" w:cs="Times New Roman"/>
          <w:sz w:val="20"/>
          <w:szCs w:val="20"/>
          <w:lang w:eastAsia="en-ID"/>
        </w:rPr>
        <w:t xml:space="preserve"> et al., 2023) applied six steps of inquiry-based learning: Orientation, Conceptualization, Conducting Investigations, </w:t>
      </w:r>
      <w:proofErr w:type="spellStart"/>
      <w:r w:rsidRPr="00BF4E78">
        <w:rPr>
          <w:rFonts w:ascii="Palatino Linotype" w:eastAsia="Times New Roman" w:hAnsi="Palatino Linotype" w:cs="Times New Roman"/>
          <w:sz w:val="20"/>
          <w:szCs w:val="20"/>
          <w:lang w:eastAsia="en-ID"/>
        </w:rPr>
        <w:t>Analyzing</w:t>
      </w:r>
      <w:proofErr w:type="spellEnd"/>
      <w:r w:rsidRPr="00BF4E78">
        <w:rPr>
          <w:rFonts w:ascii="Palatino Linotype" w:eastAsia="Times New Roman" w:hAnsi="Palatino Linotype" w:cs="Times New Roman"/>
          <w:sz w:val="20"/>
          <w:szCs w:val="20"/>
          <w:lang w:eastAsia="en-ID"/>
        </w:rPr>
        <w:t xml:space="preserve"> Data, Conclusion, and Reflection, which resulted in excellent outcomes.</w:t>
      </w:r>
    </w:p>
    <w:p w:rsidR="00BF4E78" w:rsidRPr="00BF4E78" w:rsidRDefault="00BF4E78" w:rsidP="00BF4E78">
      <w:pPr>
        <w:spacing w:before="100" w:beforeAutospacing="1" w:after="100" w:afterAutospacing="1" w:line="240" w:lineRule="auto"/>
        <w:jc w:val="both"/>
        <w:rPr>
          <w:rFonts w:ascii="Palatino Linotype" w:eastAsia="Times New Roman" w:hAnsi="Palatino Linotype" w:cs="Times New Roman"/>
          <w:sz w:val="20"/>
          <w:szCs w:val="20"/>
          <w:lang w:eastAsia="en-ID"/>
        </w:rPr>
      </w:pPr>
      <w:r w:rsidRPr="00BF4E78">
        <w:rPr>
          <w:rFonts w:ascii="Palatino Linotype" w:eastAsia="Times New Roman" w:hAnsi="Palatino Linotype" w:cs="Times New Roman"/>
          <w:sz w:val="20"/>
          <w:szCs w:val="20"/>
          <w:lang w:eastAsia="en-ID"/>
        </w:rPr>
        <w:t xml:space="preserve">In the learning process, researchers also integrated STEM (Science, Technology, Engineering, and Mathematics) with inquiry-based learning. The learning process involved eight steps: asking questions and defining problems, developing and using models, planning and carrying out investigations, </w:t>
      </w:r>
      <w:proofErr w:type="spellStart"/>
      <w:r w:rsidRPr="00BF4E78">
        <w:rPr>
          <w:rFonts w:ascii="Palatino Linotype" w:eastAsia="Times New Roman" w:hAnsi="Palatino Linotype" w:cs="Times New Roman"/>
          <w:sz w:val="20"/>
          <w:szCs w:val="20"/>
          <w:lang w:eastAsia="en-ID"/>
        </w:rPr>
        <w:t>analyzing</w:t>
      </w:r>
      <w:proofErr w:type="spellEnd"/>
      <w:r w:rsidRPr="00BF4E78">
        <w:rPr>
          <w:rFonts w:ascii="Palatino Linotype" w:eastAsia="Times New Roman" w:hAnsi="Palatino Linotype" w:cs="Times New Roman"/>
          <w:sz w:val="20"/>
          <w:szCs w:val="20"/>
          <w:lang w:eastAsia="en-ID"/>
        </w:rPr>
        <w:t xml:space="preserve"> and interpreting data, using mathematics and computational thinking, constructing explanations and designing solutions, engaging in arguments from evidence, and obtaining, evaluating, and communicating information. This study found a moderate impact on improving student character and a small impact on enhancing knowledge (conceptual understanding) (</w:t>
      </w:r>
      <w:proofErr w:type="spellStart"/>
      <w:r w:rsidRPr="00BF4E78">
        <w:rPr>
          <w:rFonts w:ascii="Palatino Linotype" w:eastAsia="Times New Roman" w:hAnsi="Palatino Linotype" w:cs="Times New Roman"/>
          <w:sz w:val="20"/>
          <w:szCs w:val="20"/>
          <w:lang w:eastAsia="en-ID"/>
        </w:rPr>
        <w:t>Thahir</w:t>
      </w:r>
      <w:proofErr w:type="spellEnd"/>
      <w:r w:rsidRPr="00BF4E78">
        <w:rPr>
          <w:rFonts w:ascii="Palatino Linotype" w:eastAsia="Times New Roman" w:hAnsi="Palatino Linotype" w:cs="Times New Roman"/>
          <w:sz w:val="20"/>
          <w:szCs w:val="20"/>
          <w:lang w:eastAsia="en-ID"/>
        </w:rPr>
        <w:t xml:space="preserve"> et al., 2020). Meanwhile, (Marion et al., 2023) integrated digital technology (GeoGebra) into inquiry-based learning, which used seven learning steps: orientation, asking questions, experiments, collecting and </w:t>
      </w:r>
      <w:proofErr w:type="spellStart"/>
      <w:r w:rsidRPr="00BF4E78">
        <w:rPr>
          <w:rFonts w:ascii="Palatino Linotype" w:eastAsia="Times New Roman" w:hAnsi="Palatino Linotype" w:cs="Times New Roman"/>
          <w:sz w:val="20"/>
          <w:szCs w:val="20"/>
          <w:lang w:eastAsia="en-ID"/>
        </w:rPr>
        <w:t>analyzing</w:t>
      </w:r>
      <w:proofErr w:type="spellEnd"/>
      <w:r w:rsidRPr="00BF4E78">
        <w:rPr>
          <w:rFonts w:ascii="Palatino Linotype" w:eastAsia="Times New Roman" w:hAnsi="Palatino Linotype" w:cs="Times New Roman"/>
          <w:sz w:val="20"/>
          <w:szCs w:val="20"/>
          <w:lang w:eastAsia="en-ID"/>
        </w:rPr>
        <w:t xml:space="preserve"> data, discussion, conclusion, and evaluation. The results showed a significant improvement in knowledge (conceptual understanding), with a moderate effect size.</w:t>
      </w:r>
    </w:p>
    <w:p w:rsidR="00BF4E78" w:rsidRPr="00BF4E78" w:rsidRDefault="00BF4E78" w:rsidP="00BF4E78">
      <w:pPr>
        <w:spacing w:before="100" w:beforeAutospacing="1" w:after="100" w:afterAutospacing="1" w:line="240" w:lineRule="auto"/>
        <w:jc w:val="both"/>
        <w:rPr>
          <w:rFonts w:ascii="Palatino Linotype" w:eastAsia="Times New Roman" w:hAnsi="Palatino Linotype" w:cs="Times New Roman"/>
          <w:sz w:val="20"/>
          <w:szCs w:val="20"/>
          <w:lang w:eastAsia="en-ID"/>
        </w:rPr>
      </w:pPr>
      <w:r w:rsidRPr="00BF4E78">
        <w:rPr>
          <w:rFonts w:ascii="Palatino Linotype" w:eastAsia="Times New Roman" w:hAnsi="Palatino Linotype" w:cs="Times New Roman"/>
          <w:sz w:val="20"/>
          <w:szCs w:val="20"/>
          <w:lang w:eastAsia="en-ID"/>
        </w:rPr>
        <w:t>This study also reveals that integrating digital technology into the learning process today is very effective for enhancing student knowledge. The integration of technology in inquiry-based learning plays a crucial role in improving its effectiveness, particularly in supporting exploration and student engagement (</w:t>
      </w:r>
      <w:proofErr w:type="spellStart"/>
      <w:r w:rsidRPr="00BF4E78">
        <w:rPr>
          <w:rFonts w:ascii="Palatino Linotype" w:eastAsia="Times New Roman" w:hAnsi="Palatino Linotype" w:cs="Times New Roman"/>
          <w:sz w:val="20"/>
          <w:szCs w:val="20"/>
          <w:lang w:eastAsia="en-ID"/>
        </w:rPr>
        <w:t>Kharismayuni</w:t>
      </w:r>
      <w:proofErr w:type="spellEnd"/>
      <w:r w:rsidRPr="00BF4E78">
        <w:rPr>
          <w:rFonts w:ascii="Palatino Linotype" w:eastAsia="Times New Roman" w:hAnsi="Palatino Linotype" w:cs="Times New Roman"/>
          <w:sz w:val="20"/>
          <w:szCs w:val="20"/>
          <w:lang w:eastAsia="en-ID"/>
        </w:rPr>
        <w:t xml:space="preserve"> et al., 2021; </w:t>
      </w:r>
      <w:proofErr w:type="spellStart"/>
      <w:r w:rsidRPr="00BF4E78">
        <w:rPr>
          <w:rFonts w:ascii="Palatino Linotype" w:eastAsia="Times New Roman" w:hAnsi="Palatino Linotype" w:cs="Times New Roman"/>
          <w:sz w:val="20"/>
          <w:szCs w:val="20"/>
          <w:lang w:eastAsia="en-ID"/>
        </w:rPr>
        <w:t>Pulungan</w:t>
      </w:r>
      <w:proofErr w:type="spellEnd"/>
      <w:r w:rsidRPr="00BF4E78">
        <w:rPr>
          <w:rFonts w:ascii="Palatino Linotype" w:eastAsia="Times New Roman" w:hAnsi="Palatino Linotype" w:cs="Times New Roman"/>
          <w:sz w:val="20"/>
          <w:szCs w:val="20"/>
          <w:lang w:eastAsia="en-ID"/>
        </w:rPr>
        <w:t xml:space="preserve"> et al., 2021). Technologies such as digital simulations, interactive software, and virtual laboratories can help students understand complex concepts through visualization and virtual experiments. According to constructivist theory, technology use can enhance the learning process by providing a resource-rich learning environment, allowing students to explore knowledge independently (Antonio &amp; Prudente, 2023; </w:t>
      </w:r>
      <w:proofErr w:type="spellStart"/>
      <w:r w:rsidRPr="00BF4E78">
        <w:rPr>
          <w:rFonts w:ascii="Palatino Linotype" w:eastAsia="Times New Roman" w:hAnsi="Palatino Linotype" w:cs="Times New Roman"/>
          <w:sz w:val="20"/>
          <w:szCs w:val="20"/>
          <w:lang w:eastAsia="en-ID"/>
        </w:rPr>
        <w:t>Heindl</w:t>
      </w:r>
      <w:proofErr w:type="spellEnd"/>
      <w:r w:rsidRPr="00BF4E78">
        <w:rPr>
          <w:rFonts w:ascii="Palatino Linotype" w:eastAsia="Times New Roman" w:hAnsi="Palatino Linotype" w:cs="Times New Roman"/>
          <w:sz w:val="20"/>
          <w:szCs w:val="20"/>
          <w:lang w:eastAsia="en-ID"/>
        </w:rPr>
        <w:t>, 2019). Moreover, technology allows students to conduct virtual experiments that may not be possible in the classroom due to time, cost, or risk constraints. By utilizing technology, inquiry-based learning can reach more students, increasing active participation and supporting the development of 21st-century skills such as critical thinking, collaboration, and digital literacy (</w:t>
      </w:r>
      <w:proofErr w:type="spellStart"/>
      <w:r w:rsidRPr="00BF4E78">
        <w:rPr>
          <w:rFonts w:ascii="Palatino Linotype" w:eastAsia="Times New Roman" w:hAnsi="Palatino Linotype" w:cs="Times New Roman"/>
          <w:sz w:val="20"/>
          <w:szCs w:val="20"/>
          <w:lang w:eastAsia="en-ID"/>
        </w:rPr>
        <w:t>Hinostroza</w:t>
      </w:r>
      <w:proofErr w:type="spellEnd"/>
      <w:r w:rsidRPr="00BF4E78">
        <w:rPr>
          <w:rFonts w:ascii="Palatino Linotype" w:eastAsia="Times New Roman" w:hAnsi="Palatino Linotype" w:cs="Times New Roman"/>
          <w:sz w:val="20"/>
          <w:szCs w:val="20"/>
          <w:lang w:eastAsia="en-ID"/>
        </w:rPr>
        <w:t xml:space="preserve"> et al., 2024; Muhamad Dah et al., 2024). This integration also helps teachers monitor student progress in real-time, offering opportunities to provide more targeted guidance. Thus, technology is not just a tool but a catalyst for enhancing the effectiveness of inquiry-based learning (Becker et al., 2020; Chan et al., 2024).</w:t>
      </w:r>
    </w:p>
    <w:p w:rsidR="00BF4E78" w:rsidRPr="00BF4E78" w:rsidRDefault="00BF4E78" w:rsidP="00BF4E78">
      <w:pPr>
        <w:spacing w:before="100" w:beforeAutospacing="1" w:after="100" w:afterAutospacing="1" w:line="240" w:lineRule="auto"/>
        <w:jc w:val="both"/>
        <w:rPr>
          <w:rFonts w:ascii="Palatino Linotype" w:eastAsia="Times New Roman" w:hAnsi="Palatino Linotype" w:cs="Times New Roman"/>
          <w:sz w:val="20"/>
          <w:szCs w:val="20"/>
          <w:lang w:eastAsia="en-ID"/>
        </w:rPr>
      </w:pPr>
      <w:r w:rsidRPr="00BF4E78">
        <w:rPr>
          <w:rFonts w:ascii="Palatino Linotype" w:eastAsia="Times New Roman" w:hAnsi="Palatino Linotype" w:cs="Times New Roman"/>
          <w:sz w:val="20"/>
          <w:szCs w:val="20"/>
          <w:lang w:eastAsia="en-ID"/>
        </w:rPr>
        <w:t>Additionally, the teacher's skills in implementing inquiry-based learning are a key determinant of the success of this approach. Based on constructivist theory, teachers act as facilitators guiding students to build their knowledge through exploration, experimentation, and problem-solving. However, teachers who lack a deep understanding of inquiry methods may struggle to create a learning environment that enables active student engagement (</w:t>
      </w:r>
      <w:proofErr w:type="spellStart"/>
      <w:r w:rsidRPr="00BF4E78">
        <w:rPr>
          <w:rFonts w:ascii="Palatino Linotype" w:eastAsia="Times New Roman" w:hAnsi="Palatino Linotype" w:cs="Times New Roman"/>
          <w:sz w:val="20"/>
          <w:szCs w:val="20"/>
          <w:lang w:eastAsia="en-ID"/>
        </w:rPr>
        <w:t>Jegstad</w:t>
      </w:r>
      <w:proofErr w:type="spellEnd"/>
      <w:r w:rsidRPr="00BF4E78">
        <w:rPr>
          <w:rFonts w:ascii="Palatino Linotype" w:eastAsia="Times New Roman" w:hAnsi="Palatino Linotype" w:cs="Times New Roman"/>
          <w:sz w:val="20"/>
          <w:szCs w:val="20"/>
          <w:lang w:eastAsia="en-ID"/>
        </w:rPr>
        <w:t xml:space="preserve">, 2024; Muhamad Dah et al., 2024). Furthermore, Vygotsky (1978) emphasized the importance of teachers providing appropriate scaffolding so that students can surpass their current abilities through the zone of proximal development (ZPD). Teachers who fail to </w:t>
      </w:r>
      <w:r w:rsidRPr="00BF4E78">
        <w:rPr>
          <w:rFonts w:ascii="Palatino Linotype" w:eastAsia="Times New Roman" w:hAnsi="Palatino Linotype" w:cs="Times New Roman"/>
          <w:sz w:val="20"/>
          <w:szCs w:val="20"/>
          <w:lang w:eastAsia="en-ID"/>
        </w:rPr>
        <w:lastRenderedPageBreak/>
        <w:t xml:space="preserve">provide sufficient guidance can leave students feeling lost in the inquiry process, preventing learning goals from being achieved (Antonio &amp; Prudente, 2023; </w:t>
      </w:r>
      <w:proofErr w:type="spellStart"/>
      <w:r w:rsidRPr="00BF4E78">
        <w:rPr>
          <w:rFonts w:ascii="Palatino Linotype" w:eastAsia="Times New Roman" w:hAnsi="Palatino Linotype" w:cs="Times New Roman"/>
          <w:sz w:val="20"/>
          <w:szCs w:val="20"/>
          <w:lang w:eastAsia="en-ID"/>
        </w:rPr>
        <w:t>Syahwin</w:t>
      </w:r>
      <w:proofErr w:type="spellEnd"/>
      <w:r w:rsidRPr="00BF4E78">
        <w:rPr>
          <w:rFonts w:ascii="Palatino Linotype" w:eastAsia="Times New Roman" w:hAnsi="Palatino Linotype" w:cs="Times New Roman"/>
          <w:sz w:val="20"/>
          <w:szCs w:val="20"/>
          <w:lang w:eastAsia="en-ID"/>
        </w:rPr>
        <w:t xml:space="preserve"> et al., 2022). Therefore, intensive training for teachers to understand inquiry strategies, including how to ask thought-provoking questions and guide student exploration, is essential. Moreover, the success of inquiry-based learning also depends on the teacher’s ability to integrate supportive technologies, such as digital simulations or interactive software, to facilitate more effective student exploration (Allen et al., 2022; Nguyen et al., 2022).</w:t>
      </w:r>
    </w:p>
    <w:p w:rsidR="00BF4E78" w:rsidRPr="00137609" w:rsidRDefault="00BF4E78" w:rsidP="00137609">
      <w:pPr>
        <w:spacing w:before="100" w:beforeAutospacing="1" w:after="100" w:afterAutospacing="1" w:line="240" w:lineRule="auto"/>
        <w:jc w:val="both"/>
        <w:rPr>
          <w:rFonts w:ascii="Palatino Linotype" w:eastAsia="Times New Roman" w:hAnsi="Palatino Linotype" w:cs="Times New Roman"/>
          <w:sz w:val="20"/>
          <w:szCs w:val="20"/>
          <w:lang w:eastAsia="en-ID"/>
        </w:rPr>
      </w:pPr>
      <w:r w:rsidRPr="00BF4E78">
        <w:rPr>
          <w:rFonts w:ascii="Palatino Linotype" w:eastAsia="Times New Roman" w:hAnsi="Palatino Linotype" w:cs="Times New Roman"/>
          <w:sz w:val="20"/>
          <w:szCs w:val="20"/>
          <w:lang w:eastAsia="en-ID"/>
        </w:rPr>
        <w:t>The implications of this study suggest that inquiry-based learning has great potential to improve student learning outcomes, particularly in the areas of critical thinking skills, scientific process skills, and curiosity, although its overall impact is modest. This calls for educators and policymakers to prioritize teacher training in inquiry strategies and integrate relevant technologies to support learning (</w:t>
      </w:r>
      <w:proofErr w:type="spellStart"/>
      <w:r w:rsidRPr="00BF4E78">
        <w:rPr>
          <w:rFonts w:ascii="Palatino Linotype" w:eastAsia="Times New Roman" w:hAnsi="Palatino Linotype" w:cs="Times New Roman"/>
          <w:sz w:val="20"/>
          <w:szCs w:val="20"/>
          <w:lang w:eastAsia="en-ID"/>
        </w:rPr>
        <w:t>Herut</w:t>
      </w:r>
      <w:proofErr w:type="spellEnd"/>
      <w:r w:rsidRPr="00BF4E78">
        <w:rPr>
          <w:rFonts w:ascii="Palatino Linotype" w:eastAsia="Times New Roman" w:hAnsi="Palatino Linotype" w:cs="Times New Roman"/>
          <w:sz w:val="20"/>
          <w:szCs w:val="20"/>
          <w:lang w:eastAsia="en-ID"/>
        </w:rPr>
        <w:t xml:space="preserve"> &amp; </w:t>
      </w:r>
      <w:proofErr w:type="spellStart"/>
      <w:r w:rsidRPr="00BF4E78">
        <w:rPr>
          <w:rFonts w:ascii="Palatino Linotype" w:eastAsia="Times New Roman" w:hAnsi="Palatino Linotype" w:cs="Times New Roman"/>
          <w:sz w:val="20"/>
          <w:szCs w:val="20"/>
          <w:lang w:eastAsia="en-ID"/>
        </w:rPr>
        <w:t>Setlhako</w:t>
      </w:r>
      <w:proofErr w:type="spellEnd"/>
      <w:r w:rsidRPr="00BF4E78">
        <w:rPr>
          <w:rFonts w:ascii="Palatino Linotype" w:eastAsia="Times New Roman" w:hAnsi="Palatino Linotype" w:cs="Times New Roman"/>
          <w:sz w:val="20"/>
          <w:szCs w:val="20"/>
          <w:lang w:eastAsia="en-ID"/>
        </w:rPr>
        <w:t xml:space="preserve">, 2025; </w:t>
      </w:r>
      <w:proofErr w:type="spellStart"/>
      <w:r w:rsidRPr="00BF4E78">
        <w:rPr>
          <w:rFonts w:ascii="Palatino Linotype" w:eastAsia="Times New Roman" w:hAnsi="Palatino Linotype" w:cs="Times New Roman"/>
          <w:sz w:val="20"/>
          <w:szCs w:val="20"/>
          <w:lang w:eastAsia="en-ID"/>
        </w:rPr>
        <w:t>Kärkkäinen</w:t>
      </w:r>
      <w:proofErr w:type="spellEnd"/>
      <w:r w:rsidRPr="00BF4E78">
        <w:rPr>
          <w:rFonts w:ascii="Palatino Linotype" w:eastAsia="Times New Roman" w:hAnsi="Palatino Linotype" w:cs="Times New Roman"/>
          <w:sz w:val="20"/>
          <w:szCs w:val="20"/>
          <w:lang w:eastAsia="en-ID"/>
        </w:rPr>
        <w:t xml:space="preserve"> et al., 2023). Additionally, schools and educational institutions must ensure that inquiry-based learning is designed with consideration of the student context, available resources, and adequate teacher guidance. Further research is needed to explore how inquiry-based learning can be adapted to various conditions and combined with other approaches, such as technology-based learning, to maximize its impact. With these steps, inquiry-based learning is expected to become a more effective and relevant approach in supporting student development in the 21st-century educational era.</w:t>
      </w:r>
    </w:p>
    <w:p w:rsidR="005B5AEC" w:rsidRPr="00723B12" w:rsidRDefault="005B5AEC" w:rsidP="002A02C2">
      <w:pPr>
        <w:pStyle w:val="Alishlah21heading1"/>
        <w:rPr>
          <w:rFonts w:eastAsia="Arial"/>
        </w:rPr>
      </w:pPr>
      <w:r w:rsidRPr="00723B12">
        <w:rPr>
          <w:rFonts w:eastAsia="Arial"/>
        </w:rPr>
        <w:t>CONCL</w:t>
      </w:r>
      <w:r w:rsidR="00137609">
        <w:rPr>
          <w:rFonts w:eastAsia="Arial"/>
          <w:lang w:val="id-ID"/>
        </w:rPr>
        <w:t>U</w:t>
      </w:r>
      <w:r w:rsidRPr="00723B12">
        <w:rPr>
          <w:rFonts w:eastAsia="Arial"/>
        </w:rPr>
        <w:t xml:space="preserve">SION </w:t>
      </w:r>
    </w:p>
    <w:p w:rsidR="002B31FD" w:rsidRDefault="00137609" w:rsidP="00137609">
      <w:pPr>
        <w:pStyle w:val="Alishlah31text"/>
        <w:rPr>
          <w:rFonts w:eastAsia="Arial"/>
        </w:rPr>
      </w:pPr>
      <w:r>
        <w:t>Based on the results of the study, it can be concluded that 21 articles were reviewed regarding the use of inquiry-based learning. From the overall meta-analysis, the impact of inquiry-based learning falls into the small category with an effect size of (d = 0.444). Although the impact is categorized as small, statistically, this effect is significant enough to improve student learning outcomes, as indicated by the p-value of 0.001. The results obtained have also been confirmed to be free from publication bias through funnel plot analysis, Kendall’s τ test, Egger’s test, and Fail-safe N. Therefore, the results can be considered valid, and there is no publication bias. Based on the studies analyzed, this research provides important insights for educators, researchers, and policymakers to optimize inquiry-based learning as an innovative strategy in 21st-century education.</w:t>
      </w:r>
    </w:p>
    <w:p w:rsidR="005B5AEC" w:rsidRDefault="005B5AEC" w:rsidP="002A02C2">
      <w:pPr>
        <w:pStyle w:val="Alishlah21heading1"/>
        <w:numPr>
          <w:ilvl w:val="0"/>
          <w:numId w:val="0"/>
        </w:numPr>
        <w:rPr>
          <w:rFonts w:eastAsia="Arial"/>
        </w:rPr>
      </w:pPr>
      <w:r w:rsidRPr="00723B12">
        <w:rPr>
          <w:rFonts w:eastAsia="Arial"/>
        </w:rPr>
        <w:t>REFERENCES</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sz w:val="20"/>
          <w:szCs w:val="20"/>
        </w:rPr>
        <w:fldChar w:fldCharType="begin" w:fldLock="1"/>
      </w:r>
      <w:r w:rsidRPr="00137609">
        <w:rPr>
          <w:rFonts w:ascii="Palatino Linotype" w:hAnsi="Palatino Linotype"/>
          <w:sz w:val="20"/>
          <w:szCs w:val="20"/>
        </w:rPr>
        <w:instrText xml:space="preserve">ADDIN Mendeley Bibliography CSL_BIBLIOGRAPHY </w:instrText>
      </w:r>
      <w:r w:rsidRPr="00137609">
        <w:rPr>
          <w:rFonts w:ascii="Palatino Linotype" w:hAnsi="Palatino Linotype"/>
          <w:sz w:val="20"/>
          <w:szCs w:val="20"/>
        </w:rPr>
        <w:fldChar w:fldCharType="separate"/>
      </w:r>
      <w:r w:rsidRPr="00137609">
        <w:rPr>
          <w:rFonts w:ascii="Palatino Linotype" w:hAnsi="Palatino Linotype"/>
          <w:noProof/>
          <w:sz w:val="20"/>
          <w:szCs w:val="20"/>
        </w:rPr>
        <w:t xml:space="preserve">Abdellateef Alqawasmi, Najeh Rajeh Alsalhi, &amp; Sami Sulieman Al Qatawneh. (2024). The Influence of Utilizing Inquiry-Based Learning Strategy on Science Accomplishment of Primary Students’ Stage. </w:t>
      </w:r>
      <w:r w:rsidRPr="00137609">
        <w:rPr>
          <w:rFonts w:ascii="Palatino Linotype" w:hAnsi="Palatino Linotype"/>
          <w:i/>
          <w:iCs/>
          <w:noProof/>
          <w:sz w:val="20"/>
          <w:szCs w:val="20"/>
        </w:rPr>
        <w:t>International Journal of Interactive Mobile Technologies (IJIM)</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18</w:t>
      </w:r>
      <w:r w:rsidRPr="00137609">
        <w:rPr>
          <w:rFonts w:ascii="Palatino Linotype" w:hAnsi="Palatino Linotype"/>
          <w:noProof/>
          <w:sz w:val="20"/>
          <w:szCs w:val="20"/>
        </w:rPr>
        <w:t>(05), 62–76. https://doi.org/10.3991/ijim.v18i05.47011</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Abidin, Z., Sutama, Herman, T., Jupri, A., Farokhah, L., Apuanor, &amp; Sonedi. (2021). Gifted Children’s Mathematical Reasoning Abilities on Problem-Based Learning and Project-Based Learning Literacy. </w:t>
      </w:r>
      <w:r w:rsidRPr="00137609">
        <w:rPr>
          <w:rFonts w:ascii="Palatino Linotype" w:hAnsi="Palatino Linotype"/>
          <w:i/>
          <w:iCs/>
          <w:noProof/>
          <w:sz w:val="20"/>
          <w:szCs w:val="20"/>
        </w:rPr>
        <w:t>Journal of Physics: Conference Series</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1720</w:t>
      </w:r>
      <w:r w:rsidRPr="00137609">
        <w:rPr>
          <w:rFonts w:ascii="Palatino Linotype" w:hAnsi="Palatino Linotype"/>
          <w:noProof/>
          <w:sz w:val="20"/>
          <w:szCs w:val="20"/>
        </w:rPr>
        <w:t>(1), 012018. https://doi.org/10.1088/1742-6596/1720/1/012018</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Agussuryani, Q., Sudarmin, S., Sumarni, W., Cahyono, E., &amp; Ellianawati, E. (2022). STEM literacy in growing vocational school student HOTS in science learning: A meta-analysis. </w:t>
      </w:r>
      <w:r w:rsidRPr="00137609">
        <w:rPr>
          <w:rFonts w:ascii="Palatino Linotype" w:hAnsi="Palatino Linotype"/>
          <w:i/>
          <w:iCs/>
          <w:noProof/>
          <w:sz w:val="20"/>
          <w:szCs w:val="20"/>
        </w:rPr>
        <w:t>International Journal of Evaluation and Research in Education (IJERE)</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11</w:t>
      </w:r>
      <w:r w:rsidRPr="00137609">
        <w:rPr>
          <w:rFonts w:ascii="Palatino Linotype" w:hAnsi="Palatino Linotype"/>
          <w:noProof/>
          <w:sz w:val="20"/>
          <w:szCs w:val="20"/>
        </w:rPr>
        <w:t>(1), 51. https://doi.org/10.11591/ijere.v11i1.21647</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Al Mamun, M. A., &amp; Lawrie, G. (2023). Student-content interactions: Exploring behavioural engagement with self-regulated inquiry-based online learning modules. </w:t>
      </w:r>
      <w:r w:rsidRPr="00137609">
        <w:rPr>
          <w:rFonts w:ascii="Palatino Linotype" w:hAnsi="Palatino Linotype"/>
          <w:i/>
          <w:iCs/>
          <w:noProof/>
          <w:sz w:val="20"/>
          <w:szCs w:val="20"/>
        </w:rPr>
        <w:t>Smart Learning Environments</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10</w:t>
      </w:r>
      <w:r w:rsidRPr="00137609">
        <w:rPr>
          <w:rFonts w:ascii="Palatino Linotype" w:hAnsi="Palatino Linotype"/>
          <w:noProof/>
          <w:sz w:val="20"/>
          <w:szCs w:val="20"/>
        </w:rPr>
        <w:t>(1), 1. https://doi.org/10.1186/s40561-022-00221-x</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lastRenderedPageBreak/>
        <w:t xml:space="preserve">Allen, T., O’Loughlin, M., &amp; Croker, F. (2022). Teaching health promotion competencies in undergraduate dentistry training: A unique pedagogical approach. </w:t>
      </w:r>
      <w:r w:rsidRPr="00137609">
        <w:rPr>
          <w:rFonts w:ascii="Palatino Linotype" w:hAnsi="Palatino Linotype"/>
          <w:i/>
          <w:iCs/>
          <w:noProof/>
          <w:sz w:val="20"/>
          <w:szCs w:val="20"/>
        </w:rPr>
        <w:t>Health Promotion Journal of Australia</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33</w:t>
      </w:r>
      <w:r w:rsidRPr="00137609">
        <w:rPr>
          <w:rFonts w:ascii="Palatino Linotype" w:hAnsi="Palatino Linotype"/>
          <w:noProof/>
          <w:sz w:val="20"/>
          <w:szCs w:val="20"/>
        </w:rPr>
        <w:t>(S1), 35–38. https://doi.org/10.1002/hpja.660</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Antonio, R. P., &amp; Prudente, M. S. (2023). Effects of Inquiry-Based Approaches on Students’ Higher-Order Thinking Skills in Science: A Meta-Analysis. </w:t>
      </w:r>
      <w:r w:rsidRPr="00137609">
        <w:rPr>
          <w:rFonts w:ascii="Palatino Linotype" w:hAnsi="Palatino Linotype"/>
          <w:i/>
          <w:iCs/>
          <w:noProof/>
          <w:sz w:val="20"/>
          <w:szCs w:val="20"/>
        </w:rPr>
        <w:t>International Journal of Education in Mathematics, Science and Technology</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12</w:t>
      </w:r>
      <w:r w:rsidRPr="00137609">
        <w:rPr>
          <w:rFonts w:ascii="Palatino Linotype" w:hAnsi="Palatino Linotype"/>
          <w:noProof/>
          <w:sz w:val="20"/>
          <w:szCs w:val="20"/>
        </w:rPr>
        <w:t>(1), 251–281. https://doi.org/10.46328/ijemst.3216</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Arlinwibowo, J., Retnawati, H., &amp; Kartowagiran, B. (2022). The impact of ICT utilization to improve the learning outcome: A meta-analysis. </w:t>
      </w:r>
      <w:r w:rsidRPr="00137609">
        <w:rPr>
          <w:rFonts w:ascii="Palatino Linotype" w:hAnsi="Palatino Linotype"/>
          <w:i/>
          <w:iCs/>
          <w:noProof/>
          <w:sz w:val="20"/>
          <w:szCs w:val="20"/>
        </w:rPr>
        <w:t>International Journal of Evaluation and Research in Education (IJERE)</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11</w:t>
      </w:r>
      <w:r w:rsidRPr="00137609">
        <w:rPr>
          <w:rFonts w:ascii="Palatino Linotype" w:hAnsi="Palatino Linotype"/>
          <w:noProof/>
          <w:sz w:val="20"/>
          <w:szCs w:val="20"/>
        </w:rPr>
        <w:t>(2), 522. https://doi.org/10.11591/ijere.v11i2.22112</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Asy’ari, M., Prayogi, S., Mirawati, B., Syarifuddin, Hunaepi, Syahrir, &amp; Suhirman. (2021). Development of physics learning tools based on inquiry to increase creative thinking skills. </w:t>
      </w:r>
      <w:r w:rsidRPr="00137609">
        <w:rPr>
          <w:rFonts w:ascii="Palatino Linotype" w:hAnsi="Palatino Linotype"/>
          <w:i/>
          <w:iCs/>
          <w:noProof/>
          <w:sz w:val="20"/>
          <w:szCs w:val="20"/>
        </w:rPr>
        <w:t>Journal of Physics: Conference Series</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1816</w:t>
      </w:r>
      <w:r w:rsidRPr="00137609">
        <w:rPr>
          <w:rFonts w:ascii="Palatino Linotype" w:hAnsi="Palatino Linotype"/>
          <w:noProof/>
          <w:sz w:val="20"/>
          <w:szCs w:val="20"/>
        </w:rPr>
        <w:t>(1), 012094. https://doi.org/10.1088/1742-6596/1816/1/012094</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Baker, R. S., Gašević, D., &amp; Karumbaiah, S. (2021). Four paradigms in learning analytics: Why paradigm convergence matters. </w:t>
      </w:r>
      <w:r w:rsidRPr="00137609">
        <w:rPr>
          <w:rFonts w:ascii="Palatino Linotype" w:hAnsi="Palatino Linotype"/>
          <w:i/>
          <w:iCs/>
          <w:noProof/>
          <w:sz w:val="20"/>
          <w:szCs w:val="20"/>
        </w:rPr>
        <w:t>Computers and Education: Artificial Intelligence</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2</w:t>
      </w:r>
      <w:r w:rsidRPr="00137609">
        <w:rPr>
          <w:rFonts w:ascii="Palatino Linotype" w:hAnsi="Palatino Linotype"/>
          <w:noProof/>
          <w:sz w:val="20"/>
          <w:szCs w:val="20"/>
        </w:rPr>
        <w:t>(March), 100021. https://doi.org/10.1016/j.caeai.2021.100021</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Becker, S., Klein, P., Gößling, A., &amp; Kuhn, J. (2020). Using mobile devices to enhance inquiry-based learning processes. </w:t>
      </w:r>
      <w:r w:rsidRPr="00137609">
        <w:rPr>
          <w:rFonts w:ascii="Palatino Linotype" w:hAnsi="Palatino Linotype"/>
          <w:i/>
          <w:iCs/>
          <w:noProof/>
          <w:sz w:val="20"/>
          <w:szCs w:val="20"/>
        </w:rPr>
        <w:t>Learning and Instruction</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69</w:t>
      </w:r>
      <w:r w:rsidRPr="00137609">
        <w:rPr>
          <w:rFonts w:ascii="Palatino Linotype" w:hAnsi="Palatino Linotype"/>
          <w:noProof/>
          <w:sz w:val="20"/>
          <w:szCs w:val="20"/>
        </w:rPr>
        <w:t>(April), 101350. https://doi.org/10.1016/j.learninstruc.2020.101350</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Bhandary, M., Thimmaiah, C., Shahid, M., Shetty, Y., &amp; Rao K, A. (2024). Potential of active learning in dentistry: A comparative study of Jigsaw versus inquired‐based learning. </w:t>
      </w:r>
      <w:r w:rsidRPr="00137609">
        <w:rPr>
          <w:rFonts w:ascii="Palatino Linotype" w:hAnsi="Palatino Linotype"/>
          <w:i/>
          <w:iCs/>
          <w:noProof/>
          <w:sz w:val="20"/>
          <w:szCs w:val="20"/>
        </w:rPr>
        <w:t>Journal of Dental Education</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88</w:t>
      </w:r>
      <w:r w:rsidRPr="00137609">
        <w:rPr>
          <w:rFonts w:ascii="Palatino Linotype" w:hAnsi="Palatino Linotype"/>
          <w:noProof/>
          <w:sz w:val="20"/>
          <w:szCs w:val="20"/>
        </w:rPr>
        <w:t>(11), 1442–1449. https://doi.org/10.1002/jdd.13678</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Burhan, A., Khusein, N. bin A., &amp; Sebayang, S. M. (2022). Effectiveness of negative pressure wound therapy on chronic wound healing: A systematic review and meta-analysis. </w:t>
      </w:r>
      <w:r w:rsidRPr="00137609">
        <w:rPr>
          <w:rFonts w:ascii="Palatino Linotype" w:hAnsi="Palatino Linotype"/>
          <w:i/>
          <w:iCs/>
          <w:noProof/>
          <w:sz w:val="20"/>
          <w:szCs w:val="20"/>
        </w:rPr>
        <w:t>Belitung Nursing Journal</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8</w:t>
      </w:r>
      <w:r w:rsidRPr="00137609">
        <w:rPr>
          <w:rFonts w:ascii="Palatino Linotype" w:hAnsi="Palatino Linotype"/>
          <w:noProof/>
          <w:sz w:val="20"/>
          <w:szCs w:val="20"/>
        </w:rPr>
        <w:t>(6), 470–480. https://doi.org/10.33546/BNJ.2220</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Chan, S. L., Fung, J. T. C., Takemura, N., Chau, P. H., Lee, J. J. J., Choi, H. R., Wan, W. H., Withrow, H., &amp; Lin, C. (2024). Enhancing nursing students’ cultural awareness through Community of Inquiry‐guided online ‘Internationalization at Home’ strategies—An intervention study. </w:t>
      </w:r>
      <w:r w:rsidRPr="00137609">
        <w:rPr>
          <w:rFonts w:ascii="Palatino Linotype" w:hAnsi="Palatino Linotype"/>
          <w:i/>
          <w:iCs/>
          <w:noProof/>
          <w:sz w:val="20"/>
          <w:szCs w:val="20"/>
        </w:rPr>
        <w:t>Nursing Open</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11</w:t>
      </w:r>
      <w:r w:rsidRPr="00137609">
        <w:rPr>
          <w:rFonts w:ascii="Palatino Linotype" w:hAnsi="Palatino Linotype"/>
          <w:noProof/>
          <w:sz w:val="20"/>
          <w:szCs w:val="20"/>
        </w:rPr>
        <w:t>(8), 1–11. https://doi.org/10.1002/nop2.2251</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Dai, L., &amp; Martins, P. S. (2024). Does vocational education pay off in China? Evidence from city-level education supply shocks. </w:t>
      </w:r>
      <w:r w:rsidRPr="00137609">
        <w:rPr>
          <w:rFonts w:ascii="Palatino Linotype" w:hAnsi="Palatino Linotype"/>
          <w:i/>
          <w:iCs/>
          <w:noProof/>
          <w:sz w:val="20"/>
          <w:szCs w:val="20"/>
        </w:rPr>
        <w:t>Economic Modelling</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140</w:t>
      </w:r>
      <w:r w:rsidRPr="00137609">
        <w:rPr>
          <w:rFonts w:ascii="Palatino Linotype" w:hAnsi="Palatino Linotype"/>
          <w:noProof/>
          <w:sz w:val="20"/>
          <w:szCs w:val="20"/>
        </w:rPr>
        <w:t>(4), 106863. https://doi.org/10.1016/j.econmod.2024.106863</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Dewi, D. K., Ardhana, W., Irtadji, Chusniyah, T., &amp; Sulianti, A. (2021). Inquiry-Based Learning Implementation to Improve Critical Thinking of Prospective Teachers. </w:t>
      </w:r>
      <w:r w:rsidRPr="00137609">
        <w:rPr>
          <w:rFonts w:ascii="Palatino Linotype" w:hAnsi="Palatino Linotype"/>
          <w:i/>
          <w:iCs/>
          <w:noProof/>
          <w:sz w:val="20"/>
          <w:szCs w:val="20"/>
        </w:rPr>
        <w:t>International Journal of Information and Education Technology</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11</w:t>
      </w:r>
      <w:r w:rsidRPr="00137609">
        <w:rPr>
          <w:rFonts w:ascii="Palatino Linotype" w:hAnsi="Palatino Linotype"/>
          <w:noProof/>
          <w:sz w:val="20"/>
          <w:szCs w:val="20"/>
        </w:rPr>
        <w:t>(12), 638–645. https://doi.org/10.18178/ijiet.2021.11.12.1575</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Dwirahayu, G., Mas’ud, A., Satriawati, G., Atiqoh, K. S. N., &amp; Dewi, S. (2021). Improving students’ mathematical creative reasoning on polyhedron through concept-based inquiry model. </w:t>
      </w:r>
      <w:r w:rsidRPr="00137609">
        <w:rPr>
          <w:rFonts w:ascii="Palatino Linotype" w:hAnsi="Palatino Linotype"/>
          <w:i/>
          <w:iCs/>
          <w:noProof/>
          <w:sz w:val="20"/>
          <w:szCs w:val="20"/>
        </w:rPr>
        <w:t>Journal of Physics: Conference Series</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1836</w:t>
      </w:r>
      <w:r w:rsidRPr="00137609">
        <w:rPr>
          <w:rFonts w:ascii="Palatino Linotype" w:hAnsi="Palatino Linotype"/>
          <w:noProof/>
          <w:sz w:val="20"/>
          <w:szCs w:val="20"/>
        </w:rPr>
        <w:t>(1), 012073. https://doi.org/10.1088/1742-6596/1836/1/012073</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Goulet-Pelletier, J.-C., &amp; Cousineau, D. (2020). A review of effect sizes and their confidence intervals, Part I: The Cohen’s d family. </w:t>
      </w:r>
      <w:r w:rsidRPr="00137609">
        <w:rPr>
          <w:rFonts w:ascii="Palatino Linotype" w:hAnsi="Palatino Linotype"/>
          <w:i/>
          <w:iCs/>
          <w:noProof/>
          <w:sz w:val="20"/>
          <w:szCs w:val="20"/>
        </w:rPr>
        <w:t>The Quantitative Methods for Psychology</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16</w:t>
      </w:r>
      <w:r w:rsidRPr="00137609">
        <w:rPr>
          <w:rFonts w:ascii="Palatino Linotype" w:hAnsi="Palatino Linotype"/>
          <w:noProof/>
          <w:sz w:val="20"/>
          <w:szCs w:val="20"/>
        </w:rPr>
        <w:t>(4), 422–423. https://doi.org/10.20982/tqmp.16.4.p422</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Heindl, M. (2019). Inquiry-based learning and the pre-requisite for its use in science at school: A meta-analysis. </w:t>
      </w:r>
      <w:r w:rsidRPr="00137609">
        <w:rPr>
          <w:rFonts w:ascii="Palatino Linotype" w:hAnsi="Palatino Linotype"/>
          <w:i/>
          <w:iCs/>
          <w:noProof/>
          <w:sz w:val="20"/>
          <w:szCs w:val="20"/>
        </w:rPr>
        <w:t>Journal of Pedagogical Research</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3</w:t>
      </w:r>
      <w:r w:rsidRPr="00137609">
        <w:rPr>
          <w:rFonts w:ascii="Palatino Linotype" w:hAnsi="Palatino Linotype"/>
          <w:noProof/>
          <w:sz w:val="20"/>
          <w:szCs w:val="20"/>
        </w:rPr>
        <w:t>(2), 52–61. https://doi.org/10.33902/JPR.2019254160</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Herut, A. H., &amp; Setlhako, M. A. (2025). Shaping future preschool teachers in Ethiopia: A qualitative evaluation of pedagogical competence development mechanisms. </w:t>
      </w:r>
      <w:r w:rsidRPr="00137609">
        <w:rPr>
          <w:rFonts w:ascii="Palatino Linotype" w:hAnsi="Palatino Linotype"/>
          <w:i/>
          <w:iCs/>
          <w:noProof/>
          <w:sz w:val="20"/>
          <w:szCs w:val="20"/>
        </w:rPr>
        <w:t xml:space="preserve">Social Sciences and Humanities </w:t>
      </w:r>
      <w:r w:rsidRPr="00137609">
        <w:rPr>
          <w:rFonts w:ascii="Palatino Linotype" w:hAnsi="Palatino Linotype"/>
          <w:i/>
          <w:iCs/>
          <w:noProof/>
          <w:sz w:val="20"/>
          <w:szCs w:val="20"/>
        </w:rPr>
        <w:lastRenderedPageBreak/>
        <w:t>Open</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11</w:t>
      </w:r>
      <w:r w:rsidRPr="00137609">
        <w:rPr>
          <w:rFonts w:ascii="Palatino Linotype" w:hAnsi="Palatino Linotype"/>
          <w:noProof/>
          <w:sz w:val="20"/>
          <w:szCs w:val="20"/>
        </w:rPr>
        <w:t>(September 2024), 101218. https://doi.org/10.1016/j.ssaho.2024.101218</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Hinostroza, J. E., Armstrong-Gallegos, S., &amp; Villafaena, M. (2024). Roles of digital technologies in the implementation of inquiry-based learning (IBL): A systematic literature review. </w:t>
      </w:r>
      <w:r w:rsidRPr="00137609">
        <w:rPr>
          <w:rFonts w:ascii="Palatino Linotype" w:hAnsi="Palatino Linotype"/>
          <w:i/>
          <w:iCs/>
          <w:noProof/>
          <w:sz w:val="20"/>
          <w:szCs w:val="20"/>
        </w:rPr>
        <w:t>Social Sciences and Humanities Open</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9</w:t>
      </w:r>
      <w:r w:rsidRPr="00137609">
        <w:rPr>
          <w:rFonts w:ascii="Palatino Linotype" w:hAnsi="Palatino Linotype"/>
          <w:noProof/>
          <w:sz w:val="20"/>
          <w:szCs w:val="20"/>
        </w:rPr>
        <w:t>(November 2023), 100874. https://doi.org/10.1016/j.ssaho.2024.100874</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Jegstad, K. M. (2024). Inquiry-based chemistry education: a systematic review. </w:t>
      </w:r>
      <w:r w:rsidRPr="00137609">
        <w:rPr>
          <w:rFonts w:ascii="Palatino Linotype" w:hAnsi="Palatino Linotype"/>
          <w:i/>
          <w:iCs/>
          <w:noProof/>
          <w:sz w:val="20"/>
          <w:szCs w:val="20"/>
        </w:rPr>
        <w:t>Studies in Science Education</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60</w:t>
      </w:r>
      <w:r w:rsidRPr="00137609">
        <w:rPr>
          <w:rFonts w:ascii="Palatino Linotype" w:hAnsi="Palatino Linotype"/>
          <w:noProof/>
          <w:sz w:val="20"/>
          <w:szCs w:val="20"/>
        </w:rPr>
        <w:t>(2), 251–313. https://doi.org/10.1080/03057267.2023.2248436</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Juniar, A., Fardilah, R. D., &amp; Tambunan, P. M. (2021). The Distinction of Students’ Science Process Skill and Learning Activities between Guided Inquiry and Conventional Learning with Experiment. </w:t>
      </w:r>
      <w:r w:rsidRPr="00137609">
        <w:rPr>
          <w:rFonts w:ascii="Palatino Linotype" w:hAnsi="Palatino Linotype"/>
          <w:i/>
          <w:iCs/>
          <w:noProof/>
          <w:sz w:val="20"/>
          <w:szCs w:val="20"/>
        </w:rPr>
        <w:t>Journal of Physics: Conference Series</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1788</w:t>
      </w:r>
      <w:r w:rsidRPr="00137609">
        <w:rPr>
          <w:rFonts w:ascii="Palatino Linotype" w:hAnsi="Palatino Linotype"/>
          <w:noProof/>
          <w:sz w:val="20"/>
          <w:szCs w:val="20"/>
        </w:rPr>
        <w:t>(1), 012043. https://doi.org/10.1088/1742-6596/1788/1/012043</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Juniar, A., Silalahi, A., &amp; Suyanti, R. D. (2021). The Effect of Guided Inquiry-based Learning with Creative Thingking Ability towards Students’ Scientific Process Skill in Analytical Chemistry Courses. </w:t>
      </w:r>
      <w:r w:rsidRPr="00137609">
        <w:rPr>
          <w:rFonts w:ascii="Palatino Linotype" w:hAnsi="Palatino Linotype"/>
          <w:i/>
          <w:iCs/>
          <w:noProof/>
          <w:sz w:val="20"/>
          <w:szCs w:val="20"/>
        </w:rPr>
        <w:t>Journal of Physics: Conference Series</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1819</w:t>
      </w:r>
      <w:r w:rsidRPr="00137609">
        <w:rPr>
          <w:rFonts w:ascii="Palatino Linotype" w:hAnsi="Palatino Linotype"/>
          <w:noProof/>
          <w:sz w:val="20"/>
          <w:szCs w:val="20"/>
        </w:rPr>
        <w:t>(1), 012009. https://doi.org/10.1088/1742-6596/1819/1/012009</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Kärkkäinen, K., Jääskelä, P., &amp; Tynjälä, P. (2023). How does university teachers’ pedagogical training meet topical challenges raised by educational research? A case study from Finland. </w:t>
      </w:r>
      <w:r w:rsidRPr="00137609">
        <w:rPr>
          <w:rFonts w:ascii="Palatino Linotype" w:hAnsi="Palatino Linotype"/>
          <w:i/>
          <w:iCs/>
          <w:noProof/>
          <w:sz w:val="20"/>
          <w:szCs w:val="20"/>
        </w:rPr>
        <w:t>Teaching and Teacher Education</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128</w:t>
      </w:r>
      <w:r w:rsidRPr="00137609">
        <w:rPr>
          <w:rFonts w:ascii="Palatino Linotype" w:hAnsi="Palatino Linotype"/>
          <w:noProof/>
          <w:sz w:val="20"/>
          <w:szCs w:val="20"/>
        </w:rPr>
        <w:t>. https://doi.org/10.1016/j.tate.2023.104088</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Kharismayuni, E., Feronika, T., &amp; Yunita, L. (2021). Implication of thinking maps assisted inquiry model for higher order thinking skills (HOTS) on chemistry. </w:t>
      </w:r>
      <w:r w:rsidRPr="00137609">
        <w:rPr>
          <w:rFonts w:ascii="Palatino Linotype" w:hAnsi="Palatino Linotype"/>
          <w:i/>
          <w:iCs/>
          <w:noProof/>
          <w:sz w:val="20"/>
          <w:szCs w:val="20"/>
        </w:rPr>
        <w:t>Journal of Physics: Conference Series</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1836</w:t>
      </w:r>
      <w:r w:rsidRPr="00137609">
        <w:rPr>
          <w:rFonts w:ascii="Palatino Linotype" w:hAnsi="Palatino Linotype"/>
          <w:noProof/>
          <w:sz w:val="20"/>
          <w:szCs w:val="20"/>
        </w:rPr>
        <w:t>(1), 012078. https://doi.org/10.1088/1742-6596/1836/1/012078</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Khery, Y., Nufida, B. A., Suryati, S., Rahayu, S., &amp; Aini, M. (2020). The Influence of Mobile-NOS Model of Learning towards Students Understanding on the Nature of Science. </w:t>
      </w:r>
      <w:r w:rsidRPr="00137609">
        <w:rPr>
          <w:rFonts w:ascii="Palatino Linotype" w:hAnsi="Palatino Linotype"/>
          <w:i/>
          <w:iCs/>
          <w:noProof/>
          <w:sz w:val="20"/>
          <w:szCs w:val="20"/>
        </w:rPr>
        <w:t>Journal of Physics: Conference Series</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1464</w:t>
      </w:r>
      <w:r w:rsidRPr="00137609">
        <w:rPr>
          <w:rFonts w:ascii="Palatino Linotype" w:hAnsi="Palatino Linotype"/>
          <w:noProof/>
          <w:sz w:val="20"/>
          <w:szCs w:val="20"/>
        </w:rPr>
        <w:t>(1[1] Y. Khery, B. A. Nufida, S. Suryati, S. Rahayu, and M. Aini, “The Influence of Mobile-NOS Model of Learning towards Students Understanding on the Nature of Science,” J. Phys. Conf. Ser., vol. 1464, issue 1, pp. 012015, Feb. 2020, doi: 10.1088/1742-6596/1), 012015. https://doi.org/10.1088/1742-6596/1464/1/012015</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Koes-H, S., Pradana, S. D. S., &amp; Suwasono, P. (2020). Integration conceptual scaffolding in the group investigation: its influence on students’ critical thinking skills. </w:t>
      </w:r>
      <w:r w:rsidRPr="00137609">
        <w:rPr>
          <w:rFonts w:ascii="Palatino Linotype" w:hAnsi="Palatino Linotype"/>
          <w:i/>
          <w:iCs/>
          <w:noProof/>
          <w:sz w:val="20"/>
          <w:szCs w:val="20"/>
        </w:rPr>
        <w:t>Journal of Physics: Conference Series</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1481</w:t>
      </w:r>
      <w:r w:rsidRPr="00137609">
        <w:rPr>
          <w:rFonts w:ascii="Palatino Linotype" w:hAnsi="Palatino Linotype"/>
          <w:noProof/>
          <w:sz w:val="20"/>
          <w:szCs w:val="20"/>
        </w:rPr>
        <w:t>(1), 012132. https://doi.org/10.1088/1742-6596/1481/1/012132</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Lo, C. K., &amp; Hew, K. F. (2019). The impact of flipped classrooms on student achievement in engineering education: A meta‐analysis of 10 years of research. </w:t>
      </w:r>
      <w:r w:rsidRPr="00137609">
        <w:rPr>
          <w:rFonts w:ascii="Palatino Linotype" w:hAnsi="Palatino Linotype"/>
          <w:i/>
          <w:iCs/>
          <w:noProof/>
          <w:sz w:val="20"/>
          <w:szCs w:val="20"/>
        </w:rPr>
        <w:t>Journal of Engineering Education</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108</w:t>
      </w:r>
      <w:r w:rsidRPr="00137609">
        <w:rPr>
          <w:rFonts w:ascii="Palatino Linotype" w:hAnsi="Palatino Linotype"/>
          <w:noProof/>
          <w:sz w:val="20"/>
          <w:szCs w:val="20"/>
        </w:rPr>
        <w:t>(4), 523–546. https://doi.org/10.1002/jee.20293</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Marion, Z., Abdullah, A. H., &amp; Rahman, S. N. S. A. (2023). The Effectiveness of the GeoGebra-Assisted Inquiry-Discovery Learning Strategy on Students’ Mastery and Interest in Algebraic Expressions. </w:t>
      </w:r>
      <w:r w:rsidRPr="00137609">
        <w:rPr>
          <w:rFonts w:ascii="Palatino Linotype" w:hAnsi="Palatino Linotype"/>
          <w:i/>
          <w:iCs/>
          <w:noProof/>
          <w:sz w:val="20"/>
          <w:szCs w:val="20"/>
        </w:rPr>
        <w:t>International Journal of Information and Education Technology</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13</w:t>
      </w:r>
      <w:r w:rsidRPr="00137609">
        <w:rPr>
          <w:rFonts w:ascii="Palatino Linotype" w:hAnsi="Palatino Linotype"/>
          <w:noProof/>
          <w:sz w:val="20"/>
          <w:szCs w:val="20"/>
        </w:rPr>
        <w:t>(11), 1681–1695. https://doi.org/10.18178/ijiet.2023.13.11.1977</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Muhamad Dah, N., Mat Noor, M. S. A., Kamarudin, M. Z., &amp; Syed Abdul Azziz, S. S. (2024). The impacts of open inquiry on students’ learning in science: A systematic literature review. </w:t>
      </w:r>
      <w:r w:rsidRPr="00137609">
        <w:rPr>
          <w:rFonts w:ascii="Palatino Linotype" w:hAnsi="Palatino Linotype"/>
          <w:i/>
          <w:iCs/>
          <w:noProof/>
          <w:sz w:val="20"/>
          <w:szCs w:val="20"/>
        </w:rPr>
        <w:t>Educational Research Review</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43</w:t>
      </w:r>
      <w:r w:rsidRPr="00137609">
        <w:rPr>
          <w:rFonts w:ascii="Palatino Linotype" w:hAnsi="Palatino Linotype"/>
          <w:noProof/>
          <w:sz w:val="20"/>
          <w:szCs w:val="20"/>
        </w:rPr>
        <w:t>(February), 100601. https://doi.org/10.1016/j.edurev.2024.100601</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Nasri, N. M., Nasri, N., Nasri, N. F., &amp; Talib, M. A. A. (2023). The Impact of Integrating an Intelligent Personal Assistant (IPA) on Secondary School Physics Students’ Scientific Inquiry Skills. </w:t>
      </w:r>
      <w:r w:rsidRPr="00137609">
        <w:rPr>
          <w:rFonts w:ascii="Palatino Linotype" w:hAnsi="Palatino Linotype"/>
          <w:i/>
          <w:iCs/>
          <w:noProof/>
          <w:sz w:val="20"/>
          <w:szCs w:val="20"/>
        </w:rPr>
        <w:t>IEEE Transactions on Learning Technologies</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16</w:t>
      </w:r>
      <w:r w:rsidRPr="00137609">
        <w:rPr>
          <w:rFonts w:ascii="Palatino Linotype" w:hAnsi="Palatino Linotype"/>
          <w:noProof/>
          <w:sz w:val="20"/>
          <w:szCs w:val="20"/>
        </w:rPr>
        <w:t>(2), 232–242. https://doi.org/10.1109/TLT.2023.3241058</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Nguyen, M. X. N. C., Dao, P., &amp; Iwashita, N. (2022). Nurturing Teachers’ Research Mindset in an Inquiry-Based Language Teacher Education Course. </w:t>
      </w:r>
      <w:r w:rsidRPr="00137609">
        <w:rPr>
          <w:rFonts w:ascii="Palatino Linotype" w:hAnsi="Palatino Linotype"/>
          <w:i/>
          <w:iCs/>
          <w:noProof/>
          <w:sz w:val="20"/>
          <w:szCs w:val="20"/>
        </w:rPr>
        <w:t>Modern Language Journal</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106</w:t>
      </w:r>
      <w:r w:rsidRPr="00137609">
        <w:rPr>
          <w:rFonts w:ascii="Palatino Linotype" w:hAnsi="Palatino Linotype"/>
          <w:noProof/>
          <w:sz w:val="20"/>
          <w:szCs w:val="20"/>
        </w:rPr>
        <w:t xml:space="preserve">(3), 599–616. </w:t>
      </w:r>
      <w:r w:rsidRPr="00137609">
        <w:rPr>
          <w:rFonts w:ascii="Palatino Linotype" w:hAnsi="Palatino Linotype"/>
          <w:noProof/>
          <w:sz w:val="20"/>
          <w:szCs w:val="20"/>
        </w:rPr>
        <w:lastRenderedPageBreak/>
        <w:t>https://doi.org/10.1111/modl.12795</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Noer, S. H., Gunowibowo, P., &amp; Triana, M. (2020). Improving students’ reflective thinking skills and self-efficacy through scientific learning. </w:t>
      </w:r>
      <w:r w:rsidRPr="00137609">
        <w:rPr>
          <w:rFonts w:ascii="Palatino Linotype" w:hAnsi="Palatino Linotype"/>
          <w:i/>
          <w:iCs/>
          <w:noProof/>
          <w:sz w:val="20"/>
          <w:szCs w:val="20"/>
        </w:rPr>
        <w:t>Journal of Physics: Conference Series</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1581</w:t>
      </w:r>
      <w:r w:rsidRPr="00137609">
        <w:rPr>
          <w:rFonts w:ascii="Palatino Linotype" w:hAnsi="Palatino Linotype"/>
          <w:noProof/>
          <w:sz w:val="20"/>
          <w:szCs w:val="20"/>
        </w:rPr>
        <w:t>(1), 012036. https://doi.org/10.1088/1742-6596/1581/1/012036</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Pulungan, M. S., Nasution, D., &amp; Rahmatsyah. (2021). The effect of scientific inquiry learning model and scientific attitude on students’ science process skills. </w:t>
      </w:r>
      <w:r w:rsidRPr="00137609">
        <w:rPr>
          <w:rFonts w:ascii="Palatino Linotype" w:hAnsi="Palatino Linotype"/>
          <w:i/>
          <w:iCs/>
          <w:noProof/>
          <w:sz w:val="20"/>
          <w:szCs w:val="20"/>
        </w:rPr>
        <w:t>Journal of Physics: Conference Series</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1811</w:t>
      </w:r>
      <w:r w:rsidRPr="00137609">
        <w:rPr>
          <w:rFonts w:ascii="Palatino Linotype" w:hAnsi="Palatino Linotype"/>
          <w:noProof/>
          <w:sz w:val="20"/>
          <w:szCs w:val="20"/>
        </w:rPr>
        <w:t>(1), 012003. https://doi.org/10.1088/1742-6596/1811/1/012003</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Purba, E. R., Siregar, N., &amp; Sinulingga, K. (2021). The Experiment of Heat Matter Based on Scientific Inquiry in Senior High School. </w:t>
      </w:r>
      <w:r w:rsidRPr="00137609">
        <w:rPr>
          <w:rFonts w:ascii="Palatino Linotype" w:hAnsi="Palatino Linotype"/>
          <w:i/>
          <w:iCs/>
          <w:noProof/>
          <w:sz w:val="20"/>
          <w:szCs w:val="20"/>
        </w:rPr>
        <w:t>Journal of Physics: Conference Series</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1811</w:t>
      </w:r>
      <w:r w:rsidRPr="00137609">
        <w:rPr>
          <w:rFonts w:ascii="Palatino Linotype" w:hAnsi="Palatino Linotype"/>
          <w:noProof/>
          <w:sz w:val="20"/>
          <w:szCs w:val="20"/>
        </w:rPr>
        <w:t>(1), 012132. https://doi.org/10.1088/1742-6596/1811/1/012132</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Ramnarain, U. (2024). Pedagogical beliefs of South African physics teachers for inquiry approaches. </w:t>
      </w:r>
      <w:r w:rsidRPr="00137609">
        <w:rPr>
          <w:rFonts w:ascii="Palatino Linotype" w:hAnsi="Palatino Linotype"/>
          <w:i/>
          <w:iCs/>
          <w:noProof/>
          <w:sz w:val="20"/>
          <w:szCs w:val="20"/>
        </w:rPr>
        <w:t>Journal of Physics: Conference Series</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2727</w:t>
      </w:r>
      <w:r w:rsidRPr="00137609">
        <w:rPr>
          <w:rFonts w:ascii="Palatino Linotype" w:hAnsi="Palatino Linotype"/>
          <w:noProof/>
          <w:sz w:val="20"/>
          <w:szCs w:val="20"/>
        </w:rPr>
        <w:t>(1), 012029. https://doi.org/10.1088/1742-6596/2727/1/012029</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Setyawan, H., Sukardi, Risfendra, Jalinus, N., Mardizal, J., &amp; Ananda, G. F. (2024). Effectiveness of E-Learning-Based Learning in the Era of Digital Transformation: A Meta-Analysis. </w:t>
      </w:r>
      <w:r w:rsidRPr="00137609">
        <w:rPr>
          <w:rFonts w:ascii="Palatino Linotype" w:hAnsi="Palatino Linotype"/>
          <w:i/>
          <w:iCs/>
          <w:noProof/>
          <w:sz w:val="20"/>
          <w:szCs w:val="20"/>
        </w:rPr>
        <w:t>Indonesian Journal of Educational Research and Review</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7</w:t>
      </w:r>
      <w:r w:rsidRPr="00137609">
        <w:rPr>
          <w:rFonts w:ascii="Palatino Linotype" w:hAnsi="Palatino Linotype"/>
          <w:noProof/>
          <w:sz w:val="20"/>
          <w:szCs w:val="20"/>
        </w:rPr>
        <w:t>(2), 333–346. https://doi.org/10.23887/ijerr.v7i2.76166</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Sharmila, Putra, A., Islami, N., &amp; Putra, A. D. (2022). Integration of Laboratory Activities and Contribution to Result of Learning Physics on The Concept of Fluid in High School Physics Learning. </w:t>
      </w:r>
      <w:r w:rsidRPr="00137609">
        <w:rPr>
          <w:rFonts w:ascii="Palatino Linotype" w:hAnsi="Palatino Linotype"/>
          <w:i/>
          <w:iCs/>
          <w:noProof/>
          <w:sz w:val="20"/>
          <w:szCs w:val="20"/>
        </w:rPr>
        <w:t>Journal of Physics: Conference Series</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2309</w:t>
      </w:r>
      <w:r w:rsidRPr="00137609">
        <w:rPr>
          <w:rFonts w:ascii="Palatino Linotype" w:hAnsi="Palatino Linotype"/>
          <w:noProof/>
          <w:sz w:val="20"/>
          <w:szCs w:val="20"/>
        </w:rPr>
        <w:t>(1), 012080. https://doi.org/10.1088/1742-6596/2309/1/012080</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Shofiyah, N., Afrilia, I., &amp; Wulandari, F. E. (2020). Scientific Approach and The Effect on Students Scientific Literacy. </w:t>
      </w:r>
      <w:r w:rsidRPr="00137609">
        <w:rPr>
          <w:rFonts w:ascii="Palatino Linotype" w:hAnsi="Palatino Linotype"/>
          <w:i/>
          <w:iCs/>
          <w:noProof/>
          <w:sz w:val="20"/>
          <w:szCs w:val="20"/>
        </w:rPr>
        <w:t>Journal of Physics: Conference Series</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1594</w:t>
      </w:r>
      <w:r w:rsidRPr="00137609">
        <w:rPr>
          <w:rFonts w:ascii="Palatino Linotype" w:hAnsi="Palatino Linotype"/>
          <w:noProof/>
          <w:sz w:val="20"/>
          <w:szCs w:val="20"/>
        </w:rPr>
        <w:t>(1), 012015. https://doi.org/10.1088/1742-6596/1594/1/012015</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Strat, T. T. S., Henriksen, E. K., &amp; Jegstad, K. M. (2024). Inquiry-based science education in science teacher education: a systematic review. </w:t>
      </w:r>
      <w:r w:rsidRPr="00137609">
        <w:rPr>
          <w:rFonts w:ascii="Palatino Linotype" w:hAnsi="Palatino Linotype"/>
          <w:i/>
          <w:iCs/>
          <w:noProof/>
          <w:sz w:val="20"/>
          <w:szCs w:val="20"/>
        </w:rPr>
        <w:t>Studies in Science Education</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60</w:t>
      </w:r>
      <w:r w:rsidRPr="00137609">
        <w:rPr>
          <w:rFonts w:ascii="Palatino Linotype" w:hAnsi="Palatino Linotype"/>
          <w:noProof/>
          <w:sz w:val="20"/>
          <w:szCs w:val="20"/>
        </w:rPr>
        <w:t>(2), 191–249. https://doi.org/10.1080/03057267.2023.2207148</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Sukardi, Setyawan, H., Risfendra, Usmeldi, &amp; Yanto, D. T. P. (2024). Effectiveness of Robotic Technology in Vocational Education: A Meta-Analysis. </w:t>
      </w:r>
      <w:r w:rsidRPr="00137609">
        <w:rPr>
          <w:rFonts w:ascii="Palatino Linotype" w:hAnsi="Palatino Linotype"/>
          <w:i/>
          <w:iCs/>
          <w:noProof/>
          <w:sz w:val="20"/>
          <w:szCs w:val="20"/>
        </w:rPr>
        <w:t>International Journal of Information and Education Technology</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14</w:t>
      </w:r>
      <w:r w:rsidRPr="00137609">
        <w:rPr>
          <w:rFonts w:ascii="Palatino Linotype" w:hAnsi="Palatino Linotype"/>
          <w:noProof/>
          <w:sz w:val="20"/>
          <w:szCs w:val="20"/>
        </w:rPr>
        <w:t>(4), 521–532. https://doi.org/10.18178/ijiet.2024.14.4.2073</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Syafii, A., Machali, I., Putro, N. H. P. S., Retnawati, H., &amp; ‘aziz, H. (2022). The effects of multiple intelligences theory on learning success: A meta-analysis in social science. </w:t>
      </w:r>
      <w:r w:rsidRPr="00137609">
        <w:rPr>
          <w:rFonts w:ascii="Palatino Linotype" w:hAnsi="Palatino Linotype"/>
          <w:i/>
          <w:iCs/>
          <w:noProof/>
          <w:sz w:val="20"/>
          <w:szCs w:val="20"/>
        </w:rPr>
        <w:t>International Journal of Evaluation and Research in Education</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11</w:t>
      </w:r>
      <w:r w:rsidRPr="00137609">
        <w:rPr>
          <w:rFonts w:ascii="Palatino Linotype" w:hAnsi="Palatino Linotype"/>
          <w:noProof/>
          <w:sz w:val="20"/>
          <w:szCs w:val="20"/>
        </w:rPr>
        <w:t>(2), 736–743. https://doi.org/10.11591/ijere.v11i2.22223</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Syahwin, Hardianti, T., &amp; Fitriana, S. (2022). The Effect of Guided Inquiry Learning by Virtual Laboratory Assistance in Physics Learning in Indonesian Senior High Schools: A Meta-Analysis. </w:t>
      </w:r>
      <w:r w:rsidRPr="00137609">
        <w:rPr>
          <w:rFonts w:ascii="Palatino Linotype" w:hAnsi="Palatino Linotype"/>
          <w:i/>
          <w:iCs/>
          <w:noProof/>
          <w:sz w:val="20"/>
          <w:szCs w:val="20"/>
        </w:rPr>
        <w:t>International Journal of Instruction</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15</w:t>
      </w:r>
      <w:r w:rsidRPr="00137609">
        <w:rPr>
          <w:rFonts w:ascii="Palatino Linotype" w:hAnsi="Palatino Linotype"/>
          <w:noProof/>
          <w:sz w:val="20"/>
          <w:szCs w:val="20"/>
        </w:rPr>
        <w:t>(4), 101–114. https://doi.org/10.29333/iji.2022.1546a</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Thahir, A., Anwar, C., Saregar, A., Choiriah, L., Susanti, F., &amp; Pricilia, A. (2020). The Effectiveness of STEM Learning: Scientific Attitudes and Students’ Conceptual Understanding. </w:t>
      </w:r>
      <w:r w:rsidRPr="00137609">
        <w:rPr>
          <w:rFonts w:ascii="Palatino Linotype" w:hAnsi="Palatino Linotype"/>
          <w:i/>
          <w:iCs/>
          <w:noProof/>
          <w:sz w:val="20"/>
          <w:szCs w:val="20"/>
        </w:rPr>
        <w:t>Journal of Physics: Conference Series</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1467</w:t>
      </w:r>
      <w:r w:rsidRPr="00137609">
        <w:rPr>
          <w:rFonts w:ascii="Palatino Linotype" w:hAnsi="Palatino Linotype"/>
          <w:noProof/>
          <w:sz w:val="20"/>
          <w:szCs w:val="20"/>
        </w:rPr>
        <w:t>(1), 012008. https://doi.org/10.1088/1742-6596/1467/1/012008</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Thongkoo, K., Daungcharone, K., &amp; Panjaburee, P. (2024). Effects of Collaborative Inquiry-Based Online Approach in Thai University Students’ Computing Program. </w:t>
      </w:r>
      <w:r w:rsidRPr="00137609">
        <w:rPr>
          <w:rFonts w:ascii="Palatino Linotype" w:hAnsi="Palatino Linotype"/>
          <w:i/>
          <w:iCs/>
          <w:noProof/>
          <w:sz w:val="20"/>
          <w:szCs w:val="20"/>
        </w:rPr>
        <w:t>International Journal of Information and Education Technology</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14</w:t>
      </w:r>
      <w:r w:rsidRPr="00137609">
        <w:rPr>
          <w:rFonts w:ascii="Palatino Linotype" w:hAnsi="Palatino Linotype"/>
          <w:noProof/>
          <w:sz w:val="20"/>
          <w:szCs w:val="20"/>
        </w:rPr>
        <w:t>(2), 302–309. https://doi.org/10.18178/ijiet.2024.14.2.2052</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t xml:space="preserve">Wahono, B., Lin, P. L., &amp; Chang, C. Y. (2020). Evidence of STEM enactment effectiveness in Asian student learning outcomes. </w:t>
      </w:r>
      <w:r w:rsidRPr="00137609">
        <w:rPr>
          <w:rFonts w:ascii="Palatino Linotype" w:hAnsi="Palatino Linotype"/>
          <w:i/>
          <w:iCs/>
          <w:noProof/>
          <w:sz w:val="20"/>
          <w:szCs w:val="20"/>
        </w:rPr>
        <w:t>International Journal of STEM Education</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7</w:t>
      </w:r>
      <w:r w:rsidRPr="00137609">
        <w:rPr>
          <w:rFonts w:ascii="Palatino Linotype" w:hAnsi="Palatino Linotype"/>
          <w:noProof/>
          <w:sz w:val="20"/>
          <w:szCs w:val="20"/>
        </w:rPr>
        <w:t>(1), 1–18. https://doi.org/10.1186/s40594-020-00236-1</w:t>
      </w:r>
    </w:p>
    <w:p w:rsidR="00137609" w:rsidRPr="00137609" w:rsidRDefault="00137609" w:rsidP="00137609">
      <w:pPr>
        <w:widowControl w:val="0"/>
        <w:autoSpaceDE w:val="0"/>
        <w:autoSpaceDN w:val="0"/>
        <w:adjustRightInd w:val="0"/>
        <w:spacing w:before="120" w:after="0" w:line="240" w:lineRule="atLeast"/>
        <w:ind w:left="480" w:hanging="480"/>
        <w:jc w:val="both"/>
        <w:rPr>
          <w:rFonts w:ascii="Palatino Linotype" w:hAnsi="Palatino Linotype"/>
          <w:noProof/>
          <w:sz w:val="20"/>
          <w:szCs w:val="20"/>
        </w:rPr>
      </w:pPr>
      <w:r w:rsidRPr="00137609">
        <w:rPr>
          <w:rFonts w:ascii="Palatino Linotype" w:hAnsi="Palatino Linotype"/>
          <w:noProof/>
          <w:sz w:val="20"/>
          <w:szCs w:val="20"/>
        </w:rPr>
        <w:lastRenderedPageBreak/>
        <w:t xml:space="preserve">Wijaya, A. M. Y., Hobri, Prastiti, T. D., Dafik, &amp; Suratno. (2020). The analysis of learning materials implementation using inquiry based learning method to enhance student’s critical thinking skills in solving two dimensional problem. </w:t>
      </w:r>
      <w:r w:rsidRPr="00137609">
        <w:rPr>
          <w:rFonts w:ascii="Palatino Linotype" w:hAnsi="Palatino Linotype"/>
          <w:i/>
          <w:iCs/>
          <w:noProof/>
          <w:sz w:val="20"/>
          <w:szCs w:val="20"/>
        </w:rPr>
        <w:t>Journal of Physics: Conference Series</w:t>
      </w:r>
      <w:r w:rsidRPr="00137609">
        <w:rPr>
          <w:rFonts w:ascii="Palatino Linotype" w:hAnsi="Palatino Linotype"/>
          <w:noProof/>
          <w:sz w:val="20"/>
          <w:szCs w:val="20"/>
        </w:rPr>
        <w:t xml:space="preserve">, </w:t>
      </w:r>
      <w:r w:rsidRPr="00137609">
        <w:rPr>
          <w:rFonts w:ascii="Palatino Linotype" w:hAnsi="Palatino Linotype"/>
          <w:i/>
          <w:iCs/>
          <w:noProof/>
          <w:sz w:val="20"/>
          <w:szCs w:val="20"/>
        </w:rPr>
        <w:t>1465</w:t>
      </w:r>
      <w:r w:rsidRPr="00137609">
        <w:rPr>
          <w:rFonts w:ascii="Palatino Linotype" w:hAnsi="Palatino Linotype"/>
          <w:noProof/>
          <w:sz w:val="20"/>
          <w:szCs w:val="20"/>
        </w:rPr>
        <w:t>(1), 012065. https://doi.org/10.1088/1742-6596/1465/1/012065</w:t>
      </w:r>
    </w:p>
    <w:p w:rsidR="00137609" w:rsidRPr="00D6133C" w:rsidRDefault="00137609" w:rsidP="00137609">
      <w:pPr>
        <w:pStyle w:val="E-JOURNALREFFERENCES"/>
        <w:ind w:left="0" w:firstLine="0"/>
      </w:pPr>
      <w:r w:rsidRPr="00137609">
        <w:rPr>
          <w:rFonts w:ascii="Palatino Linotype" w:hAnsi="Palatino Linotype"/>
          <w:sz w:val="20"/>
          <w:szCs w:val="20"/>
        </w:rPr>
        <w:fldChar w:fldCharType="end"/>
      </w:r>
    </w:p>
    <w:p w:rsidR="00143989" w:rsidRPr="00723B12" w:rsidRDefault="00143989" w:rsidP="002B31FD">
      <w:pPr>
        <w:pStyle w:val="Alishlah71References"/>
      </w:pPr>
    </w:p>
    <w:sectPr w:rsidR="00143989" w:rsidRPr="00723B12" w:rsidSect="001914CF">
      <w:headerReference w:type="default" r:id="rId14"/>
      <w:footerReference w:type="default" r:id="rId15"/>
      <w:headerReference w:type="first" r:id="rId16"/>
      <w:footerReference w:type="first" r:id="rId17"/>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A07" w:rsidRDefault="009D2A07" w:rsidP="008E64A2">
      <w:pPr>
        <w:spacing w:after="0" w:line="240" w:lineRule="auto"/>
      </w:pPr>
      <w:r>
        <w:separator/>
      </w:r>
    </w:p>
    <w:p w:rsidR="009D2A07" w:rsidRDefault="009D2A07"/>
  </w:endnote>
  <w:endnote w:type="continuationSeparator" w:id="0">
    <w:p w:rsidR="009D2A07" w:rsidRDefault="009D2A07" w:rsidP="008E64A2">
      <w:pPr>
        <w:spacing w:after="0" w:line="240" w:lineRule="auto"/>
      </w:pPr>
      <w:r>
        <w:continuationSeparator/>
      </w:r>
    </w:p>
    <w:p w:rsidR="009D2A07" w:rsidRDefault="009D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609" w:rsidRPr="00137609" w:rsidRDefault="00137609" w:rsidP="00137609">
    <w:pPr>
      <w:spacing w:line="240" w:lineRule="auto"/>
      <w:ind w:left="-105"/>
      <w:rPr>
        <w:rFonts w:ascii="Palatino Linotype" w:eastAsia="Book Antiqua" w:hAnsi="Palatino Linotype" w:cs="Book Antiqua"/>
        <w:sz w:val="20"/>
        <w:szCs w:val="20"/>
      </w:rPr>
    </w:pPr>
    <w:r w:rsidRPr="00137609">
      <w:rPr>
        <w:rFonts w:ascii="Palatino Linotype" w:eastAsia="Book Antiqua" w:hAnsi="Palatino Linotype" w:cs="Book Antiqua"/>
        <w:sz w:val="20"/>
        <w:szCs w:val="20"/>
        <w:lang w:val="id-ID"/>
      </w:rPr>
      <w:t>Harleni</w:t>
    </w:r>
    <w:r w:rsidRPr="00137609">
      <w:rPr>
        <w:rFonts w:ascii="Palatino Linotype" w:eastAsia="Book Antiqua" w:hAnsi="Palatino Linotype" w:cs="Book Antiqua"/>
        <w:sz w:val="20"/>
        <w:szCs w:val="20"/>
        <w:vertAlign w:val="superscript"/>
      </w:rPr>
      <w:t>1*</w:t>
    </w:r>
    <w:r w:rsidRPr="00137609">
      <w:rPr>
        <w:rFonts w:ascii="Palatino Linotype" w:eastAsia="Book Antiqua" w:hAnsi="Palatino Linotype" w:cs="Book Antiqua"/>
        <w:sz w:val="20"/>
        <w:szCs w:val="20"/>
      </w:rPr>
      <w:t xml:space="preserve">, </w:t>
    </w:r>
    <w:proofErr w:type="spellStart"/>
    <w:r w:rsidRPr="00137609">
      <w:rPr>
        <w:rFonts w:ascii="Palatino Linotype" w:eastAsia="Book Antiqua" w:hAnsi="Palatino Linotype" w:cs="Book Antiqua"/>
        <w:sz w:val="20"/>
        <w:szCs w:val="20"/>
      </w:rPr>
      <w:t>Asmar</w:t>
    </w:r>
    <w:proofErr w:type="spellEnd"/>
    <w:r w:rsidRPr="00137609">
      <w:rPr>
        <w:rFonts w:ascii="Palatino Linotype" w:eastAsia="Book Antiqua" w:hAnsi="Palatino Linotype" w:cs="Book Antiqua"/>
        <w:sz w:val="20"/>
        <w:szCs w:val="20"/>
      </w:rPr>
      <w:t xml:space="preserve"> Yulastri</w:t>
    </w:r>
    <w:r w:rsidRPr="00137609">
      <w:rPr>
        <w:rFonts w:ascii="Palatino Linotype" w:eastAsia="Book Antiqua" w:hAnsi="Palatino Linotype" w:cs="Book Antiqua"/>
        <w:sz w:val="20"/>
        <w:szCs w:val="20"/>
        <w:vertAlign w:val="superscript"/>
      </w:rPr>
      <w:t>2</w:t>
    </w:r>
    <w:r w:rsidRPr="00137609">
      <w:rPr>
        <w:rFonts w:ascii="Palatino Linotype" w:eastAsia="Book Antiqua" w:hAnsi="Palatino Linotype" w:cs="Book Antiqua"/>
        <w:sz w:val="20"/>
        <w:szCs w:val="20"/>
      </w:rPr>
      <w:t>, Ganefri</w:t>
    </w:r>
    <w:r w:rsidRPr="00137609">
      <w:rPr>
        <w:rFonts w:ascii="Palatino Linotype" w:eastAsia="Book Antiqua" w:hAnsi="Palatino Linotype" w:cs="Book Antiqua"/>
        <w:sz w:val="20"/>
        <w:szCs w:val="20"/>
        <w:vertAlign w:val="superscript"/>
      </w:rPr>
      <w:t>3</w:t>
    </w:r>
    <w:r w:rsidRPr="00137609">
      <w:rPr>
        <w:rFonts w:ascii="Palatino Linotype" w:eastAsia="Book Antiqua" w:hAnsi="Palatino Linotype" w:cs="Book Antiqua"/>
        <w:sz w:val="20"/>
        <w:szCs w:val="20"/>
      </w:rPr>
      <w:t>, M. Giatman</w:t>
    </w:r>
    <w:proofErr w:type="gramStart"/>
    <w:r w:rsidRPr="00137609">
      <w:rPr>
        <w:rFonts w:ascii="Palatino Linotype" w:eastAsia="Book Antiqua" w:hAnsi="Palatino Linotype" w:cs="Book Antiqua"/>
        <w:sz w:val="20"/>
        <w:szCs w:val="20"/>
        <w:vertAlign w:val="superscript"/>
      </w:rPr>
      <w:t xml:space="preserve">3 </w:t>
    </w:r>
    <w:r w:rsidRPr="00137609">
      <w:rPr>
        <w:rFonts w:ascii="Palatino Linotype" w:eastAsia="Book Antiqua" w:hAnsi="Palatino Linotype" w:cs="Book Antiqua"/>
        <w:sz w:val="20"/>
        <w:szCs w:val="20"/>
      </w:rPr>
      <w:t>,</w:t>
    </w:r>
    <w:proofErr w:type="gramEnd"/>
    <w:r w:rsidRPr="00137609">
      <w:rPr>
        <w:rFonts w:ascii="Palatino Linotype" w:eastAsia="Book Antiqua" w:hAnsi="Palatino Linotype" w:cs="Book Antiqua"/>
        <w:sz w:val="20"/>
        <w:szCs w:val="20"/>
      </w:rPr>
      <w:t xml:space="preserve"> Dedy Irfan</w:t>
    </w:r>
    <w:r w:rsidRPr="00137609">
      <w:rPr>
        <w:rFonts w:ascii="Palatino Linotype" w:eastAsia="Book Antiqua" w:hAnsi="Palatino Linotype" w:cs="Book Antiqua"/>
        <w:sz w:val="20"/>
        <w:szCs w:val="20"/>
        <w:vertAlign w:val="superscript"/>
      </w:rPr>
      <w:t xml:space="preserve">4 </w:t>
    </w:r>
    <w:r w:rsidRPr="00137609">
      <w:rPr>
        <w:rFonts w:ascii="Palatino Linotype" w:eastAsia="Book Antiqua" w:hAnsi="Palatino Linotype" w:cs="Book Antiqua"/>
        <w:sz w:val="20"/>
        <w:szCs w:val="20"/>
      </w:rPr>
      <w:t xml:space="preserve">, </w:t>
    </w:r>
    <w:proofErr w:type="spellStart"/>
    <w:r w:rsidRPr="00137609">
      <w:rPr>
        <w:rFonts w:ascii="Palatino Linotype" w:eastAsia="Book Antiqua" w:hAnsi="Palatino Linotype" w:cs="Book Antiqua"/>
        <w:sz w:val="20"/>
        <w:szCs w:val="20"/>
      </w:rPr>
      <w:t>Hansi</w:t>
    </w:r>
    <w:proofErr w:type="spellEnd"/>
    <w:r w:rsidRPr="00137609">
      <w:rPr>
        <w:rFonts w:ascii="Palatino Linotype" w:eastAsia="Book Antiqua" w:hAnsi="Palatino Linotype" w:cs="Book Antiqua"/>
        <w:sz w:val="20"/>
        <w:szCs w:val="20"/>
      </w:rPr>
      <w:t xml:space="preserve"> Effendi</w:t>
    </w:r>
    <w:r w:rsidRPr="00137609">
      <w:rPr>
        <w:rFonts w:ascii="Palatino Linotype" w:eastAsia="Book Antiqua" w:hAnsi="Palatino Linotype" w:cs="Book Antiqua"/>
        <w:sz w:val="20"/>
        <w:szCs w:val="20"/>
        <w:vertAlign w:val="superscript"/>
      </w:rPr>
      <w:t>5</w:t>
    </w:r>
  </w:p>
  <w:p w:rsidR="00D61C3D" w:rsidRPr="00727D5A" w:rsidRDefault="00D61C3D" w:rsidP="00727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C3D" w:rsidRPr="00EE35A7" w:rsidRDefault="00D61C3D"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A07" w:rsidRDefault="009D2A07" w:rsidP="008E64A2">
      <w:pPr>
        <w:spacing w:after="0" w:line="240" w:lineRule="auto"/>
      </w:pPr>
      <w:r>
        <w:separator/>
      </w:r>
    </w:p>
    <w:p w:rsidR="009D2A07" w:rsidRDefault="009D2A07"/>
  </w:footnote>
  <w:footnote w:type="continuationSeparator" w:id="0">
    <w:p w:rsidR="009D2A07" w:rsidRDefault="009D2A07" w:rsidP="008E64A2">
      <w:pPr>
        <w:spacing w:after="0" w:line="240" w:lineRule="auto"/>
      </w:pPr>
      <w:r>
        <w:continuationSeparator/>
      </w:r>
    </w:p>
    <w:p w:rsidR="009D2A07" w:rsidRDefault="009D2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C3D" w:rsidRPr="00EE35A7" w:rsidRDefault="00D61C3D"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10BB21FF" wp14:editId="48A64EDD">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2E690E"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4I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E4wU&#10;6WFHT3uvY2n0EOYzGFdAWKW2NnRIj+rVPGv63SGlq46olsfgt5OB3CxkJO9SwsUZqLIbvmgGMQTw&#10;47COje0DJIwBHeNOTred8KNHFD5OZ9ksT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proofErr w:type="gramStart"/>
    <w:r w:rsidRPr="0048254D">
      <w:rPr>
        <w:rFonts w:ascii="Palatino Linotype" w:hAnsi="Palatino Linotype"/>
        <w:i/>
        <w:sz w:val="16"/>
      </w:rPr>
      <w:t>Pendidikan</w:t>
    </w:r>
    <w:r>
      <w:rPr>
        <w:rFonts w:ascii="Palatino Linotype" w:hAnsi="Palatino Linotype"/>
        <w:i/>
        <w:sz w:val="16"/>
      </w:rPr>
      <w:t>,Vol</w:t>
    </w:r>
    <w:proofErr w:type="spellEnd"/>
    <w:r>
      <w:rPr>
        <w:rFonts w:ascii="Palatino Linotype" w:hAnsi="Palatino Linotype"/>
        <w:i/>
        <w:sz w:val="16"/>
      </w:rPr>
      <w:t>.</w:t>
    </w:r>
    <w:proofErr w:type="gramEnd"/>
    <w:r>
      <w:rPr>
        <w:rFonts w:ascii="Palatino Linotype" w:hAnsi="Palatino Linotype"/>
        <w:i/>
        <w:sz w:val="16"/>
      </w:rPr>
      <w:t xml:space="preserve">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Pr>
        <w:rFonts w:ascii="Palatino Linotype" w:hAnsi="Palatino Linotype"/>
        <w:i/>
        <w:sz w:val="16"/>
      </w:rPr>
      <w:t>p-pp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70</w:t>
    </w:r>
  </w:p>
  <w:p w:rsidR="00D61C3D" w:rsidRDefault="00D61C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C3D" w:rsidRPr="0048254D" w:rsidRDefault="00D61C3D" w:rsidP="0048254D">
    <w:pPr>
      <w:pStyle w:val="Header"/>
      <w:ind w:right="45"/>
      <w:rPr>
        <w:rFonts w:ascii="Palatino Linotype" w:hAnsi="Palatino Linotype"/>
        <w:b/>
        <w:sz w:val="20"/>
      </w:rPr>
    </w:pPr>
    <w:bookmarkStart w:id="3"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rsidR="00D61C3D" w:rsidRPr="0048254D" w:rsidRDefault="00D61C3D"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Pr>
        <w:rFonts w:ascii="Palatino Linotype" w:eastAsia="Times New Roman" w:hAnsi="Palatino Linotype" w:cs="Times New Roman"/>
        <w:sz w:val="18"/>
        <w:szCs w:val="18"/>
        <w:lang w:val="en-US"/>
      </w:rPr>
      <w:t>61-70</w:t>
    </w:r>
  </w:p>
  <w:p w:rsidR="00D61C3D" w:rsidRPr="0048254D" w:rsidRDefault="00D61C3D"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14i1.</w:t>
    </w:r>
    <w:bookmarkEnd w:id="3"/>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20110E09" wp14:editId="49542A2A">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BF2B92"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"/>
          </w:pict>
        </mc:Fallback>
      </mc:AlternateContent>
    </w:r>
    <w:r>
      <w:rPr>
        <w:rFonts w:ascii="Palatino Linotype" w:eastAsia="Times New Roman" w:hAnsi="Palatino Linotype" w:cs="Times New Roman"/>
        <w:sz w:val="18"/>
        <w:szCs w:val="18"/>
        <w:lang w:val="en-US"/>
      </w:rPr>
      <w:t>973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6"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0"/>
  </w:num>
  <w:num w:numId="3">
    <w:abstractNumId w:val="6"/>
  </w:num>
  <w:num w:numId="4">
    <w:abstractNumId w:val="5"/>
  </w:num>
  <w:num w:numId="5">
    <w:abstractNumId w:val="13"/>
  </w:num>
  <w:num w:numId="6">
    <w:abstractNumId w:val="16"/>
  </w:num>
  <w:num w:numId="7">
    <w:abstractNumId w:val="1"/>
  </w:num>
  <w:num w:numId="8">
    <w:abstractNumId w:val="15"/>
  </w:num>
  <w:num w:numId="9">
    <w:abstractNumId w:val="8"/>
  </w:num>
  <w:num w:numId="10">
    <w:abstractNumId w:val="14"/>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
  </w:num>
  <w:num w:numId="14">
    <w:abstractNumId w:val="11"/>
  </w:num>
  <w:num w:numId="15">
    <w:abstractNumId w:val="12"/>
  </w:num>
  <w:num w:numId="16">
    <w:abstractNumId w:val="0"/>
  </w:num>
  <w:num w:numId="17">
    <w:abstractNumId w:val="4"/>
  </w:num>
  <w:num w:numId="1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8E03B0"/>
    <w:rsid w:val="000061CE"/>
    <w:rsid w:val="00031DD5"/>
    <w:rsid w:val="000333AC"/>
    <w:rsid w:val="000355EA"/>
    <w:rsid w:val="00035C67"/>
    <w:rsid w:val="00056E9C"/>
    <w:rsid w:val="000735BB"/>
    <w:rsid w:val="00075197"/>
    <w:rsid w:val="000831BD"/>
    <w:rsid w:val="000A13A3"/>
    <w:rsid w:val="000A36F0"/>
    <w:rsid w:val="000D5EE8"/>
    <w:rsid w:val="000E2588"/>
    <w:rsid w:val="000E2C60"/>
    <w:rsid w:val="000E7A05"/>
    <w:rsid w:val="000F1812"/>
    <w:rsid w:val="000F66B9"/>
    <w:rsid w:val="00114306"/>
    <w:rsid w:val="001358C8"/>
    <w:rsid w:val="00137609"/>
    <w:rsid w:val="00143989"/>
    <w:rsid w:val="00145F3A"/>
    <w:rsid w:val="00147524"/>
    <w:rsid w:val="00151740"/>
    <w:rsid w:val="001603B5"/>
    <w:rsid w:val="00175AF2"/>
    <w:rsid w:val="00182EA2"/>
    <w:rsid w:val="001914CF"/>
    <w:rsid w:val="001A4292"/>
    <w:rsid w:val="001A581B"/>
    <w:rsid w:val="001C1084"/>
    <w:rsid w:val="001C18FA"/>
    <w:rsid w:val="001C30E8"/>
    <w:rsid w:val="001C7B8C"/>
    <w:rsid w:val="001E42C1"/>
    <w:rsid w:val="001F4625"/>
    <w:rsid w:val="002001C5"/>
    <w:rsid w:val="00202D95"/>
    <w:rsid w:val="0022427B"/>
    <w:rsid w:val="002263FF"/>
    <w:rsid w:val="00226E30"/>
    <w:rsid w:val="0023514C"/>
    <w:rsid w:val="00245BDA"/>
    <w:rsid w:val="002663A1"/>
    <w:rsid w:val="00270B5A"/>
    <w:rsid w:val="00287854"/>
    <w:rsid w:val="00290481"/>
    <w:rsid w:val="002A02C2"/>
    <w:rsid w:val="002A2BCB"/>
    <w:rsid w:val="002A7ABC"/>
    <w:rsid w:val="002B31FD"/>
    <w:rsid w:val="002B59BA"/>
    <w:rsid w:val="002C57D4"/>
    <w:rsid w:val="003037AA"/>
    <w:rsid w:val="00307DF5"/>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C3B3B"/>
    <w:rsid w:val="003D061C"/>
    <w:rsid w:val="003E5BB6"/>
    <w:rsid w:val="003F3A9E"/>
    <w:rsid w:val="004258A8"/>
    <w:rsid w:val="00432323"/>
    <w:rsid w:val="004333C2"/>
    <w:rsid w:val="00434F97"/>
    <w:rsid w:val="00435996"/>
    <w:rsid w:val="00444B72"/>
    <w:rsid w:val="004521BE"/>
    <w:rsid w:val="00457015"/>
    <w:rsid w:val="00461028"/>
    <w:rsid w:val="004642B9"/>
    <w:rsid w:val="004763B3"/>
    <w:rsid w:val="0048254D"/>
    <w:rsid w:val="004A39B9"/>
    <w:rsid w:val="004A4086"/>
    <w:rsid w:val="004C2768"/>
    <w:rsid w:val="004C2BBB"/>
    <w:rsid w:val="004C67A3"/>
    <w:rsid w:val="004C700A"/>
    <w:rsid w:val="004D00C2"/>
    <w:rsid w:val="004D0C98"/>
    <w:rsid w:val="004F29DF"/>
    <w:rsid w:val="004F6BCE"/>
    <w:rsid w:val="005041B5"/>
    <w:rsid w:val="0050557B"/>
    <w:rsid w:val="005145F9"/>
    <w:rsid w:val="00526694"/>
    <w:rsid w:val="005340DA"/>
    <w:rsid w:val="0055125A"/>
    <w:rsid w:val="0055535C"/>
    <w:rsid w:val="00561289"/>
    <w:rsid w:val="00566877"/>
    <w:rsid w:val="005710E6"/>
    <w:rsid w:val="005807EE"/>
    <w:rsid w:val="00583DB2"/>
    <w:rsid w:val="005909CA"/>
    <w:rsid w:val="00590ECF"/>
    <w:rsid w:val="005A0E25"/>
    <w:rsid w:val="005A317A"/>
    <w:rsid w:val="005A7A9C"/>
    <w:rsid w:val="005B0D7F"/>
    <w:rsid w:val="005B4643"/>
    <w:rsid w:val="005B5AEC"/>
    <w:rsid w:val="005C4902"/>
    <w:rsid w:val="005C7EC7"/>
    <w:rsid w:val="005D00BE"/>
    <w:rsid w:val="005D18A2"/>
    <w:rsid w:val="0061136D"/>
    <w:rsid w:val="00617741"/>
    <w:rsid w:val="00626D7A"/>
    <w:rsid w:val="00630559"/>
    <w:rsid w:val="006405DC"/>
    <w:rsid w:val="00642A67"/>
    <w:rsid w:val="00655540"/>
    <w:rsid w:val="006659EC"/>
    <w:rsid w:val="00674F13"/>
    <w:rsid w:val="00675603"/>
    <w:rsid w:val="006802BF"/>
    <w:rsid w:val="00684266"/>
    <w:rsid w:val="00686344"/>
    <w:rsid w:val="006875E7"/>
    <w:rsid w:val="00690C1D"/>
    <w:rsid w:val="0069239F"/>
    <w:rsid w:val="006A6719"/>
    <w:rsid w:val="006B3B48"/>
    <w:rsid w:val="006B5DB7"/>
    <w:rsid w:val="006C79FB"/>
    <w:rsid w:val="006D0B77"/>
    <w:rsid w:val="006D7143"/>
    <w:rsid w:val="006E711A"/>
    <w:rsid w:val="006F160B"/>
    <w:rsid w:val="00701A0F"/>
    <w:rsid w:val="0071335B"/>
    <w:rsid w:val="00716FCB"/>
    <w:rsid w:val="00717FE7"/>
    <w:rsid w:val="00721B39"/>
    <w:rsid w:val="00723972"/>
    <w:rsid w:val="00727D5A"/>
    <w:rsid w:val="0073613A"/>
    <w:rsid w:val="0074579B"/>
    <w:rsid w:val="00750180"/>
    <w:rsid w:val="00751F6C"/>
    <w:rsid w:val="007549C7"/>
    <w:rsid w:val="00763D48"/>
    <w:rsid w:val="007706D1"/>
    <w:rsid w:val="00776DFE"/>
    <w:rsid w:val="00784B9B"/>
    <w:rsid w:val="00787398"/>
    <w:rsid w:val="007A2C38"/>
    <w:rsid w:val="007B2B7A"/>
    <w:rsid w:val="007B716C"/>
    <w:rsid w:val="007E0F04"/>
    <w:rsid w:val="007E5CEF"/>
    <w:rsid w:val="007E6AA6"/>
    <w:rsid w:val="007E6E1C"/>
    <w:rsid w:val="007F0542"/>
    <w:rsid w:val="007F2733"/>
    <w:rsid w:val="00802C6D"/>
    <w:rsid w:val="008036D9"/>
    <w:rsid w:val="008477FA"/>
    <w:rsid w:val="00863036"/>
    <w:rsid w:val="00873823"/>
    <w:rsid w:val="00874DBD"/>
    <w:rsid w:val="00883EAA"/>
    <w:rsid w:val="008841DF"/>
    <w:rsid w:val="008858AA"/>
    <w:rsid w:val="00887B61"/>
    <w:rsid w:val="0089730B"/>
    <w:rsid w:val="008D0E8E"/>
    <w:rsid w:val="008D272B"/>
    <w:rsid w:val="008D6030"/>
    <w:rsid w:val="008E03B0"/>
    <w:rsid w:val="008E27C5"/>
    <w:rsid w:val="008E64A2"/>
    <w:rsid w:val="008F618A"/>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8303C"/>
    <w:rsid w:val="00984D8C"/>
    <w:rsid w:val="009B07D9"/>
    <w:rsid w:val="009C1B55"/>
    <w:rsid w:val="009C7544"/>
    <w:rsid w:val="009D09F2"/>
    <w:rsid w:val="009D2A07"/>
    <w:rsid w:val="009D3532"/>
    <w:rsid w:val="009E52F0"/>
    <w:rsid w:val="009F0C88"/>
    <w:rsid w:val="009F4CD2"/>
    <w:rsid w:val="009F71B3"/>
    <w:rsid w:val="00A00078"/>
    <w:rsid w:val="00A02BB2"/>
    <w:rsid w:val="00A10E86"/>
    <w:rsid w:val="00A234A4"/>
    <w:rsid w:val="00A36F58"/>
    <w:rsid w:val="00A414CC"/>
    <w:rsid w:val="00A448B5"/>
    <w:rsid w:val="00A54BE9"/>
    <w:rsid w:val="00A66748"/>
    <w:rsid w:val="00A75CB1"/>
    <w:rsid w:val="00A80097"/>
    <w:rsid w:val="00A91453"/>
    <w:rsid w:val="00A96285"/>
    <w:rsid w:val="00A9708A"/>
    <w:rsid w:val="00A97F4A"/>
    <w:rsid w:val="00AA580B"/>
    <w:rsid w:val="00AB2854"/>
    <w:rsid w:val="00AB4892"/>
    <w:rsid w:val="00AB6B7A"/>
    <w:rsid w:val="00AC475D"/>
    <w:rsid w:val="00AC5858"/>
    <w:rsid w:val="00AD26B9"/>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449B4"/>
    <w:rsid w:val="00B5764F"/>
    <w:rsid w:val="00B67ED6"/>
    <w:rsid w:val="00B7027E"/>
    <w:rsid w:val="00B72F3D"/>
    <w:rsid w:val="00B74337"/>
    <w:rsid w:val="00BA14D2"/>
    <w:rsid w:val="00BA707F"/>
    <w:rsid w:val="00BB6E10"/>
    <w:rsid w:val="00BD0A28"/>
    <w:rsid w:val="00BD0ABC"/>
    <w:rsid w:val="00BE398A"/>
    <w:rsid w:val="00BF0A78"/>
    <w:rsid w:val="00BF21AD"/>
    <w:rsid w:val="00BF2297"/>
    <w:rsid w:val="00BF4139"/>
    <w:rsid w:val="00BF4472"/>
    <w:rsid w:val="00BF4E78"/>
    <w:rsid w:val="00BF6007"/>
    <w:rsid w:val="00C1416D"/>
    <w:rsid w:val="00C21EFA"/>
    <w:rsid w:val="00C361A9"/>
    <w:rsid w:val="00C36799"/>
    <w:rsid w:val="00C37B1B"/>
    <w:rsid w:val="00C4224C"/>
    <w:rsid w:val="00C66ECA"/>
    <w:rsid w:val="00C721BA"/>
    <w:rsid w:val="00C8406B"/>
    <w:rsid w:val="00C94847"/>
    <w:rsid w:val="00CA3B3C"/>
    <w:rsid w:val="00CC0C2B"/>
    <w:rsid w:val="00CC3DB2"/>
    <w:rsid w:val="00CC7F21"/>
    <w:rsid w:val="00CD3AE9"/>
    <w:rsid w:val="00CE131B"/>
    <w:rsid w:val="00CE242C"/>
    <w:rsid w:val="00CF5425"/>
    <w:rsid w:val="00D13D39"/>
    <w:rsid w:val="00D2296B"/>
    <w:rsid w:val="00D31547"/>
    <w:rsid w:val="00D37209"/>
    <w:rsid w:val="00D51A98"/>
    <w:rsid w:val="00D61C3D"/>
    <w:rsid w:val="00D74358"/>
    <w:rsid w:val="00D75604"/>
    <w:rsid w:val="00D77FAD"/>
    <w:rsid w:val="00D81206"/>
    <w:rsid w:val="00D90DB0"/>
    <w:rsid w:val="00DA0836"/>
    <w:rsid w:val="00DA2631"/>
    <w:rsid w:val="00DD295B"/>
    <w:rsid w:val="00DE2B7D"/>
    <w:rsid w:val="00DF215F"/>
    <w:rsid w:val="00E00922"/>
    <w:rsid w:val="00E05855"/>
    <w:rsid w:val="00E1438C"/>
    <w:rsid w:val="00E22B8E"/>
    <w:rsid w:val="00E45249"/>
    <w:rsid w:val="00E517C5"/>
    <w:rsid w:val="00E56B59"/>
    <w:rsid w:val="00E85AC8"/>
    <w:rsid w:val="00EA7D37"/>
    <w:rsid w:val="00EE35A7"/>
    <w:rsid w:val="00EF47B8"/>
    <w:rsid w:val="00F03710"/>
    <w:rsid w:val="00F05579"/>
    <w:rsid w:val="00F15294"/>
    <w:rsid w:val="00F30CBA"/>
    <w:rsid w:val="00F30EA6"/>
    <w:rsid w:val="00F36C4F"/>
    <w:rsid w:val="00F40982"/>
    <w:rsid w:val="00F67706"/>
    <w:rsid w:val="00F6777E"/>
    <w:rsid w:val="00F8776C"/>
    <w:rsid w:val="00F941E4"/>
    <w:rsid w:val="00FA3411"/>
    <w:rsid w:val="00FA43FF"/>
    <w:rsid w:val="00FA57C1"/>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F6654"/>
  <w15:chartTrackingRefBased/>
  <w15:docId w15:val="{6084E77F-C770-4EFA-8076-726B650D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83DB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customStyle="1" w:styleId="Heading4Char">
    <w:name w:val="Heading 4 Char"/>
    <w:basedOn w:val="DefaultParagraphFont"/>
    <w:link w:val="Heading4"/>
    <w:uiPriority w:val="9"/>
    <w:semiHidden/>
    <w:rsid w:val="00583DB2"/>
    <w:rPr>
      <w:rFonts w:asciiTheme="majorHAnsi" w:eastAsiaTheme="majorEastAsia" w:hAnsiTheme="majorHAnsi" w:cstheme="majorBidi"/>
      <w:i/>
      <w:iCs/>
      <w:color w:val="2F5496" w:themeColor="accent1" w:themeShade="BF"/>
    </w:rPr>
  </w:style>
  <w:style w:type="character" w:styleId="Emphasis">
    <w:name w:val="Emphasis"/>
    <w:aliases w:val="SN Afiliasi Penulis2"/>
    <w:uiPriority w:val="20"/>
    <w:qFormat/>
    <w:rsid w:val="00583DB2"/>
    <w:rPr>
      <w:rFonts w:ascii="Times New Roman" w:hAnsi="Times New Roman"/>
      <w:i/>
      <w:iCs/>
      <w:sz w:val="22"/>
    </w:rPr>
  </w:style>
  <w:style w:type="table" w:customStyle="1" w:styleId="TableGrid3">
    <w:name w:val="Table Grid3"/>
    <w:basedOn w:val="TableNormal"/>
    <w:next w:val="TableGrid"/>
    <w:uiPriority w:val="59"/>
    <w:rsid w:val="00583DB2"/>
    <w:pPr>
      <w:spacing w:after="0" w:line="240" w:lineRule="auto"/>
    </w:pPr>
    <w:rPr>
      <w:rFonts w:eastAsia="Times New Roman"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PICTURECAPT">
    <w:name w:val="E-JOURNAL_PICTURE_CAPT"/>
    <w:basedOn w:val="Normal"/>
    <w:autoRedefine/>
    <w:qFormat/>
    <w:rsid w:val="00D61C3D"/>
    <w:pPr>
      <w:spacing w:before="120" w:after="40" w:line="240" w:lineRule="atLeast"/>
      <w:jc w:val="center"/>
    </w:pPr>
    <w:rPr>
      <w:rFonts w:ascii="Times New Roman" w:eastAsia="Times New Roman" w:hAnsi="Times New Roman" w:cs="Times New Roman"/>
      <w:color w:val="000000"/>
      <w:szCs w:val="24"/>
      <w:lang w:val="en-US"/>
    </w:rPr>
  </w:style>
  <w:style w:type="paragraph" w:customStyle="1" w:styleId="E-JOURNALBODY">
    <w:name w:val="E-JOURNAL_BODY"/>
    <w:basedOn w:val="Normal"/>
    <w:qFormat/>
    <w:rsid w:val="00D61C3D"/>
    <w:pPr>
      <w:spacing w:after="0" w:line="240" w:lineRule="auto"/>
      <w:ind w:firstLine="743"/>
      <w:jc w:val="both"/>
    </w:pPr>
    <w:rPr>
      <w:rFonts w:ascii="Times New Roman" w:eastAsia="Times New Roman" w:hAnsi="Times New Roman" w:cs="Times New Roman"/>
      <w:szCs w:val="24"/>
      <w:lang w:val="id-ID"/>
    </w:rPr>
  </w:style>
  <w:style w:type="paragraph" w:customStyle="1" w:styleId="E-JOURNALTABLECAPT">
    <w:name w:val="E-JOURNAL_TABLE_CAPT"/>
    <w:basedOn w:val="Normal"/>
    <w:autoRedefine/>
    <w:qFormat/>
    <w:rsid w:val="00D61C3D"/>
    <w:pPr>
      <w:spacing w:before="240" w:after="120" w:line="240" w:lineRule="atLeast"/>
      <w:jc w:val="center"/>
    </w:pPr>
    <w:rPr>
      <w:rFonts w:ascii="Times New Roman" w:eastAsia="Times New Roman" w:hAnsi="Times New Roman" w:cs="Times New Roman"/>
      <w:szCs w:val="24"/>
      <w:lang w:val="en-US"/>
    </w:rPr>
  </w:style>
  <w:style w:type="paragraph" w:customStyle="1" w:styleId="E-JOURNALREFFERENCES">
    <w:name w:val="E-JOURNAL_REFFERENCES"/>
    <w:basedOn w:val="Normal"/>
    <w:qFormat/>
    <w:rsid w:val="00137609"/>
    <w:pPr>
      <w:spacing w:before="120" w:after="0" w:line="240" w:lineRule="atLeast"/>
      <w:ind w:left="720" w:hanging="720"/>
      <w:jc w:val="both"/>
    </w:pPr>
    <w:rPr>
      <w:rFonts w:ascii="Times New Roman" w:eastAsia="Times New Roman" w:hAnsi="Times New Roman" w:cs="Times New Roman"/>
      <w:color w:val="00000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57893">
      <w:bodyDiv w:val="1"/>
      <w:marLeft w:val="0"/>
      <w:marRight w:val="0"/>
      <w:marTop w:val="0"/>
      <w:marBottom w:val="0"/>
      <w:divBdr>
        <w:top w:val="none" w:sz="0" w:space="0" w:color="auto"/>
        <w:left w:val="none" w:sz="0" w:space="0" w:color="auto"/>
        <w:bottom w:val="none" w:sz="0" w:space="0" w:color="auto"/>
        <w:right w:val="none" w:sz="0" w:space="0" w:color="auto"/>
      </w:divBdr>
    </w:div>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30270162">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846676086">
      <w:bodyDiv w:val="1"/>
      <w:marLeft w:val="0"/>
      <w:marRight w:val="0"/>
      <w:marTop w:val="0"/>
      <w:marBottom w:val="0"/>
      <w:divBdr>
        <w:top w:val="none" w:sz="0" w:space="0" w:color="auto"/>
        <w:left w:val="none" w:sz="0" w:space="0" w:color="auto"/>
        <w:bottom w:val="none" w:sz="0" w:space="0" w:color="auto"/>
        <w:right w:val="none" w:sz="0" w:space="0" w:color="auto"/>
      </w:divBdr>
    </w:div>
    <w:div w:id="888346629">
      <w:bodyDiv w:val="1"/>
      <w:marLeft w:val="0"/>
      <w:marRight w:val="0"/>
      <w:marTop w:val="0"/>
      <w:marBottom w:val="0"/>
      <w:divBdr>
        <w:top w:val="none" w:sz="0" w:space="0" w:color="auto"/>
        <w:left w:val="none" w:sz="0" w:space="0" w:color="auto"/>
        <w:bottom w:val="none" w:sz="0" w:space="0" w:color="auto"/>
        <w:right w:val="none" w:sz="0" w:space="0" w:color="auto"/>
      </w:divBdr>
    </w:div>
    <w:div w:id="1008220083">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778450718">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arleni.lhenie@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Template-2022%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C5549-B4F6-44FF-903D-335096140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 (1)</Template>
  <TotalTime>21</TotalTime>
  <Pages>14</Pages>
  <Words>16207</Words>
  <Characters>92383</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cp:lastPrinted>2022-03-12T14:54:00Z</cp:lastPrinted>
  <dcterms:created xsi:type="dcterms:W3CDTF">2025-01-29T10:46:00Z</dcterms:created>
  <dcterms:modified xsi:type="dcterms:W3CDTF">2025-01-29T14:41:00Z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