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77D7" w14:textId="77777777" w:rsidR="00FA3F1A" w:rsidRPr="00ED7521" w:rsidRDefault="00FA3F1A" w:rsidP="002C57D4">
      <w:pPr>
        <w:pStyle w:val="Alishlah13authornames"/>
        <w:rPr>
          <w:lang w:val="en-GB"/>
        </w:rPr>
      </w:pPr>
    </w:p>
    <w:p w14:paraId="6B8D8825" w14:textId="64BED80B" w:rsidR="00FA3F1A" w:rsidRPr="00ED7521" w:rsidRDefault="00FA3F1A" w:rsidP="00FA3F1A">
      <w:pPr>
        <w:pStyle w:val="BodyText"/>
        <w:rPr>
          <w:rFonts w:ascii="Palatino Linotype" w:hAnsi="Palatino Linotype"/>
          <w:b/>
          <w:bCs/>
          <w:sz w:val="28"/>
          <w:szCs w:val="28"/>
        </w:rPr>
      </w:pPr>
      <w:r w:rsidRPr="00ED7521">
        <w:rPr>
          <w:rFonts w:ascii="Palatino Linotype" w:hAnsi="Palatino Linotype"/>
          <w:b/>
          <w:bCs/>
          <w:sz w:val="28"/>
          <w:szCs w:val="28"/>
        </w:rPr>
        <w:t xml:space="preserve">THE IMPACT OF THE SCHOOL ENVIRONMENT ON THE MENTAL HEALTH AND </w:t>
      </w:r>
      <w:r w:rsidRPr="00ED7521">
        <w:rPr>
          <w:rFonts w:ascii="Palatino Linotype" w:hAnsi="Palatino Linotype"/>
          <w:b/>
          <w:bCs/>
          <w:i/>
          <w:iCs/>
          <w:sz w:val="28"/>
          <w:szCs w:val="28"/>
        </w:rPr>
        <w:t>POST-TRAUMATIC GROWTH</w:t>
      </w:r>
      <w:r w:rsidRPr="00ED7521">
        <w:rPr>
          <w:rFonts w:ascii="Palatino Linotype" w:hAnsi="Palatino Linotype"/>
          <w:b/>
          <w:bCs/>
          <w:sz w:val="28"/>
          <w:szCs w:val="28"/>
        </w:rPr>
        <w:t xml:space="preserve"> OF STUDENTS</w:t>
      </w:r>
    </w:p>
    <w:p w14:paraId="4212AAF1" w14:textId="77777777" w:rsidR="00FA3F1A" w:rsidRPr="00ED7521" w:rsidRDefault="00FA3F1A" w:rsidP="00FA3F1A">
      <w:pPr>
        <w:pStyle w:val="BodyText"/>
        <w:rPr>
          <w:rFonts w:ascii="Palatino Linotype" w:hAnsi="Palatino Linotype"/>
          <w:b/>
          <w:bCs/>
          <w:sz w:val="28"/>
          <w:szCs w:val="28"/>
        </w:rPr>
      </w:pPr>
    </w:p>
    <w:p w14:paraId="003A6085" w14:textId="16F9E071" w:rsidR="00BE398A" w:rsidRPr="00ED7521" w:rsidRDefault="00FA3F1A" w:rsidP="00FA3F1A">
      <w:pPr>
        <w:pStyle w:val="Heading1"/>
        <w:rPr>
          <w:rFonts w:ascii="Palatino Linotype" w:hAnsi="Palatino Linotype"/>
          <w:sz w:val="20"/>
          <w:szCs w:val="20"/>
        </w:rPr>
      </w:pPr>
      <w:r w:rsidRPr="00ED7521">
        <w:rPr>
          <w:rFonts w:ascii="Palatino Linotype" w:hAnsi="Palatino Linotype" w:cs="Times New Roman"/>
          <w:bCs w:val="0"/>
          <w:sz w:val="20"/>
          <w:szCs w:val="20"/>
        </w:rPr>
        <w:t>Marzhuhriya Khoirunnisa</w:t>
      </w:r>
      <w:r w:rsidRPr="00ED7521">
        <w:rPr>
          <w:rFonts w:ascii="Palatino Linotype" w:hAnsi="Palatino Linotype" w:cs="Times New Roman"/>
          <w:szCs w:val="24"/>
        </w:rPr>
        <w:t xml:space="preserve"> </w:t>
      </w:r>
      <w:r w:rsidR="007E6AA6" w:rsidRPr="00ED7521">
        <w:rPr>
          <w:rFonts w:ascii="Palatino Linotype" w:hAnsi="Palatino Linotype"/>
          <w:vertAlign w:val="superscript"/>
        </w:rPr>
        <w:t>1</w:t>
      </w:r>
      <w:r w:rsidR="007E6AA6" w:rsidRPr="00ED7521">
        <w:rPr>
          <w:rFonts w:ascii="Palatino Linotype" w:hAnsi="Palatino Linotype"/>
        </w:rPr>
        <w:t xml:space="preserve">, </w:t>
      </w:r>
      <w:r w:rsidRPr="00ED7521">
        <w:rPr>
          <w:rFonts w:ascii="Palatino Linotype" w:hAnsi="Palatino Linotype"/>
          <w:sz w:val="20"/>
          <w:szCs w:val="20"/>
        </w:rPr>
        <w:t>Sadam Fajar Shodiq</w:t>
      </w:r>
      <w:r w:rsidRPr="00ED7521">
        <w:rPr>
          <w:rFonts w:ascii="Palatino Linotype" w:hAnsi="Palatino Linotype"/>
        </w:rPr>
        <w:t xml:space="preserve"> </w:t>
      </w:r>
      <w:r w:rsidR="007E6AA6" w:rsidRPr="00ED7521">
        <w:rPr>
          <w:rFonts w:ascii="Palatino Linotype" w:hAnsi="Palatino Linotype"/>
          <w:vertAlign w:val="superscript"/>
        </w:rPr>
        <w:t>2</w:t>
      </w:r>
    </w:p>
    <w:p w14:paraId="5A957BCC" w14:textId="3AF7EDEB" w:rsidR="008E64A2" w:rsidRPr="00ED7521" w:rsidRDefault="00BE398A" w:rsidP="00784B9B">
      <w:pPr>
        <w:pStyle w:val="Alishlah16affiliation"/>
        <w:rPr>
          <w:color w:val="auto"/>
          <w:lang w:val="it-IT"/>
        </w:rPr>
      </w:pPr>
      <w:r w:rsidRPr="00ED7521">
        <w:rPr>
          <w:color w:val="auto"/>
          <w:vertAlign w:val="superscript"/>
          <w:lang w:val="it-IT"/>
        </w:rPr>
        <w:t>1</w:t>
      </w:r>
      <w:r w:rsidRPr="00ED7521">
        <w:rPr>
          <w:color w:val="auto"/>
          <w:lang w:val="it-IT"/>
        </w:rPr>
        <w:tab/>
      </w:r>
      <w:r w:rsidR="00FA3F1A" w:rsidRPr="00ED7521">
        <w:rPr>
          <w:lang w:val="it-IT"/>
        </w:rPr>
        <w:t xml:space="preserve">Universitas Muhammadiyah Yogyakarta, Indonesia </w:t>
      </w:r>
      <w:r w:rsidR="002B31FD" w:rsidRPr="00ED7521">
        <w:rPr>
          <w:color w:val="auto"/>
          <w:lang w:val="it-IT"/>
        </w:rPr>
        <w:t xml:space="preserve">1; </w:t>
      </w:r>
      <w:hyperlink r:id="rId8" w:history="1">
        <w:r w:rsidR="00FA3F1A" w:rsidRPr="00ED7521">
          <w:rPr>
            <w:rStyle w:val="Hyperlink"/>
            <w:rFonts w:cs="Arial"/>
            <w:color w:val="auto"/>
            <w:u w:val="none"/>
            <w:lang w:val="it-IT"/>
          </w:rPr>
          <w:t>m.khoirunnisa.fai22@mail.umy.ac.id</w:t>
        </w:r>
      </w:hyperlink>
    </w:p>
    <w:p w14:paraId="33BB24C4" w14:textId="34463BFB" w:rsidR="00B72F3D" w:rsidRPr="00ED7521" w:rsidRDefault="00B72F3D" w:rsidP="00784B9B">
      <w:pPr>
        <w:pStyle w:val="Alishlah16affiliation"/>
        <w:rPr>
          <w:color w:val="auto"/>
          <w:lang w:val="it-IT"/>
        </w:rPr>
      </w:pPr>
      <w:r w:rsidRPr="00ED7521">
        <w:rPr>
          <w:color w:val="auto"/>
          <w:vertAlign w:val="superscript"/>
          <w:lang w:val="it-IT"/>
        </w:rPr>
        <w:t>2</w:t>
      </w:r>
      <w:r w:rsidRPr="00ED7521">
        <w:rPr>
          <w:color w:val="auto"/>
          <w:lang w:val="it-IT"/>
        </w:rPr>
        <w:tab/>
      </w:r>
      <w:r w:rsidR="00FA3F1A" w:rsidRPr="00ED7521">
        <w:rPr>
          <w:lang w:val="it-IT"/>
        </w:rPr>
        <w:t xml:space="preserve">Universitas Muhammadiyah Yogyakarta, Indonesia </w:t>
      </w:r>
      <w:r w:rsidR="00FA3F1A" w:rsidRPr="00ED7521">
        <w:rPr>
          <w:color w:val="auto"/>
          <w:lang w:val="it-IT"/>
        </w:rPr>
        <w:t>2</w:t>
      </w:r>
      <w:r w:rsidR="002B31FD" w:rsidRPr="00ED7521">
        <w:rPr>
          <w:color w:val="auto"/>
          <w:lang w:val="it-IT"/>
        </w:rPr>
        <w:t xml:space="preserve">; </w:t>
      </w:r>
      <w:hyperlink r:id="rId9" w:history="1">
        <w:r w:rsidR="00FA3F1A" w:rsidRPr="00ED7521">
          <w:rPr>
            <w:rStyle w:val="Hyperlink"/>
            <w:rFonts w:cs="Arial"/>
            <w:color w:val="auto"/>
            <w:sz w:val="20"/>
            <w:szCs w:val="20"/>
            <w:u w:val="none"/>
            <w:lang w:val="it-IT"/>
          </w:rPr>
          <w:t>sadamfajarshodiq@fai.umy.ac.id</w:t>
        </w:r>
      </w:hyperlink>
    </w:p>
    <w:p w14:paraId="2D7E4B65" w14:textId="77777777" w:rsidR="00784B9B" w:rsidRPr="00ED7521" w:rsidRDefault="00784B9B" w:rsidP="00BE398A">
      <w:pPr>
        <w:pStyle w:val="Alishlah16affiliation"/>
        <w:rPr>
          <w:color w:val="auto"/>
          <w:lang w:val="it-IT"/>
        </w:rPr>
      </w:pPr>
    </w:p>
    <w:tbl>
      <w:tblPr>
        <w:tblStyle w:val="TableGrid"/>
        <w:tblW w:w="8845" w:type="dxa"/>
        <w:jc w:val="center"/>
        <w:tblLook w:val="04A0" w:firstRow="1" w:lastRow="0" w:firstColumn="1" w:lastColumn="0" w:noHBand="0" w:noVBand="1"/>
      </w:tblPr>
      <w:tblGrid>
        <w:gridCol w:w="2787"/>
        <w:gridCol w:w="282"/>
        <w:gridCol w:w="5776"/>
      </w:tblGrid>
      <w:tr w:rsidR="0048254D" w:rsidRPr="00ED7521" w14:paraId="327E1F90" w14:textId="77777777" w:rsidTr="0048254D">
        <w:trPr>
          <w:jc w:val="center"/>
        </w:trPr>
        <w:tc>
          <w:tcPr>
            <w:tcW w:w="2787" w:type="dxa"/>
            <w:tcBorders>
              <w:top w:val="double" w:sz="4" w:space="0" w:color="auto"/>
              <w:left w:val="nil"/>
              <w:bottom w:val="single" w:sz="4" w:space="0" w:color="auto"/>
              <w:right w:val="nil"/>
            </w:tcBorders>
          </w:tcPr>
          <w:p w14:paraId="611F3383" w14:textId="77777777" w:rsidR="0048254D" w:rsidRPr="00ED7521" w:rsidRDefault="0048254D" w:rsidP="001C18FA">
            <w:pPr>
              <w:spacing w:before="120"/>
              <w:jc w:val="both"/>
              <w:rPr>
                <w:rFonts w:ascii="Palatino Linotype" w:hAnsi="Palatino Linotype"/>
                <w:b/>
              </w:rPr>
            </w:pPr>
            <w:r w:rsidRPr="00ED7521">
              <w:rPr>
                <w:rFonts w:ascii="Palatino Linotype" w:hAnsi="Palatino Linotype"/>
                <w:b/>
              </w:rPr>
              <w:t>ARTICLE INFO</w:t>
            </w:r>
          </w:p>
        </w:tc>
        <w:tc>
          <w:tcPr>
            <w:tcW w:w="282" w:type="dxa"/>
            <w:tcBorders>
              <w:top w:val="double" w:sz="4" w:space="0" w:color="auto"/>
              <w:left w:val="nil"/>
              <w:bottom w:val="nil"/>
              <w:right w:val="nil"/>
            </w:tcBorders>
          </w:tcPr>
          <w:p w14:paraId="05080FEB" w14:textId="77777777" w:rsidR="0048254D" w:rsidRPr="00ED7521"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157705B" w14:textId="77777777" w:rsidR="0048254D" w:rsidRPr="00ED7521" w:rsidRDefault="0048254D" w:rsidP="002663A1">
            <w:pPr>
              <w:spacing w:before="120"/>
              <w:ind w:left="81"/>
              <w:rPr>
                <w:rFonts w:ascii="Palatino Linotype" w:hAnsi="Palatino Linotype"/>
                <w:color w:val="000000"/>
                <w:sz w:val="24"/>
                <w:szCs w:val="24"/>
              </w:rPr>
            </w:pPr>
            <w:r w:rsidRPr="00ED7521">
              <w:rPr>
                <w:rFonts w:ascii="Palatino Linotype" w:hAnsi="Palatino Linotype"/>
                <w:b/>
                <w:bCs/>
                <w:iCs/>
                <w:color w:val="000000"/>
              </w:rPr>
              <w:t>ABSTRACT</w:t>
            </w:r>
          </w:p>
        </w:tc>
      </w:tr>
      <w:tr w:rsidR="0048254D" w:rsidRPr="00ED7521" w14:paraId="2179C0AD" w14:textId="77777777" w:rsidTr="0048254D">
        <w:trPr>
          <w:trHeight w:val="1268"/>
          <w:jc w:val="center"/>
        </w:trPr>
        <w:tc>
          <w:tcPr>
            <w:tcW w:w="2787" w:type="dxa"/>
            <w:tcBorders>
              <w:top w:val="single" w:sz="4" w:space="0" w:color="auto"/>
              <w:left w:val="nil"/>
              <w:bottom w:val="single" w:sz="4" w:space="0" w:color="auto"/>
              <w:right w:val="nil"/>
            </w:tcBorders>
          </w:tcPr>
          <w:p w14:paraId="2B8D9C40" w14:textId="77777777" w:rsidR="0048254D" w:rsidRPr="00ED7521" w:rsidRDefault="0048254D" w:rsidP="001C18FA">
            <w:pPr>
              <w:spacing w:before="120" w:after="120"/>
              <w:jc w:val="both"/>
              <w:rPr>
                <w:rFonts w:ascii="Palatino Linotype" w:hAnsi="Palatino Linotype"/>
                <w:b/>
                <w:i/>
                <w:sz w:val="18"/>
                <w:szCs w:val="18"/>
              </w:rPr>
            </w:pPr>
            <w:r w:rsidRPr="00ED7521">
              <w:rPr>
                <w:rFonts w:ascii="Palatino Linotype" w:hAnsi="Palatino Linotype"/>
                <w:b/>
                <w:i/>
                <w:sz w:val="18"/>
                <w:szCs w:val="18"/>
              </w:rPr>
              <w:t>Keywords:</w:t>
            </w:r>
          </w:p>
          <w:p w14:paraId="72AFFAEB" w14:textId="67E82175" w:rsidR="002B31FD" w:rsidRPr="00ED7521" w:rsidRDefault="00FA3F1A" w:rsidP="00290481">
            <w:pPr>
              <w:pStyle w:val="Alishlah18keywords"/>
            </w:pPr>
            <w:r w:rsidRPr="00ED7521">
              <w:t>School Environment</w:t>
            </w:r>
            <w:r w:rsidR="002B31FD" w:rsidRPr="00ED7521">
              <w:t xml:space="preserve">; </w:t>
            </w:r>
          </w:p>
          <w:p w14:paraId="643A07FF" w14:textId="3CB09EB8" w:rsidR="002B31FD" w:rsidRPr="00ED7521" w:rsidRDefault="00FA3F1A" w:rsidP="00290481">
            <w:pPr>
              <w:pStyle w:val="Alishlah18keywords"/>
            </w:pPr>
            <w:r w:rsidRPr="00ED7521">
              <w:t>Mental Health</w:t>
            </w:r>
            <w:r w:rsidR="002B31FD" w:rsidRPr="00ED7521">
              <w:t xml:space="preserve">; </w:t>
            </w:r>
          </w:p>
          <w:p w14:paraId="2151C0F1" w14:textId="0E2DC159" w:rsidR="002B31FD" w:rsidRPr="00ED7521" w:rsidRDefault="00FA3F1A" w:rsidP="00290481">
            <w:pPr>
              <w:pStyle w:val="Alishlah18keywords"/>
            </w:pPr>
            <w:r w:rsidRPr="00ED7521">
              <w:rPr>
                <w:i/>
                <w:iCs/>
              </w:rPr>
              <w:t>Post-Traumatic Growth</w:t>
            </w:r>
            <w:r w:rsidR="00ED7521">
              <w:t>;</w:t>
            </w:r>
          </w:p>
          <w:p w14:paraId="5863A854" w14:textId="77777777" w:rsidR="002B31FD" w:rsidRPr="00ED7521" w:rsidRDefault="002B31FD" w:rsidP="00290481">
            <w:pPr>
              <w:pStyle w:val="Alishlah18keywords"/>
            </w:pPr>
          </w:p>
          <w:p w14:paraId="023D8300" w14:textId="77777777" w:rsidR="0048254D" w:rsidRPr="00ED7521" w:rsidRDefault="002B31FD" w:rsidP="00290481">
            <w:pPr>
              <w:pStyle w:val="Alishlah18keywords"/>
            </w:pPr>
            <w:r w:rsidRPr="00ED7521">
              <w:t>(List three to five pertinent keywords specific to the article; yet reasonably common within the subject discipline; use lower case except for names)</w:t>
            </w:r>
            <w:r w:rsidR="00290481" w:rsidRPr="00ED7521">
              <w:t>.</w:t>
            </w:r>
          </w:p>
          <w:p w14:paraId="0CD73A5F" w14:textId="77777777" w:rsidR="0048254D" w:rsidRPr="00ED7521"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37E6F7CD" w14:textId="77777777" w:rsidR="0048254D" w:rsidRPr="00ED7521"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2BD412A" w14:textId="65D22301" w:rsidR="0048254D" w:rsidRPr="00ED7521" w:rsidRDefault="00FA3F1A" w:rsidP="00E45249">
            <w:pPr>
              <w:pStyle w:val="Alishlah17abstract"/>
              <w:rPr>
                <w:b/>
                <w:bCs/>
              </w:rPr>
            </w:pPr>
            <w:r w:rsidRPr="00ED7521">
              <w:t xml:space="preserve">This study was conducted to determine how the school environment affects students' mental health and </w:t>
            </w:r>
            <w:r w:rsidRPr="00ED7521">
              <w:rPr>
                <w:i/>
                <w:iCs/>
              </w:rPr>
              <w:t>post-traumatic growth</w:t>
            </w:r>
            <w:r w:rsidRPr="00ED7521">
              <w:t>. The study employed descriptive quantitative methodology, using a sample of 210 eleventh and twelfth grade students at MA Taruna Al-Qur’an. Data were collected using a questionnaire specifically created with a Likert scale and designed using sample random sampling to assess students' impressions of the school environment and their mental well-being. This study found a positive relationship between mental health and post-traumatic growth, suggesting that the school environment plays an important role in reducing the impact of trauma and promoting good psychological development for students. The results of this study can serve as a reference for schools in prioritizing the establishment of a nurturing and supportive school atmosphere for each student.</w:t>
            </w:r>
          </w:p>
        </w:tc>
      </w:tr>
      <w:tr w:rsidR="0048254D" w:rsidRPr="00ED7521" w14:paraId="2728FAEB"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6E16D36" w14:textId="77777777" w:rsidR="0048254D" w:rsidRPr="00ED7521" w:rsidRDefault="0048254D" w:rsidP="001C18FA">
            <w:pPr>
              <w:spacing w:before="120" w:after="120"/>
              <w:jc w:val="both"/>
              <w:rPr>
                <w:rFonts w:ascii="Palatino Linotype" w:hAnsi="Palatino Linotype"/>
                <w:b/>
                <w:i/>
                <w:sz w:val="18"/>
                <w:szCs w:val="18"/>
              </w:rPr>
            </w:pPr>
            <w:r w:rsidRPr="00ED7521">
              <w:rPr>
                <w:rFonts w:ascii="Palatino Linotype" w:hAnsi="Palatino Linotype"/>
                <w:b/>
                <w:i/>
                <w:sz w:val="18"/>
                <w:szCs w:val="18"/>
              </w:rPr>
              <w:t>Article history:</w:t>
            </w:r>
          </w:p>
          <w:p w14:paraId="1B83D819" w14:textId="63DD6D84" w:rsidR="0048254D" w:rsidRPr="00ED7521" w:rsidRDefault="0048254D" w:rsidP="004A39B9">
            <w:pPr>
              <w:pStyle w:val="Alishlah14history"/>
              <w:rPr>
                <w:lang w:val="en-AU"/>
              </w:rPr>
            </w:pPr>
          </w:p>
        </w:tc>
        <w:tc>
          <w:tcPr>
            <w:tcW w:w="282" w:type="dxa"/>
            <w:vMerge/>
            <w:tcBorders>
              <w:top w:val="nil"/>
              <w:left w:val="nil"/>
              <w:bottom w:val="nil"/>
              <w:right w:val="nil"/>
            </w:tcBorders>
          </w:tcPr>
          <w:p w14:paraId="2C060AEE" w14:textId="77777777" w:rsidR="0048254D" w:rsidRPr="00ED7521"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EDE09C0" w14:textId="77777777" w:rsidR="0048254D" w:rsidRPr="00ED7521" w:rsidRDefault="0048254D" w:rsidP="001C18FA">
            <w:pPr>
              <w:spacing w:before="120"/>
              <w:jc w:val="both"/>
              <w:rPr>
                <w:rFonts w:ascii="Palatino Linotype" w:hAnsi="Palatino Linotype"/>
                <w:iCs/>
                <w:color w:val="000000"/>
                <w:sz w:val="18"/>
                <w:szCs w:val="18"/>
              </w:rPr>
            </w:pPr>
          </w:p>
        </w:tc>
      </w:tr>
      <w:tr w:rsidR="0048254D" w:rsidRPr="00ED7521" w14:paraId="2963324A" w14:textId="77777777" w:rsidTr="0048254D">
        <w:trPr>
          <w:trHeight w:val="70"/>
          <w:jc w:val="center"/>
        </w:trPr>
        <w:tc>
          <w:tcPr>
            <w:tcW w:w="2787" w:type="dxa"/>
            <w:vMerge/>
            <w:tcBorders>
              <w:top w:val="single" w:sz="4" w:space="0" w:color="auto"/>
              <w:left w:val="nil"/>
              <w:bottom w:val="single" w:sz="4" w:space="0" w:color="auto"/>
              <w:right w:val="nil"/>
            </w:tcBorders>
          </w:tcPr>
          <w:p w14:paraId="6A2EE010" w14:textId="77777777" w:rsidR="0048254D" w:rsidRPr="00ED7521"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2356A5B9" w14:textId="77777777" w:rsidR="0048254D" w:rsidRPr="00ED7521"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4E2070DD" w14:textId="77777777" w:rsidR="0048254D" w:rsidRPr="00ED7521" w:rsidRDefault="0048254D" w:rsidP="001C18FA">
            <w:pPr>
              <w:spacing w:before="120" w:after="120"/>
              <w:jc w:val="right"/>
              <w:rPr>
                <w:rFonts w:ascii="Palatino Linotype" w:hAnsi="Palatino Linotype"/>
                <w:i/>
                <w:iCs/>
                <w:color w:val="000000"/>
                <w:sz w:val="18"/>
                <w:szCs w:val="18"/>
              </w:rPr>
            </w:pPr>
            <w:r w:rsidRPr="00ED7521">
              <w:rPr>
                <w:rFonts w:ascii="Palatino Linotype" w:hAnsi="Palatino Linotype"/>
                <w:i/>
                <w:iCs/>
                <w:color w:val="000000"/>
                <w:sz w:val="18"/>
                <w:szCs w:val="18"/>
              </w:rPr>
              <w:t xml:space="preserve">This is an open access article under the </w:t>
            </w:r>
            <w:hyperlink r:id="rId10" w:history="1">
              <w:r w:rsidRPr="00ED7521">
                <w:rPr>
                  <w:rStyle w:val="Hyperlink"/>
                  <w:rFonts w:ascii="Palatino Linotype" w:hAnsi="Palatino Linotype"/>
                  <w:i/>
                  <w:iCs/>
                  <w:sz w:val="18"/>
                  <w:szCs w:val="18"/>
                </w:rPr>
                <w:t>CC BY-NC-SA</w:t>
              </w:r>
            </w:hyperlink>
            <w:r w:rsidRPr="00ED7521">
              <w:rPr>
                <w:rFonts w:ascii="Palatino Linotype" w:hAnsi="Palatino Linotype"/>
                <w:i/>
                <w:iCs/>
                <w:color w:val="000000"/>
                <w:sz w:val="18"/>
                <w:szCs w:val="18"/>
              </w:rPr>
              <w:t xml:space="preserve"> license.</w:t>
            </w:r>
          </w:p>
          <w:p w14:paraId="4D96B323" w14:textId="77777777" w:rsidR="0048254D" w:rsidRPr="00ED7521" w:rsidRDefault="0048254D" w:rsidP="001C18FA">
            <w:pPr>
              <w:spacing w:before="120" w:after="120"/>
              <w:jc w:val="right"/>
              <w:rPr>
                <w:rFonts w:ascii="Palatino Linotype" w:hAnsi="Palatino Linotype"/>
                <w:i/>
                <w:iCs/>
                <w:color w:val="000000"/>
                <w:sz w:val="18"/>
                <w:szCs w:val="18"/>
              </w:rPr>
            </w:pPr>
            <w:r w:rsidRPr="00ED7521">
              <w:rPr>
                <w:rFonts w:ascii="Palatino Linotype" w:hAnsi="Palatino Linotype"/>
                <w:noProof/>
              </w:rPr>
              <w:drawing>
                <wp:inline distT="0" distB="0" distL="0" distR="0" wp14:anchorId="2E6063F1" wp14:editId="42E6DD75">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ED7521" w14:paraId="4DC585E0" w14:textId="77777777" w:rsidTr="0048254D">
        <w:trPr>
          <w:jc w:val="center"/>
        </w:trPr>
        <w:tc>
          <w:tcPr>
            <w:tcW w:w="8845" w:type="dxa"/>
            <w:gridSpan w:val="3"/>
            <w:tcBorders>
              <w:top w:val="nil"/>
              <w:left w:val="nil"/>
              <w:bottom w:val="double" w:sz="4" w:space="0" w:color="auto"/>
              <w:right w:val="nil"/>
            </w:tcBorders>
          </w:tcPr>
          <w:p w14:paraId="5D8CFBED" w14:textId="77777777" w:rsidR="0048254D" w:rsidRPr="00ED7521" w:rsidRDefault="0048254D" w:rsidP="00E45249">
            <w:pPr>
              <w:pStyle w:val="Alishlah16affiliation"/>
              <w:ind w:left="0" w:firstLine="10"/>
              <w:rPr>
                <w:b/>
                <w:bCs/>
              </w:rPr>
            </w:pPr>
            <w:bookmarkStart w:id="0" w:name="_Hlk97159440"/>
            <w:r w:rsidRPr="00ED7521">
              <w:rPr>
                <w:b/>
                <w:bCs/>
              </w:rPr>
              <w:t>Corresponding Author</w:t>
            </w:r>
            <w:bookmarkEnd w:id="0"/>
            <w:r w:rsidRPr="00ED7521">
              <w:rPr>
                <w:b/>
                <w:bCs/>
              </w:rPr>
              <w:t>:</w:t>
            </w:r>
          </w:p>
          <w:p w14:paraId="7795C752" w14:textId="77777777" w:rsidR="00C46026" w:rsidRPr="00ED7521" w:rsidRDefault="00C46026" w:rsidP="00E45249">
            <w:pPr>
              <w:pStyle w:val="Alishlah2authorcorrespondence"/>
              <w:rPr>
                <w:b/>
                <w:bCs/>
                <w:szCs w:val="18"/>
              </w:rPr>
            </w:pPr>
            <w:r w:rsidRPr="00ED7521">
              <w:rPr>
                <w:bCs/>
                <w:szCs w:val="18"/>
              </w:rPr>
              <w:t>Marzhuhriya Khoirunnisa</w:t>
            </w:r>
            <w:r w:rsidRPr="00ED7521">
              <w:rPr>
                <w:b/>
                <w:bCs/>
                <w:szCs w:val="18"/>
              </w:rPr>
              <w:t xml:space="preserve"> </w:t>
            </w:r>
          </w:p>
          <w:p w14:paraId="47A4CBEF" w14:textId="1757ADA5" w:rsidR="00C46026" w:rsidRPr="00ED7521" w:rsidRDefault="00C46026" w:rsidP="00C46026">
            <w:pPr>
              <w:pStyle w:val="Alishlah16affiliation"/>
              <w:rPr>
                <w:color w:val="auto"/>
              </w:rPr>
            </w:pPr>
            <w:r w:rsidRPr="00ED7521">
              <w:t xml:space="preserve">Universitas Muhammadiyah Yogyakarta, Indonesia </w:t>
            </w:r>
            <w:r w:rsidR="002B31FD" w:rsidRPr="00ED7521">
              <w:rPr>
                <w:color w:val="auto"/>
              </w:rPr>
              <w:t xml:space="preserve">1; </w:t>
            </w:r>
            <w:hyperlink r:id="rId12" w:history="1">
              <w:r w:rsidRPr="00ED7521">
                <w:rPr>
                  <w:rStyle w:val="Hyperlink"/>
                  <w:rFonts w:cs="Arial"/>
                  <w:color w:val="auto"/>
                  <w:u w:val="none"/>
                </w:rPr>
                <w:t>m.khoirunnisa.fai22@mail.umy.ac.id</w:t>
              </w:r>
            </w:hyperlink>
          </w:p>
          <w:p w14:paraId="78541C10" w14:textId="18307DD2" w:rsidR="0048254D" w:rsidRPr="00ED7521" w:rsidRDefault="0048254D" w:rsidP="00E45249">
            <w:pPr>
              <w:pStyle w:val="Alishlah2authorcorrespondence"/>
            </w:pPr>
          </w:p>
        </w:tc>
      </w:tr>
    </w:tbl>
    <w:p w14:paraId="1E52CAE2" w14:textId="77777777" w:rsidR="00C46026" w:rsidRPr="00ED7521" w:rsidRDefault="0048254D" w:rsidP="00B127E9">
      <w:pPr>
        <w:pStyle w:val="Alishlah21heading1"/>
        <w:spacing w:after="0"/>
        <w:rPr>
          <w:lang w:val="en-GB"/>
        </w:rPr>
      </w:pPr>
      <w:r w:rsidRPr="00ED7521">
        <w:rPr>
          <w:lang w:val="en-GB"/>
        </w:rPr>
        <w:t>INTRODUCTION</w:t>
      </w:r>
    </w:p>
    <w:p w14:paraId="6D2B7173" w14:textId="5E04F8C3" w:rsidR="00C46026" w:rsidRPr="00ED7521" w:rsidRDefault="00C46026" w:rsidP="00B127E9">
      <w:pPr>
        <w:pStyle w:val="Alishlah21heading1"/>
        <w:numPr>
          <w:ilvl w:val="0"/>
          <w:numId w:val="0"/>
        </w:numPr>
        <w:spacing w:after="0" w:line="276" w:lineRule="auto"/>
        <w:ind w:firstLine="425"/>
        <w:jc w:val="both"/>
        <w:rPr>
          <w:b w:val="0"/>
          <w:bCs/>
        </w:rPr>
      </w:pPr>
      <w:r w:rsidRPr="00ED7521">
        <w:rPr>
          <w:b w:val="0"/>
          <w:bCs/>
        </w:rPr>
        <w:t xml:space="preserve">Mental health issues affect individuals of all ages, posing significant challenges for families, communities, and healthcare systems </w:t>
      </w:r>
      <w:r w:rsidRPr="00ED7521">
        <w:rPr>
          <w:b w:val="0"/>
          <w:bCs/>
        </w:rPr>
        <w:fldChar w:fldCharType="begin" w:fldLock="1"/>
      </w:r>
      <w:r w:rsidRPr="00ED7521">
        <w:rPr>
          <w:b w:val="0"/>
          <w:bCs/>
        </w:rPr>
        <w:instrText>ADDIN CSL_CITATION {"citationItems":[{"id":"ITEM-1","itemData":{"DOI":"10.1016/j.puhe.2021.07.021","ISSN":"14765616","PMID":"34481274","abstract":"Objectives: Arts on Prescription (AoP) programmes were among the first forms of social prescribing in the UK. Most of the studies of AoP programmes focus on adults and currently there is no published research on the impact of AoP on children and young people. This study investigates the impact of 10 weekly AoP workshops delivered in a school setting on the mental well-being and resilience of adolescents aged 13–16 years at risk of emotional or behavioural problems. Study design: The study design used is a longitudinal cohort study of an AoP programme implemented in 10 schools in the East of England. Methods: Changes in mental well-being and resilience of school children were assessed using the Warwick-Edinburgh Mental Well-being Scale (WEMWBS), and the True Resilience Scale applied pre- and post-intervention, with follow-up at 3 months. In total, 91 young people participated in the programme and 65 completed pre- and post-intervention measures. Results: Data from the WEMWBS and True Resilience Scale indicated that the AoP Programme had a positive impact on both well-being and resilience of participants with a statistically significant increase recorded immediately post-intervention. However, these improvements were not sustained upon observation at 3-month follow-up. Conclusion: This article presents the first indication of the effectiveness of a programme of AoP workshops on the mental well-being and resilience of children and young people. It suggests the potential of AoP as a means of support the mental health and well-being of secondary school aged children.","author":[{"dropping-particle":"","family":"Efstathopoulou","given":"L.","non-dropping-particle":"","parse-names":false,"suffix":""},{"dropping-particle":"","family":"Bungay","given":"H.","non-dropping-particle":"","parse-names":false,"suffix":""}],"container-title":"Public Health","id":"ITEM-1","issued":{"date-parts":[["2021"]]},"page":"196-199","publisher":"Elsevier Ltd","title":"Mental health and resilience: Arts on Prescription for children and young people in a school setting","type":"article-journal","volume":"198"},"uris":["http://www.mendeley.com/documents/?uuid=f4bc0ea4-1653-4364-8c67-b0b0a0e9ccfc"]}],"mendeley":{"formattedCitation":"(Efstathopoulou &amp; Bungay, 2021)","plainTextFormattedCitation":"(Efstathopoulou &amp; Bungay, 2021)","previouslyFormattedCitation":"(Efstathopoulou &amp; Bungay, 2021)"},"properties":{"noteIndex":0},"schema":"https://github.com/citation-style-language/schema/raw/master/csl-citation.json"}</w:instrText>
      </w:r>
      <w:r w:rsidRPr="00ED7521">
        <w:rPr>
          <w:b w:val="0"/>
          <w:bCs/>
        </w:rPr>
        <w:fldChar w:fldCharType="separate"/>
      </w:r>
      <w:r w:rsidRPr="00ED7521">
        <w:rPr>
          <w:b w:val="0"/>
          <w:bCs/>
          <w:noProof/>
        </w:rPr>
        <w:t>(Efstathopoulou &amp; Bungay, 2021)</w:t>
      </w:r>
      <w:r w:rsidRPr="00ED7521">
        <w:rPr>
          <w:b w:val="0"/>
          <w:bCs/>
        </w:rPr>
        <w:fldChar w:fldCharType="end"/>
      </w:r>
      <w:r w:rsidRPr="00ED7521">
        <w:rPr>
          <w:b w:val="0"/>
          <w:bCs/>
        </w:rPr>
        <w:t xml:space="preserve">. It is a state of well-being that involves the ability to cope with life’s recurring challenges and find inner peace </w:t>
      </w:r>
      <w:r w:rsidRPr="00ED7521">
        <w:rPr>
          <w:b w:val="0"/>
          <w:bCs/>
        </w:rPr>
        <w:fldChar w:fldCharType="begin" w:fldLock="1"/>
      </w:r>
      <w:r w:rsidRPr="00ED7521">
        <w:rPr>
          <w:b w:val="0"/>
          <w:bCs/>
        </w:rPr>
        <w:instrText>ADDIN CSL_CITATION {"citationItems":[{"id":"ITEM-1","itemData":{"DOI":"10.1016/j.childyouth.2020.105515","ISSN":"01907409","abstract":"According to the World Health Organization, more than 10% of adolescents and children are affected by mental health problems worldwide. Despite this statistic, the public is often ignorant of the various environmental factors in everyday lives, adversely affecting children's and adolescents’ mental health. The current systematic review aims to identify these environmental factors to ensure minimal exposure to sustain healthy mental states. Thematic analysis of relevant literature categorizes these environmental factors into various themes, like Physical, Home, Social, Socioeconomic, and Digital Environments. These themes have adverse effects, like externalizing symptoms, higher anxiety, and depressive episodes, on the mental health states. Abuse came out as a significant sub-theme affecting children's and adolescent's mental health throughout the twenty-years literature, either in the form of sexual harassment, physical aggression, or cyberbullying. This study's findings have important implications in devising focused interventions and formulating policies regarding mental health, especially for children and adolescents.","author":[{"dropping-particle":"","family":"Basu","given":"Sandhya","non-dropping-particle":"","parse-names":false,"suffix":""},{"dropping-particle":"","family":"Banerjee","given":"Bidisha","non-dropping-particle":"","parse-names":false,"suffix":""}],"container-title":"Children and Youth Services Review","id":"ITEM-1","issue":"June","issued":{"date-parts":[["2020"]]},"title":"Impact of environmental factors on mental health of children and adolescents: A systematic review","type":"article-journal","volume":"119"},"uris":["http://www.mendeley.com/documents/?uuid=7b42bf13-8ce0-4326-9cc8-4f7defa5a479"]}],"mendeley":{"formattedCitation":"(Basu &amp; Banerjee, 2020)","plainTextFormattedCitation":"(Basu &amp; Banerjee, 2020)","previouslyFormattedCitation":"(Basu &amp; Banerjee, 2020)"},"properties":{"noteIndex":0},"schema":"https://github.com/citation-style-language/schema/raw/master/csl-citation.json"}</w:instrText>
      </w:r>
      <w:r w:rsidRPr="00ED7521">
        <w:rPr>
          <w:b w:val="0"/>
          <w:bCs/>
        </w:rPr>
        <w:fldChar w:fldCharType="separate"/>
      </w:r>
      <w:r w:rsidRPr="00ED7521">
        <w:rPr>
          <w:b w:val="0"/>
          <w:bCs/>
          <w:noProof/>
        </w:rPr>
        <w:t>(Basu &amp; Banerjee, 2020)</w:t>
      </w:r>
      <w:r w:rsidRPr="00ED7521">
        <w:rPr>
          <w:b w:val="0"/>
          <w:bCs/>
        </w:rPr>
        <w:fldChar w:fldCharType="end"/>
      </w:r>
      <w:r w:rsidRPr="00ED7521">
        <w:rPr>
          <w:b w:val="0"/>
          <w:bCs/>
        </w:rPr>
        <w:t xml:space="preserve">. This issue is now being discussed globally. In Indonesia, a 2022 Unicef survey revealed that 20% of adolescents face mental health issues, particularly anxiety, with approximately 4.4% attempting self-harm and 1.2% trying to take their own live </w:t>
      </w:r>
      <w:r w:rsidRPr="00ED7521">
        <w:rPr>
          <w:b w:val="0"/>
          <w:bCs/>
        </w:rPr>
        <w:fldChar w:fldCharType="begin" w:fldLock="1"/>
      </w:r>
      <w:r w:rsidR="00ED7521">
        <w:rPr>
          <w:b w:val="0"/>
          <w:bCs/>
        </w:rPr>
        <w:instrText>ADDIN CSL_CITATION {"citationItems":[{"id":"ITEM-1","itemData":{"URL":"https://www.unicef.org/indonesia/stories/resilience-blooms-central-javas-adolescents-path-mental-health#:~:text=The 2022 National Adolescent Mental,thought about ending their lives.","accessed":{"date-parts":[["2024","1","16"]]},"author":[{"dropping-particle":"","family":"Unicef Indonesia","given":"","non-dropping-particle":"","parse-names":false,"suffix":""}],"container-title":"Unicef for every child","id":"ITEM-1","issued":{"date-parts":[["2024"]]},"title":"Central Java's Adolescents on the Path to Mental Health","type":"webpage"},"uris":["http://www.mendeley.com/documents/?uuid=4a01c2ad-5baa-49fb-8f71-38e09bc2c01c"]}],"mendeley":{"formattedCitation":"(Unicef Indonesia, 2024)","plainTextFormattedCitation":"(Unicef Indonesia, 2024)","previouslyFormattedCitation":"(Unicef Indonesia, 2024)"},"properties":{"noteIndex":0},"schema":"https://github.com/citation-style-language/schema/raw/master/csl-citation.json"}</w:instrText>
      </w:r>
      <w:r w:rsidRPr="00ED7521">
        <w:rPr>
          <w:b w:val="0"/>
          <w:bCs/>
        </w:rPr>
        <w:fldChar w:fldCharType="separate"/>
      </w:r>
      <w:r w:rsidRPr="00ED7521">
        <w:rPr>
          <w:b w:val="0"/>
          <w:bCs/>
          <w:noProof/>
        </w:rPr>
        <w:t>(Unicef Indonesia, 2024)</w:t>
      </w:r>
      <w:r w:rsidRPr="00ED7521">
        <w:rPr>
          <w:b w:val="0"/>
          <w:bCs/>
        </w:rPr>
        <w:fldChar w:fldCharType="end"/>
      </w:r>
      <w:r w:rsidRPr="00ED7521">
        <w:rPr>
          <w:b w:val="0"/>
          <w:bCs/>
        </w:rPr>
        <w:t xml:space="preserve">. About 17.9 million Indonesian adolescents, aged 10 to 17, are currently facing these challenges. This issue is also prevalent in Australia, where a significant proportion of children aged 4 to 17 encounter mental health challenges </w:t>
      </w:r>
      <w:r w:rsidRPr="00ED7521">
        <w:rPr>
          <w:b w:val="0"/>
          <w:bCs/>
        </w:rPr>
        <w:fldChar w:fldCharType="begin" w:fldLock="1"/>
      </w:r>
      <w:r w:rsidRPr="00ED7521">
        <w:rPr>
          <w:b w:val="0"/>
          <w:bCs/>
        </w:rPr>
        <w:instrText>ADDIN CSL_CITATION {"citationItems":[{"id":"ITEM-1","itemData":{"DOI":"10.1038/s41380-021-01161-7","ISSN":"14765578","PMID":"34079068","abstract":"Promotion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author":[{"dropping-particle":"","family":"Solmi","given":"Marco","non-dropping-particle":"","parse-names":false,"suffix":""},{"dropping-particle":"","family":"Radua","given":"Joaquim","non-dropping-particle":"","parse-names":false,"suffix":""},{"dropping-particle":"","family":"Olivola","given":"Miriam","non-dropping-particle":"","parse-names":false,"suffix":""},{"dropping-particle":"","family":"Croce","given":"Enrico","non-dropping-particle":"","parse-names":false,"suffix":""},{"dropping-particle":"","family":"Soardo","given":"Livia","non-dropping-particle":"","parse-names":false,"suffix":""},{"dropping-particle":"","family":"Salazar de Pablo","given":"Gonzalo","non-dropping-particle":"","parse-names":false,"suffix":""},{"dropping-particle":"","family":"Shin","given":"Jae","non-dropping-particle":"Il","parse-names":false,"suffix":""},{"dropping-particle":"","family":"Kirkbride","given":"James B.","non-dropping-particle":"","parse-names":false,"suffix":""},{"dropping-particle":"","family":"Jones","given":"Peter","non-dropping-particle":"","parse-names":false,"suffix":""},{"dropping-particle":"","family":"Kim","given":"Jae Han","non-dropping-particle":"","parse-names":false,"suffix":""},{"dropping-particle":"","family":"Kim","given":"Jong Yeob","non-dropping-particle":"","parse-names":false,"suffix":""},{"dropping-particle":"","family":"Carvalho","given":"Andrè F.","non-dropping-particle":"","parse-names":false,"suffix":""},{"dropping-particle":"V.","family":"Seeman","given":"Mary","non-dropping-particle":"","parse-names":false,"suffix":""},{"dropping-particle":"","family":"Correll","given":"Christoph U.","non-dropping-particle":"","parse-names":false,"suffix":""},{"dropping-particle":"","family":"Fusar-Poli","given":"Paolo","non-dropping-particle":"","parse-names":false,"suffix":""}],"container-title":"Molecular Psychiatry","id":"ITEM-1","issue":"1","issued":{"date-parts":[["2022"]]},"page":"281-295","publisher":"Springer US","title":"Age at onset of mental disorders worldwide: large-scale meta-analysis of 192 epidemiological studies","type":"article-journal","volume":"27"},"uris":["http://www.mendeley.com/documents/?uuid=71ab8538-a250-4dd8-987a-b7748bd26cf7"]}],"mendeley":{"formattedCitation":"(Solmi et al., 2022)","plainTextFormattedCitation":"(Solmi et al., 2022)","previouslyFormattedCitation":"(Solmi et al., 2022)"},"properties":{"noteIndex":0},"schema":"https://github.com/citation-style-language/schema/raw/master/csl-citation.json"}</w:instrText>
      </w:r>
      <w:r w:rsidRPr="00ED7521">
        <w:rPr>
          <w:b w:val="0"/>
          <w:bCs/>
        </w:rPr>
        <w:fldChar w:fldCharType="separate"/>
      </w:r>
      <w:r w:rsidRPr="00ED7521">
        <w:rPr>
          <w:b w:val="0"/>
          <w:bCs/>
          <w:noProof/>
        </w:rPr>
        <w:t xml:space="preserve">(Solmi et al., </w:t>
      </w:r>
      <w:r w:rsidRPr="00ED7521">
        <w:rPr>
          <w:b w:val="0"/>
          <w:bCs/>
          <w:noProof/>
        </w:rPr>
        <w:lastRenderedPageBreak/>
        <w:t>2022)</w:t>
      </w:r>
      <w:r w:rsidRPr="00ED7521">
        <w:rPr>
          <w:b w:val="0"/>
          <w:bCs/>
        </w:rPr>
        <w:fldChar w:fldCharType="end"/>
      </w:r>
      <w:r w:rsidRPr="00ED7521">
        <w:rPr>
          <w:b w:val="0"/>
          <w:bCs/>
        </w:rPr>
        <w:t xml:space="preserve">. In China, 42.5% of pupils face similar issue </w:t>
      </w:r>
      <w:r w:rsidRPr="00ED7521">
        <w:rPr>
          <w:b w:val="0"/>
          <w:bCs/>
        </w:rPr>
        <w:fldChar w:fldCharType="begin" w:fldLock="1"/>
      </w:r>
      <w:r w:rsidR="00ED7521">
        <w:rPr>
          <w:b w:val="0"/>
          <w:bCs/>
        </w:rPr>
        <w:instrText>ADDIN CSL_CITATION {"citationItems":[{"id":"ITEM-1","itemData":{"DOI":"10.1016/j.heliyon.2024.e26699","ISSN":"24058440","abstract":"Depending on its duration, stress can be divided into chronic and acute stress, both of which can be detrimental to an individual's mental health. Psychological suzhi may act as a protective factor that buffers the adverse effects of stress. This study aimed to explore the moderating role of psychological suzhi in the relationship between these two types of stress and mental health based on a dual-factor model of mental health. Study 1 explored the moderating role of psychological suzhi on the relationship between chronic stress and mental health using the Adolescent Self-Rating Life Events Check List, College Student Psychological Suzhi Scale Brief Mental Health Version, Satisfaction With Life Scale, and 12-item General Health Questionnaire to investigate 919 Chinese college students. A hierarchical regression model was used to examine the moderating effects. Study 2 examined the moderating role of psychological suzhi on the relationship between acute stress and mental health. Participants (N = 56) were classified into high (N = 30) and low (N = 26) psychological suzhi groups based on the Psychological Suzhi Scale. They completed the Trier Social Stress Test for Groups and a specific control condition, and their state anxiety and happiness levels were assessed. Data were analyzed using a mixed-design repeated-measures ANOVA. The results of Study 1 revealed that psychological suzhi moderated the influence of chronic stress on the negative indicator of mental health (psychological symptoms) (β = −0.18, t = −6.90, p &lt; 0.001). The results of Study 2 showed that psychological suzhi moderated the effect of acute stress on the negative indicator of mental health (state anxiety) [F (1, 54) = 4.79, p &lt; 0.05, η2 = 0.08]. Psychological suzhi can moderate the influence of both chronic and acute stress on the negative indicators of college students' mental health but cannot moderate the influence on the positive indicators of mental health.","author":[{"dropping-particle":"","family":"Wang","given":"Huixin","non-dropping-particle":"","parse-names":false,"suffix":""},{"dropping-particle":"","family":"Jia","given":"Ruxue","non-dropping-particle":"","parse-names":false,"suffix":""},{"dropping-particle":"","family":"Zhang","given":"Min","non-dropping-particle":"","parse-names":false,"suffix":""},{"dropping-particle":"","family":"Fan","given":"Wenyi","non-dropping-particle":"","parse-names":false,"suffix":""}],"container-title":"Heliyon","id":"ITEM-1","issue":"5","issued":{"date-parts":[["2024"]]},"page":"e26699","publisher":"Elsevier Ltd","title":"The influence of stress on mental health among Chinese college students: The moderating role of psychological suzhi","type":"article-journal","volume":"10"},"uris":["http://www.mendeley.com/documents/?uuid=1b1e7ec6-f70e-4203-81da-3f994efdca2e"]}],"mendeley":{"formattedCitation":"(H. Wang, Jia, Zhang, &amp; Fan, 2024)","plainTextFormattedCitation":"(H. Wang, Jia, Zhang, &amp; Fan, 2024)","previouslyFormattedCitation":"(H. Wang, Jia, Zhang, &amp; Fan, 2024)"},"properties":{"noteIndex":0},"schema":"https://github.com/citation-style-language/schema/raw/master/csl-citation.json"}</w:instrText>
      </w:r>
      <w:r w:rsidRPr="00ED7521">
        <w:rPr>
          <w:b w:val="0"/>
          <w:bCs/>
        </w:rPr>
        <w:fldChar w:fldCharType="separate"/>
      </w:r>
      <w:r w:rsidR="00ED7521" w:rsidRPr="00ED7521">
        <w:rPr>
          <w:b w:val="0"/>
          <w:bCs/>
          <w:noProof/>
        </w:rPr>
        <w:t>(H. Wang, Jia, Zhang, &amp; Fan, 2024)</w:t>
      </w:r>
      <w:r w:rsidRPr="00ED7521">
        <w:rPr>
          <w:b w:val="0"/>
          <w:bCs/>
        </w:rPr>
        <w:fldChar w:fldCharType="end"/>
      </w:r>
      <w:r w:rsidRPr="00ED7521">
        <w:rPr>
          <w:b w:val="0"/>
          <w:bCs/>
        </w:rPr>
        <w:t xml:space="preserve">. </w:t>
      </w:r>
      <w:r w:rsidRPr="00ED7521">
        <w:rPr>
          <w:b w:val="0"/>
          <w:bCs/>
        </w:rPr>
        <w:fldChar w:fldCharType="begin" w:fldLock="1"/>
      </w:r>
      <w:r w:rsidRPr="00ED7521">
        <w:rPr>
          <w:b w:val="0"/>
          <w:bCs/>
        </w:rPr>
        <w:instrText>ADDIN CSL_CITATION {"citationItems":[{"id":"ITEM-1","itemData":{"DOI":"10.1016/j.ijdrr.2020.101918","ISSN":"22124209","abstract":"The paper probes how Mental Health and Psychosocial Support for emergencies (MHPSS) has been institutionalized in a disaster-prone country. Using Indonesia as a case study, the article lays down the various MHPSS-related institutions and systems (legal frameworks, policies, processes, and programs) that were constituted at different levels of governance in Indonesia as part of its disaster management structures. It examines how these institutions and systems were made to operate in the Central Sulawesi and Nusa Tenggara Barat (NTB) disasters of 2018. Furthermore, factors that facilitated or hindered the effective functioning of the MHPSS system are discussed. The findings of this research are based on secondary data and primary data collected through interviews and focus group discussions with various national and local government and non-government stakeholders involved in disaster response, including field visits in the two provinces. The paper contends that the Indonesian Government has established necessary national disaster management institutions and structures with local counterparts, where MHPSS structures have been integrated. It also discusses crucial intervention programs delivered to survivors of the two provincial disasters, which the paper asserts conform to the integrated support systems prescribed by the IASC that include basic services and security, community and family support (family reunification, psychosocial support, and community rituals) focused non-specialized services (PFA, psychological intervention, and basic mental health care), and specialized services (referral services to clinical and non-clinical service providers). Lastly, the paper argues that a confluence of administrative, logistical, organizational, resource, supply, human resource, and contextual factors have either hindered or facilitated the functionality of the MHPSS systems in place, which explains the varying levels of efficiency of the MHPSS responses in the two provinces.","author":[{"dropping-particle":"","family":"Trinidad","given":"Arnie Cordero","non-dropping-particle":"","parse-names":false,"suffix":""},{"dropping-particle":"","family":"Protacio-De Castro","given":"Elizabeth","non-dropping-particle":"","parse-names":false,"suffix":""}],"container-title":"International Journal of Disaster Risk Reduction","id":"ITEM-1","issue":"October","issued":{"date-parts":[["2020"]]},"page":"101918","publisher":"Elsevier Ltd","title":"The institutionalization of mental health and psychosocial support in emergencies in Indonesia","type":"article-journal","volume":"51"},"uris":["http://www.mendeley.com/documents/?uuid=f8e90293-7aea-4973-9635-cc3594a4ae03"]}],"mendeley":{"formattedCitation":"(Trinidad &amp; Protacio-De Castro, 2020)","manualFormatting":"Trinidad &amp; Protacio-De Castro (2020)","plainTextFormattedCitation":"(Trinidad &amp; Protacio-De Castro, 2020)","previouslyFormattedCitation":"(Trinidad &amp; Protacio-De Castro, 2020)"},"properties":{"noteIndex":0},"schema":"https://github.com/citation-style-language/schema/raw/master/csl-citation.json"}</w:instrText>
      </w:r>
      <w:r w:rsidRPr="00ED7521">
        <w:rPr>
          <w:b w:val="0"/>
          <w:bCs/>
        </w:rPr>
        <w:fldChar w:fldCharType="separate"/>
      </w:r>
      <w:r w:rsidRPr="00ED7521">
        <w:rPr>
          <w:b w:val="0"/>
          <w:bCs/>
          <w:noProof/>
        </w:rPr>
        <w:t>Trinidad &amp; Protacio-De Castro (2020)</w:t>
      </w:r>
      <w:r w:rsidRPr="00ED7521">
        <w:rPr>
          <w:b w:val="0"/>
          <w:bCs/>
        </w:rPr>
        <w:fldChar w:fldCharType="end"/>
      </w:r>
      <w:r w:rsidRPr="00ED7521">
        <w:rPr>
          <w:b w:val="0"/>
          <w:bCs/>
        </w:rPr>
        <w:t>, assert that mental health issues have detrimental effects on both the mind and psyche. Over time, these problems can lead to a range of diseases, including phsyical ailments and even death. Additionally, mental health problems can diminish feelings of tranquality, compassion, and social interaction while posing a threat to human rights.</w:t>
      </w:r>
    </w:p>
    <w:p w14:paraId="20DC71FB" w14:textId="51335E07" w:rsidR="00C46026" w:rsidRPr="00ED7521" w:rsidRDefault="00C46026" w:rsidP="00B127E9">
      <w:pPr>
        <w:pStyle w:val="Alishlah21heading1"/>
        <w:numPr>
          <w:ilvl w:val="0"/>
          <w:numId w:val="0"/>
        </w:numPr>
        <w:spacing w:after="0" w:line="276" w:lineRule="auto"/>
        <w:ind w:firstLine="425"/>
        <w:jc w:val="both"/>
        <w:rPr>
          <w:b w:val="0"/>
          <w:bCs/>
          <w:szCs w:val="20"/>
        </w:rPr>
      </w:pPr>
      <w:r w:rsidRPr="00ED7521">
        <w:rPr>
          <w:b w:val="0"/>
          <w:bCs/>
          <w:szCs w:val="20"/>
        </w:rPr>
        <w:fldChar w:fldCharType="begin" w:fldLock="1"/>
      </w:r>
      <w:r w:rsidRPr="00ED7521">
        <w:rPr>
          <w:b w:val="0"/>
          <w:bCs/>
          <w:szCs w:val="20"/>
        </w:rPr>
        <w:instrText>ADDIN CSL_CITATION {"citationItems":[{"id":"ITEM-1","itemData":{"DOI":"10.1016/j.heliyon.2024.e32796","ISSN":"24058440","abstract":"Objective: The previous coronavirus disease 2019(COVID-19) epidemic inflicted significant psychological trauma on emergency and critical care nurses due to various factors, potentially leading to job burnout. Despite the rise of positive psychology, little is known about the post-traumatic growth experience of these nurses after the pandemic. The aim of this study was to assess the experience of post-traumatic growth among emergency and critical care nurses, in order to provide managerial insights for developing effective strategies and facilitating the transformation of nurses' negative emotions into positive ones. Design: A qualitative review. Data sources: PubMed, EBSCO, Medline, Elsvier, Cochrane Library, CINAHL, Web of Science, Embase, and Ovid and Chinese databases include the following: Chinese National Knowledge Infrastructure (CNKI), Wanfang Database (CECDB), VIP Database and China Biomedical Database (CBM). Review methods: All articles about emergency and critical care nurses’ post-traumatic growth after the COVID-19 pandemic were included after searching and screening 13 databases. The meta-synthesis method was used to integrate and evaluate the included literature in qualitative research. The Preferred Reporting Items for Systematic Reviews and Meta-Analysis (PRISMA) was used as a basis for reporting the review. The literature was selected and evaluated by two researchers, and then meta-integration was used for analysis. Results: From a total of 11 articles, 90 main results were presented, eight new categories were integrated, and three themes were formed: stress period, adjustment period and growth period. These three themes include eight sub-themes: negative emotion, psychological gap, self adjusting, social support, improvement of personal ability, increased sense of professional belonging, spiritual awakening and extended thinking, look ahead. Conclusion: Post-traumatic growth in emergency and critical care nurses is dynamic. Managers should monitor the psychological changes experienced by emergency and critical care nurses following traumatic events, offering targeted support at different stages, providing enhanced professional development opportunities, refining management strategies, guiding nurses in self-adjustment and active coping with trauma, and promoting their physical and mental well-being to ensure a positive mindset for effectively addressing future public health crises.","author":[{"dropping-particle":"","family":"Liu","given":"Shuyang","non-dropping-particle":"","parse-names":false,"suffix":""},{"dropping-particle":"","family":"Chen","given":"Huifeng","non-dropping-particle":"","parse-names":false,"suffix":""},{"dropping-particle":"","family":"Xu","given":"Dele","non-dropping-particle":"","parse-names":false,"suffix":""},{"dropping-particle":"","family":"Liu","given":"Yue","non-dropping-particle":"","parse-names":false,"suffix":""},{"dropping-particle":"","family":"Han","given":"Peng","non-dropping-particle":"","parse-names":false,"suffix":""},{"dropping-particle":"","family":"Jiang","given":"Jinxia","non-dropping-particle":"","parse-names":false,"suffix":""},{"dropping-particle":"","family":"Zhuang","given":"Yugang","non-dropping-particle":"","parse-names":false,"suffix":""}],"container-title":"Heliyon","id":"ITEM-1","issue":"12","issued":{"date-parts":[["2024"]]},"page":"e32796","publisher":"Elsevier Ltd","title":"Post-traumatic growth experiences of emergency and critical care nurses after the COVID-19 pandemic: A qualitative meta-synthesis","type":"article-journal","volume":"10"},"uris":["http://www.mendeley.com/documents/?uuid=444f7c2f-0fab-42c9-9406-0e0ebdfb0f0b"]}],"mendeley":{"formattedCitation":"(Liu et al., 2024)","manualFormatting":"Liu et al. (2024)","plainTextFormattedCitation":"(Liu et al., 2024)","previouslyFormattedCitation":"(Liu et al., 2024)"},"properties":{"noteIndex":0},"schema":"https://github.com/citation-style-language/schema/raw/master/csl-citation.json"}</w:instrText>
      </w:r>
      <w:r w:rsidRPr="00ED7521">
        <w:rPr>
          <w:b w:val="0"/>
          <w:bCs/>
          <w:szCs w:val="20"/>
        </w:rPr>
        <w:fldChar w:fldCharType="separate"/>
      </w:r>
      <w:r w:rsidRPr="00ED7521">
        <w:rPr>
          <w:b w:val="0"/>
          <w:bCs/>
          <w:noProof/>
          <w:szCs w:val="20"/>
        </w:rPr>
        <w:t>Liu et al. (2024)</w:t>
      </w:r>
      <w:r w:rsidRPr="00ED7521">
        <w:rPr>
          <w:b w:val="0"/>
          <w:bCs/>
          <w:szCs w:val="20"/>
        </w:rPr>
        <w:fldChar w:fldCharType="end"/>
      </w:r>
      <w:r w:rsidRPr="00ED7521">
        <w:rPr>
          <w:b w:val="0"/>
          <w:bCs/>
          <w:szCs w:val="20"/>
        </w:rPr>
        <w:t xml:space="preserve"> found that individuals with mental disorders possess enhanced recall abilities, allowing them to vividly remember past events. This heightened recollection may lead to new risks and traumatic experiences, causing traumatic stress. Victims can then experience psychological issues resulting from trauma, necessitating immediate attention, especially for youngstres, to facilitate post-traumatic growth and ensure a comfortable life. </w:t>
      </w:r>
      <w:r w:rsidRPr="00ED7521">
        <w:rPr>
          <w:b w:val="0"/>
          <w:bCs/>
          <w:i/>
          <w:iCs/>
          <w:szCs w:val="20"/>
        </w:rPr>
        <w:t>Post-trauamtic growth</w:t>
      </w:r>
      <w:r w:rsidRPr="00ED7521">
        <w:rPr>
          <w:b w:val="0"/>
          <w:bCs/>
          <w:szCs w:val="20"/>
        </w:rPr>
        <w:t xml:space="preserve"> refers to personal growth following a traumatic experience. It can positively impact individuals by helping them reconcile with their past </w:t>
      </w:r>
      <w:r w:rsidRPr="00ED7521">
        <w:rPr>
          <w:b w:val="0"/>
          <w:bCs/>
          <w:szCs w:val="20"/>
        </w:rPr>
        <w:fldChar w:fldCharType="begin" w:fldLock="1"/>
      </w:r>
      <w:r w:rsidRPr="00ED7521">
        <w:rPr>
          <w:b w:val="0"/>
          <w:bCs/>
          <w:szCs w:val="20"/>
        </w:rPr>
        <w:instrText>ADDIN CSL_CITATION {"citationItems":[{"id":"ITEM-1","itemData":{"DOI":"10.1016/j.jmh.2020.100010","ISSN":"26666235","abstract":"Aims: The negative mental health effects of exposure to trauma are well-documented. However, some individuals are theorized to undergo post-traumatic growth (PTG) after exposure to trauma, potentially experiencing positive psychological change across five domains: appreciation for life, relationships with others, new possibilities in life, personal strength, and spiritual change. PTG is less studied in forcibly displaced populations in low- and middle-income countries. This study aimed to explore levels of PTG and associated factors among Syrian refugee adults living in Istanbul, Turkey. Methods: A cross-sectional survey was conducted with 1678 respondents. This study analyzed PTG data from 768 individuals as measured by the Post-Traumatic Growth Inventory (PTGI). Descriptive analysis and univariate and multivariate least squares linear regression modeling were used. Factor analysis and Cronbach's alpha tests assessed the psychometric properties of the PTGI. Results: The sample exhibited a moderate level of PTG at 55.94 (SD=22.91, range 0–105). Factor analysis of PTGI revealed only four factors instead of five, and the PTGI yielded high internal reliability (Cronbach's α=0.90). PTG and post-traumatic stress disorder (PTSD) had a curvilinear relationship, with the highest PTG levels experienced by those with moderate PTSD levels. Five other variables were significantly associated with PTG: older age, less education, somatic distress, and history of an overnight stay at a health facility for mental health care were associated with lower PTG, while more years of education were associated with higher PTG. Conclusions: This study identified the role of the sociodemographic and psychological determinants that influence post-traumatic growth among Syrian refugees in Istanbul. These findings could be used to inform future research and programs seeking to understand PTG in refugees.","author":[{"dropping-particle":"","family":"Wen","given":"Karen","non-dropping-particle":"","parse-names":false,"suffix":""},{"dropping-particle":"","family":"McGrath","given":"Michael","non-dropping-particle":"","parse-names":false,"suffix":""},{"dropping-particle":"","family":"Acarturk","given":"Ceren","non-dropping-particle":"","parse-names":false,"suffix":""},{"dropping-particle":"","family":"Ilkkursun","given":"Zeynep","non-dropping-particle":"","parse-names":false,"suffix":""},{"dropping-particle":"","family":"Fuhr","given":"Daniela C.","non-dropping-particle":"","parse-names":false,"suffix":""},{"dropping-particle":"","family":"Sondorp","given":"Egbert","non-dropping-particle":"","parse-names":false,"suffix":""},{"dropping-particle":"","family":"Cuijpers","given":"Pim","non-dropping-particle":"","parse-names":false,"suffix":""},{"dropping-particle":"","family":"Sijbrandij","given":"Marit","non-dropping-particle":"","parse-names":false,"suffix":""},{"dropping-particle":"","family":"Roberts","given":"Bayard","non-dropping-particle":"","parse-names":false,"suffix":""}],"container-title":"Journal of Migration and Health","id":"ITEM-1","issue":"November","issued":{"date-parts":[["2020"]]},"page":"100010","publisher":"Elsevier Ltd","title":"Post-traumatic growth and its predictors among Syrian refugees in Istanbul: A mental health population survey","type":"article-journal","volume":"1-2"},"uris":["http://www.mendeley.com/documents/?uuid=458a2aa2-34fc-4104-be89-e34695ba3bae"]}],"mendeley":{"formattedCitation":"(Wen et al., 2020)","plainTextFormattedCitation":"(Wen et al., 2020)","previouslyFormattedCitation":"(Wen et al., 2020)"},"properties":{"noteIndex":0},"schema":"https://github.com/citation-style-language/schema/raw/master/csl-citation.json"}</w:instrText>
      </w:r>
      <w:r w:rsidRPr="00ED7521">
        <w:rPr>
          <w:b w:val="0"/>
          <w:bCs/>
          <w:szCs w:val="20"/>
        </w:rPr>
        <w:fldChar w:fldCharType="separate"/>
      </w:r>
      <w:r w:rsidRPr="00ED7521">
        <w:rPr>
          <w:b w:val="0"/>
          <w:bCs/>
          <w:noProof/>
          <w:szCs w:val="20"/>
        </w:rPr>
        <w:t>(Wen et al., 2020)</w:t>
      </w:r>
      <w:r w:rsidRPr="00ED7521">
        <w:rPr>
          <w:b w:val="0"/>
          <w:bCs/>
          <w:szCs w:val="20"/>
        </w:rPr>
        <w:fldChar w:fldCharType="end"/>
      </w:r>
      <w:r w:rsidRPr="00ED7521">
        <w:rPr>
          <w:b w:val="0"/>
          <w:bCs/>
          <w:szCs w:val="20"/>
        </w:rPr>
        <w:t>. Although children who have faced mental attacks may endure injuries and psychological damage, they can gradullay recover with proper care and support. Healing trauma is challenging and requires time and focused support from their surroundings, including family, friends, and school.</w:t>
      </w:r>
    </w:p>
    <w:p w14:paraId="33718D64" w14:textId="77777777" w:rsidR="00C46026" w:rsidRPr="00ED7521" w:rsidRDefault="00C46026" w:rsidP="00B127E9">
      <w:pPr>
        <w:pStyle w:val="Alishlah21heading1"/>
        <w:numPr>
          <w:ilvl w:val="0"/>
          <w:numId w:val="0"/>
        </w:numPr>
        <w:spacing w:after="0" w:line="276" w:lineRule="auto"/>
        <w:ind w:firstLine="425"/>
        <w:jc w:val="both"/>
        <w:rPr>
          <w:b w:val="0"/>
          <w:bCs/>
          <w:szCs w:val="20"/>
          <w:lang w:val="en-GB"/>
        </w:rPr>
      </w:pPr>
      <w:r w:rsidRPr="00ED7521">
        <w:rPr>
          <w:b w:val="0"/>
          <w:bCs/>
          <w:szCs w:val="20"/>
        </w:rPr>
        <w:t xml:space="preserve">As they spend significant time learning at school, it becomes a second home. Schools not only serve as academic institutions but also play a crucial role in shaping </w:t>
      </w:r>
      <w:proofErr w:type="gramStart"/>
      <w:r w:rsidRPr="00ED7521">
        <w:rPr>
          <w:b w:val="0"/>
          <w:bCs/>
          <w:szCs w:val="20"/>
        </w:rPr>
        <w:t>students</w:t>
      </w:r>
      <w:proofErr w:type="gramEnd"/>
      <w:r w:rsidRPr="00ED7521">
        <w:rPr>
          <w:b w:val="0"/>
          <w:bCs/>
          <w:szCs w:val="20"/>
        </w:rPr>
        <w:t xml:space="preserve"> character, emotions, spiritual knowledge, and morality. An optimal school environment can positively impact childrens academic performance and cognitive abilities </w:t>
      </w:r>
      <w:r w:rsidRPr="00ED7521">
        <w:rPr>
          <w:b w:val="0"/>
          <w:bCs/>
          <w:szCs w:val="20"/>
        </w:rPr>
        <w:fldChar w:fldCharType="begin" w:fldLock="1"/>
      </w:r>
      <w:r w:rsidRPr="00ED7521">
        <w:rPr>
          <w:b w:val="0"/>
          <w:bCs/>
          <w:szCs w:val="20"/>
        </w:rPr>
        <w:instrText>ADDIN CSL_CITATION {"citationItems":[{"id":"ITEM-1","itemData":{"DOI":"10.48048/asi.2023.258491","abstract":"This study aimed to explore principals’ perceptions and current practices in schools to build conducive learning environment. The study employed qualitative research method guided by the constructivist paradigm. The study was conducted in Trashigang District, Bhutan, with 22 principals from February 2022 to July 2022. This study was purely exploratory, and the findings were broadly categorized into six themes: perceptions of a conducive learning environment, current practices in creating a conducive learning environment, managing students’ behavior, organizing the physical ambiance, and managing academic activities. Further, this study presents issues and challenges faced by school leaders. The study’s findings showed that school principals have positive perceptions of a conducive learning environment. The school principals in the study had given some methods to tackle academic, behavioral, and social issues. The study findings will help newly recruited principals create a conducive learning environment. Further, the study’s finding recommends Ministry of Education (MoE) and relevant stakeholders provide professional development to school leaders on behavioral management and enhancement of students’ academic performance. Moreover, the study recommends MoE to see if financial autonomy can be provided to the school. However, study’s finding is from the schools of one District and cannot be generalized. Therefore, future researchers can find the attributes of a conducive learning environment with a more excellent sample to validate the findings.","author":[{"dropping-particle":"","family":"Wangchuk","given":"Kesang","non-dropping-particle":"","parse-names":false,"suffix":""},{"dropping-particle":"","family":"Dendup","given":"Tashi","non-dropping-particle":"","parse-names":false,"suffix":""}],"container-title":"Asia Social Issues","id":"ITEM-1","issue":"5","issued":{"date-parts":[["2023"]]},"page":"e258491","title":"School Principals’ perceptions on the conducive learning environment and their current practices: An Exploratory Study at Trashigang District, Bhutan","type":"article-journal","volume":"16"},"uris":["http://www.mendeley.com/documents/?uuid=64482fe7-422a-46fb-8a9d-0d7b26209f9e"]}],"mendeley":{"formattedCitation":"(Wangchuk &amp; Dendup, 2023)","plainTextFormattedCitation":"(Wangchuk &amp; Dendup, 2023)","previouslyFormattedCitation":"(Wangchuk &amp; Dendup, 2023)"},"properties":{"noteIndex":0},"schema":"https://github.com/citation-style-language/schema/raw/master/csl-citation.json"}</w:instrText>
      </w:r>
      <w:r w:rsidRPr="00ED7521">
        <w:rPr>
          <w:b w:val="0"/>
          <w:bCs/>
          <w:szCs w:val="20"/>
        </w:rPr>
        <w:fldChar w:fldCharType="separate"/>
      </w:r>
      <w:r w:rsidRPr="00ED7521">
        <w:rPr>
          <w:b w:val="0"/>
          <w:bCs/>
          <w:noProof/>
          <w:szCs w:val="20"/>
        </w:rPr>
        <w:t>(Wangchuk &amp; Dendup, 2023)</w:t>
      </w:r>
      <w:r w:rsidRPr="00ED7521">
        <w:rPr>
          <w:b w:val="0"/>
          <w:bCs/>
          <w:szCs w:val="20"/>
        </w:rPr>
        <w:fldChar w:fldCharType="end"/>
      </w:r>
      <w:r w:rsidRPr="00ED7521">
        <w:rPr>
          <w:b w:val="0"/>
          <w:bCs/>
          <w:szCs w:val="20"/>
        </w:rPr>
        <w:t xml:space="preserve">. The school environment includes living entities, such as teachers and students, as well, as inanimate elements like classroms and surroundings. These components are integral to the educational institution and foster the development of a child’s talents </w:t>
      </w:r>
      <w:r w:rsidRPr="00ED7521">
        <w:rPr>
          <w:b w:val="0"/>
          <w:bCs/>
          <w:szCs w:val="20"/>
        </w:rPr>
        <w:fldChar w:fldCharType="begin" w:fldLock="1"/>
      </w:r>
      <w:r w:rsidRPr="00ED7521">
        <w:rPr>
          <w:b w:val="0"/>
          <w:bCs/>
          <w:szCs w:val="20"/>
        </w:rPr>
        <w:instrText>ADDIN CSL_CITATION {"citationItems":[{"id":"ITEM-1","itemData":{"DOI":"10.36769/tarqiyatuna.v1i1.190","abstract":"The environment or place where the education process takes place which includes family, school, and community education. Because after all, when talking about educational institutions as a place for education to take place, then of course it will involve environmental issues in which the education is carried out. Everyone who is in the educational institution (family, school and community), will definitely experience changes and developments according to the color and style of the institution. This research aims to explore The environment school. This research uses a qualitative method, namely a Field Reaseach. The results show that the role of the environment is an important foundation in achieving child achievement in MTS schools","author":[{"dropping-particle":"","family":"Nisa","given":"Ike Hillatun","non-dropping-particle":"","parse-names":false,"suffix":""}],"container-title":"TARQIYATUNA: Jurnal Pendidikan Agama Islam dan Madrasah Ibtidaiyah","id":"ITEM-1","issue":"1","issued":{"date-parts":[["2022"]]},"page":"24-29","title":"The Role Of The School Environment On Student Learning Success, A Descriptive Study at MTS Dzunnuraini","type":"article-journal","volume":"1"},"uris":["http://www.mendeley.com/documents/?uuid=39a7bef3-e3c9-4267-82da-db4f6b879cdc"]}],"mendeley":{"formattedCitation":"(Nisa, 2022)","plainTextFormattedCitation":"(Nisa, 2022)","previouslyFormattedCitation":"(Nisa, 2022)"},"properties":{"noteIndex":0},"schema":"https://github.com/citation-style-language/schema/raw/master/csl-citation.json"}</w:instrText>
      </w:r>
      <w:r w:rsidRPr="00ED7521">
        <w:rPr>
          <w:b w:val="0"/>
          <w:bCs/>
          <w:szCs w:val="20"/>
        </w:rPr>
        <w:fldChar w:fldCharType="separate"/>
      </w:r>
      <w:r w:rsidRPr="00ED7521">
        <w:rPr>
          <w:b w:val="0"/>
          <w:bCs/>
          <w:noProof/>
          <w:szCs w:val="20"/>
        </w:rPr>
        <w:t>(Nisa, 2022)</w:t>
      </w:r>
      <w:r w:rsidRPr="00ED7521">
        <w:rPr>
          <w:b w:val="0"/>
          <w:bCs/>
          <w:szCs w:val="20"/>
        </w:rPr>
        <w:fldChar w:fldCharType="end"/>
      </w:r>
      <w:r w:rsidRPr="00ED7521">
        <w:rPr>
          <w:b w:val="0"/>
          <w:bCs/>
          <w:szCs w:val="20"/>
        </w:rPr>
        <w:t>. A comprohensive school environment should encompass education, learning, and the presence of students and intructors. Education will be enhanced if students are free from bullying, which is unfortunately common in educational institutions. Such behaviors, including sneering, mocking, and insulting, instill fear in targeted students and negatively impact their mental well-being, potentially leading to psychological trauma.</w:t>
      </w:r>
    </w:p>
    <w:p w14:paraId="72995E21" w14:textId="605C13E4" w:rsidR="00C46026" w:rsidRPr="00ED7521" w:rsidRDefault="00C46026" w:rsidP="00B127E9">
      <w:pPr>
        <w:pStyle w:val="Alishlah21heading1"/>
        <w:numPr>
          <w:ilvl w:val="0"/>
          <w:numId w:val="0"/>
        </w:numPr>
        <w:spacing w:after="0" w:line="276" w:lineRule="auto"/>
        <w:ind w:firstLine="425"/>
        <w:jc w:val="both"/>
        <w:rPr>
          <w:b w:val="0"/>
          <w:bCs/>
          <w:szCs w:val="20"/>
        </w:rPr>
      </w:pPr>
      <w:r w:rsidRPr="00ED7521">
        <w:rPr>
          <w:b w:val="0"/>
          <w:bCs/>
          <w:szCs w:val="20"/>
        </w:rPr>
        <w:t xml:space="preserve">An individual who has undergone trauma may struggle with persistent feelings of remorse, leading to anxiety and issues such as diminished self-confidence, a perception of uncertainty in the world, and altered self-perception </w:t>
      </w:r>
      <w:r w:rsidRPr="00ED7521">
        <w:rPr>
          <w:b w:val="0"/>
          <w:bCs/>
          <w:szCs w:val="20"/>
        </w:rPr>
        <w:fldChar w:fldCharType="begin" w:fldLock="1"/>
      </w:r>
      <w:r w:rsidR="00ED7521">
        <w:rPr>
          <w:b w:val="0"/>
          <w:bCs/>
          <w:szCs w:val="20"/>
        </w:rPr>
        <w:instrText>ADDIN CSL_CITATION {"citationItems":[{"id":"ITEM-1","itemData":{"DOI":"10.1016/j.ajp.2020.101940","ISSN":"18762026","PMID":"32065961","abstract":"This study examined the inter-relationship between posttraumatic stress disorder (PTSD) from past trauma, psychiatric co-morbidity, trauma centrality and posttraumatic growth (PTG) among Chinese adolescents. Nine hundred and forty-eight Chinese adolescents (M = 462, F = 486) were recruited from two secondary schools. They completed the Posttraumatic Stress Disorder Checklist for DSM-5, the Centrality of Events Scale, the Posttraumatic Growth Inventory, the General Health Questionnaire-28, and the Educational Stress Scale for Adolescents. After controlling for demographic variables and levels of academic stress, structural equation modeling showed that PTSD was positively associated with trauma centrality and psychiatric co-morbidity but negatively associated with posttraumatic growth. Trauma centrality mediated the impacts of PTSD on posttraumatic growth and psychiatric co-morbidity. To conclude, PTSD from past trauma could impact adolescents’ ways of perceiving positive aspects of their trauma and psychological well-being. Such impact, however, was influenced by the changes in their self-concept.","author":[{"dropping-particle":"","family":"Wang","given":"Na","non-dropping-particle":"","parse-names":false,"suffix":""},{"dropping-particle":"","family":"Chung","given":"Man Cheung","non-dropping-particle":"","parse-names":false,"suffix":""},{"dropping-particle":"","family":"Wang","given":"Yabing","non-dropping-particle":"","parse-names":false,"suffix":""}],"container-title":"Asian Journal of Psychiatry","id":"ITEM-1","issue":"January","issued":{"date-parts":[["2020"]]},"page":"101940","publisher":"Elsevier","title":"The relationship between posttraumatic stress disorder, trauma centrality, posttraumatic growth and psychiatric co-morbidity among Chinese adolescents","type":"article-journal","volume":"49"},"uris":["http://www.mendeley.com/documents/?uuid=674116be-dda6-4d28-a06e-ce5fa627598f"]}],"mendeley":{"formattedCitation":"(N. Wang, Chung, &amp; Wang, 2020)","plainTextFormattedCitation":"(N. Wang, Chung, &amp; Wang, 2020)","previouslyFormattedCitation":"(N. Wang, Chung, &amp; Wang, 2020)"},"properties":{"noteIndex":0},"schema":"https://github.com/citation-style-language/schema/raw/master/csl-citation.json"}</w:instrText>
      </w:r>
      <w:r w:rsidRPr="00ED7521">
        <w:rPr>
          <w:b w:val="0"/>
          <w:bCs/>
          <w:szCs w:val="20"/>
        </w:rPr>
        <w:fldChar w:fldCharType="separate"/>
      </w:r>
      <w:r w:rsidR="00ED7521" w:rsidRPr="00ED7521">
        <w:rPr>
          <w:b w:val="0"/>
          <w:bCs/>
          <w:noProof/>
          <w:szCs w:val="20"/>
        </w:rPr>
        <w:t>(N. Wang, Chung, &amp; Wang, 2020)</w:t>
      </w:r>
      <w:r w:rsidRPr="00ED7521">
        <w:rPr>
          <w:b w:val="0"/>
          <w:bCs/>
          <w:szCs w:val="20"/>
        </w:rPr>
        <w:fldChar w:fldCharType="end"/>
      </w:r>
      <w:r w:rsidRPr="00ED7521">
        <w:rPr>
          <w:b w:val="0"/>
          <w:bCs/>
          <w:szCs w:val="20"/>
        </w:rPr>
        <w:t xml:space="preserve">. Although schools are expected to provide a safe learning environment, they often remain settings for violence and bullying </w:t>
      </w:r>
      <w:r w:rsidRPr="00ED7521">
        <w:rPr>
          <w:b w:val="0"/>
          <w:bCs/>
          <w:szCs w:val="20"/>
        </w:rPr>
        <w:fldChar w:fldCharType="begin" w:fldLock="1"/>
      </w:r>
      <w:r w:rsidR="00ED7521">
        <w:rPr>
          <w:b w:val="0"/>
          <w:bCs/>
          <w:szCs w:val="20"/>
        </w:rPr>
        <w:instrText>ADDIN CSL_CITATION {"citationItems":[{"id":"ITEM-1","itemData":{"DOI":"10.1016/j.ijchp.2022.100359","ISSN":"16972600","abstract":"Background/Objectives: Several studies have shown that personality traits are a benchmark in research field of bullying prevention, while others have highlighted that the socio-emotional skills are important to prevent a wide range of maladjusted behaviors, suggesting that the investment in their developing may mediate the effects of personality dispositions. The present study aims to clarify if socio-emotional attitudes can mediate the relationships between personality traits and bullying. Methods: Five sequential mediation models are tested using the Big Five personality traits as focal predictors, bullying as the outcome, and trait emotional intelligence and empathy as causally chained mediators, involving 199 primary school children (8-10 years) through the Bullying Prevalence Questionnaire, the Big Five Questionnaire for children, the Emotional Intelligence Index and the Empathy-Teen Conflict Survey. Results: Data showed that openness, conscientiousness, and agreeableness were inversely related to bullying, and that the causal chain of TEI-empathy negatively and completely mediated the relationship between emotional instability and bullying and negatively and partially mediated the relationship between openness and bullying. Conclusions: These results suggest that TEI and empathy mediate the relationship between personality traits and bullying, reducing the risk of being involved in bullying perpetration.","author":[{"dropping-particle":"","family":"Nasti","given":"C.","non-dropping-particle":"","parse-names":false,"suffix":""},{"dropping-particle":"","family":"Sangiuliano Intra","given":"F.","non-dropping-particle":"","parse-names":false,"suffix":""},{"dropping-particle":"","family":"Palmiero","given":"M.","non-dropping-particle":"","parse-names":false,"suffix":""},{"dropping-particle":"","family":"Brighi","given":"A.","non-dropping-particle":"","parse-names":false,"suffix":""}],"container-title":"International Journal of Clinical and Health Psychology","id":"ITEM-1","issue":"2","issued":{"date-parts":[["2023"]]},"page":"100359","publisher":"Elsevier B.V.","title":"The relationship between personality and bullying among primary school children: the mediation role of trait emotion intelligence and empathy","type":"article-journal","volume":"23"},"uris":["http://www.mendeley.com/documents/?uuid=26aebedc-8d09-4feb-b0c5-cc796895a832"]}],"mendeley":{"formattedCitation":"(Nasti, Sangiuliano Intra, Palmiero, &amp; Brighi, 2023)","plainTextFormattedCitation":"(Nasti, Sangiuliano Intra, Palmiero, &amp; Brighi, 2023)","previouslyFormattedCitation":"(Nasti, Sangiuliano Intra, Palmiero, &amp; Brighi, 2023)"},"properties":{"noteIndex":0},"schema":"https://github.com/citation-style-language/schema/raw/master/csl-citation.json"}</w:instrText>
      </w:r>
      <w:r w:rsidRPr="00ED7521">
        <w:rPr>
          <w:b w:val="0"/>
          <w:bCs/>
          <w:szCs w:val="20"/>
        </w:rPr>
        <w:fldChar w:fldCharType="separate"/>
      </w:r>
      <w:r w:rsidR="00ED7521" w:rsidRPr="00ED7521">
        <w:rPr>
          <w:b w:val="0"/>
          <w:bCs/>
          <w:noProof/>
          <w:szCs w:val="20"/>
        </w:rPr>
        <w:t>(Nasti, Sangiuliano Intra, Palmiero, &amp; Brighi, 2023)</w:t>
      </w:r>
      <w:r w:rsidRPr="00ED7521">
        <w:rPr>
          <w:b w:val="0"/>
          <w:bCs/>
          <w:szCs w:val="20"/>
        </w:rPr>
        <w:fldChar w:fldCharType="end"/>
      </w:r>
      <w:r w:rsidRPr="00ED7521">
        <w:rPr>
          <w:b w:val="0"/>
          <w:bCs/>
          <w:szCs w:val="20"/>
        </w:rPr>
        <w:t xml:space="preserve">. In Indonesia, the prevalence of bullying among students aged 13-17 is over 20.6% </w:t>
      </w:r>
      <w:r w:rsidRPr="00ED7521">
        <w:rPr>
          <w:b w:val="0"/>
          <w:bCs/>
          <w:szCs w:val="20"/>
        </w:rPr>
        <w:fldChar w:fldCharType="begin" w:fldLock="1"/>
      </w:r>
      <w:r w:rsidRPr="00ED7521">
        <w:rPr>
          <w:b w:val="0"/>
          <w:bCs/>
          <w:szCs w:val="20"/>
        </w:rPr>
        <w:instrText>ADDIN CSL_CITATION {"citationItems":[{"id":"ITEM-1","itemData":{"ISSN":"1328-8067","author":[{"dropping-particle":"","family":"Noboru","given":"Tamaki","non-dropping-particle":"","parse-names":false,"suffix":""},{"dropping-particle":"","family":"Amalia","given":"Emmy","non-dropping-particle":"","parse-names":false,"suffix":""},{"dropping-particle":"","family":"Hernandez","given":"Paul Michael R","non-dropping-particle":"","parse-names":false,"suffix":""},{"dropping-particle":"","family":"Nurbaiti","given":"Lina","non-dropping-particle":"","parse-names":false,"suffix":""},{"dropping-particle":"","family":"Affarah","given":"Wahyu Sulistya","non-dropping-particle":"","parse-names":false,"suffix":""},{"dropping-particle":"","family":"Nonaka","given":"Daisuke","non-dropping-particle":"","parse-names":false,"suffix":""},{"dropping-particle":"","family":"Takeuchi","given":"Rie","non-dropping-particle":"","parse-names":false,"suffix":""},{"dropping-particle":"","family":"Kadriyan","given":"Hamsu","non-dropping-particle":"","parse-names":false,"suffix":""},{"dropping-particle":"","family":"Kobayashi","given":"Jun","non-dropping-particle":"","parse-names":false,"suffix":""}],"container-title":"Pediatrics international","id":"ITEM-1","issue":"4","issued":{"date-parts":[["2021"]]},"page":"459-468","publisher":"Wiley Online Library","title":"School‐based education to prevent bullying in high schools in Indonesia","type":"article-journal","volume":"63"},"uris":["http://www.mendeley.com/documents/?uuid=b1887b1b-6e27-4a04-94c5-260d3eddda8f"]}],"mendeley":{"formattedCitation":"(Noboru et al., 2021)","plainTextFormattedCitation":"(Noboru et al., 2021)","previouslyFormattedCitation":"(Noboru et al., 2021)"},"properties":{"noteIndex":0},"schema":"https://github.com/citation-style-language/schema/raw/master/csl-citation.json"}</w:instrText>
      </w:r>
      <w:r w:rsidRPr="00ED7521">
        <w:rPr>
          <w:b w:val="0"/>
          <w:bCs/>
          <w:szCs w:val="20"/>
        </w:rPr>
        <w:fldChar w:fldCharType="separate"/>
      </w:r>
      <w:r w:rsidRPr="00ED7521">
        <w:rPr>
          <w:b w:val="0"/>
          <w:bCs/>
          <w:noProof/>
          <w:szCs w:val="20"/>
        </w:rPr>
        <w:t>(Noboru et al., 2021)</w:t>
      </w:r>
      <w:r w:rsidRPr="00ED7521">
        <w:rPr>
          <w:b w:val="0"/>
          <w:bCs/>
          <w:szCs w:val="20"/>
        </w:rPr>
        <w:fldChar w:fldCharType="end"/>
      </w:r>
      <w:r w:rsidRPr="00ED7521">
        <w:rPr>
          <w:b w:val="0"/>
          <w:bCs/>
          <w:szCs w:val="20"/>
        </w:rPr>
        <w:t xml:space="preserve">. This highlights the frequent occurrence of bullying in schools, which can adversely affect children’s mental well-being. These effects on psychological development can persist into adulthood and should not be underestimated. To address this issue, schools should provide guidance and counseling services, including educational outreach on the detrimental effects of bullying. Recognizing the long-lasting consesquences for children who experience trauma and mental health issues is crucial. A study by </w:t>
      </w:r>
      <w:r w:rsidRPr="00ED7521">
        <w:rPr>
          <w:b w:val="0"/>
          <w:bCs/>
          <w:szCs w:val="20"/>
        </w:rPr>
        <w:fldChar w:fldCharType="begin" w:fldLock="1"/>
      </w:r>
      <w:r w:rsidR="00ED7521">
        <w:rPr>
          <w:b w:val="0"/>
          <w:bCs/>
          <w:szCs w:val="20"/>
        </w:rPr>
        <w:instrText>ADDIN CSL_CITATION {"citationItems":[{"id":"ITEM-1","itemData":{"DOI":"10.1016/j.jsp.2020.08.002","ISSN":"00224405","PMID":"32988463","abstract":"Guided by the school-wide social-emotional learning framework and social-ecological model, in this study we examined the associations between students' perceptions of four core social emotional learning (SEL) competencies (i.e., responsible decision-making, social awareness, self-management, and relationship skills) and school climate and their experience with bullying victimization through a multilevel framework. We also examined the multilevel moderating effects of students' perceptions of school climate, gender, and school levels (elementary, middle, and high schools) on the association between SEL competencies and bullying victimization. Participants were 23,532 students (4th to 12th grade) from 90 schools in Delaware. Using hierarchical linear modeling and controlling for demographic factors and school climate at both student and school levels, we found that three of the four core SEL competencies (i.e., social awareness, relationship skills, and self-management) and student-level school climate perceptions had significant associations with students' bullying victimization experiences. Moreover, the positive association between social awareness and bullying victimization and the negative association between self-management and bullying victimization were both mitigated in schools with more positive school climate at the student level. The association between some of the SEL competencies and bullying victimization varied depending on students' gender and grade levels. The findings highlight the unique and differentiated relations among the four core SEL competencies and students' bullying victimization experiences; they also suggest the importance of including school climate assessment and applying gender- and grade-level-specific efforts in bullying prevention programs with an SEL focus.","author":[{"dropping-particle":"","family":"Yang","given":"Chunyan","non-dropping-particle":"","parse-names":false,"suffix":""},{"dropping-particle":"","family":"Chan","given":"Mei Ki","non-dropping-particle":"","parse-names":false,"suffix":""},{"dropping-particle":"","family":"Ma","given":"Ting Lan","non-dropping-particle":"","parse-names":false,"suffix":""}],"container-title":"Journal of School Psychology","id":"ITEM-1","issue":"August","issued":{"date-parts":[["2020"]]},"page":"49-69","publisher":"Elsevier","title":"School-wide social emotional learning (SEL) and bullying victimization: Moderating role of school climate in elementary, middle, and high schools","type":"article-journal","volume":"82"},"uris":["http://www.mendeley.com/documents/?uuid=5721324c-c716-4e64-ad3c-95ea5ac9ed8e"]}],"mendeley":{"formattedCitation":"(Yang, Chan, &amp; Ma, 2020)","manualFormatting":"Yang et al. (2020)","plainTextFormattedCitation":"(Yang, Chan, &amp; Ma, 2020)","previouslyFormattedCitation":"(Yang, Chan, &amp; Ma, 2020)"},"properties":{"noteIndex":0},"schema":"https://github.com/citation-style-language/schema/raw/master/csl-citation.json"}</w:instrText>
      </w:r>
      <w:r w:rsidRPr="00ED7521">
        <w:rPr>
          <w:b w:val="0"/>
          <w:bCs/>
          <w:szCs w:val="20"/>
        </w:rPr>
        <w:fldChar w:fldCharType="separate"/>
      </w:r>
      <w:r w:rsidRPr="00ED7521">
        <w:rPr>
          <w:b w:val="0"/>
          <w:bCs/>
          <w:noProof/>
          <w:szCs w:val="20"/>
        </w:rPr>
        <w:t>Yang et al. (2020)</w:t>
      </w:r>
      <w:r w:rsidRPr="00ED7521">
        <w:rPr>
          <w:b w:val="0"/>
          <w:bCs/>
          <w:szCs w:val="20"/>
        </w:rPr>
        <w:fldChar w:fldCharType="end"/>
      </w:r>
      <w:r w:rsidRPr="00ED7521">
        <w:rPr>
          <w:b w:val="0"/>
          <w:bCs/>
          <w:szCs w:val="20"/>
        </w:rPr>
        <w:t xml:space="preserve"> found that implementing </w:t>
      </w:r>
      <w:r w:rsidRPr="00ED7521">
        <w:rPr>
          <w:b w:val="0"/>
          <w:bCs/>
          <w:i/>
          <w:iCs/>
          <w:szCs w:val="20"/>
        </w:rPr>
        <w:t>social emotional learning</w:t>
      </w:r>
      <w:r w:rsidRPr="00ED7521">
        <w:rPr>
          <w:b w:val="0"/>
          <w:bCs/>
          <w:szCs w:val="20"/>
        </w:rPr>
        <w:t xml:space="preserve"> (SEL) in schools helps create a secure, compassionate, and positive atmosphere. SEL focuses on developing social and emotional skills in children, teaching them to manage emotions, resolve conflicts peacefully, make ethical decisions, build meaningful relationships, and collaborate effectively with peers.</w:t>
      </w:r>
    </w:p>
    <w:p w14:paraId="2427808B" w14:textId="28EABF33" w:rsidR="00C46026" w:rsidRPr="00ED7521" w:rsidRDefault="00B127E9" w:rsidP="00C46026">
      <w:pPr>
        <w:tabs>
          <w:tab w:val="left" w:pos="284"/>
        </w:tabs>
        <w:autoSpaceDE w:val="0"/>
        <w:autoSpaceDN w:val="0"/>
        <w:adjustRightInd w:val="0"/>
        <w:spacing w:after="0"/>
        <w:jc w:val="both"/>
        <w:rPr>
          <w:rFonts w:ascii="Palatino Linotype" w:hAnsi="Palatino Linotype" w:cs="Times New Roman"/>
          <w:sz w:val="20"/>
          <w:szCs w:val="20"/>
        </w:rPr>
      </w:pPr>
      <w:r w:rsidRPr="00ED7521">
        <w:rPr>
          <w:rFonts w:ascii="Palatino Linotype" w:hAnsi="Palatino Linotype" w:cs="Times New Roman"/>
          <w:sz w:val="24"/>
          <w:szCs w:val="24"/>
          <w:lang w:val="en-US"/>
        </w:rPr>
        <w:lastRenderedPageBreak/>
        <w:tab/>
      </w:r>
      <w:r w:rsidR="00C46026" w:rsidRPr="00ED7521">
        <w:rPr>
          <w:rFonts w:ascii="Palatino Linotype" w:hAnsi="Palatino Linotype" w:cs="Times New Roman"/>
          <w:sz w:val="20"/>
          <w:szCs w:val="20"/>
        </w:rPr>
        <w:t xml:space="preserve">Children’s trauma can be influenced by family dynamics and their immadiate environment, including schools. To address these needs, schools must prioritize creating a supportive learning environment. Such an atmosphere helps students reach their potential, learn effectively, and feel at ease. Collaboration between teachers and students is crucial, as children with trauma or mental health challenges often need social support from peers and teachers. Beyond academics, teachers shape character by instilling social values, morals, and ethics, fostering social responsibility. Schools also provide counseling servies, and training teachers in child psychology is vital to address social and emotional needs. </w:t>
      </w:r>
      <w:r w:rsidR="00C46026"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10.1016/j.chbah.2024.100083","ISSN":"2949-8821","author":[{"dropping-particle":"","family":"Hsieh","given":"Lih-horng","non-dropping-particle":"","parse-names":false,"suffix":""},{"dropping-particle":"","family":"Liao","given":"Wei-chou","non-dropping-particle":"","parse-names":false,"suffix":""},{"dropping-particle":"","family":"Liu","given":"En-yu","non-dropping-particle":"","parse-names":false,"suffix":""}],"container-title":"Computers in Human Behavior: Artificial Humans","id":"ITEM-1","issue":"2","issued":{"date-parts":[["2024"]]},"page":"100083","publisher":"Elsevier Inc.","title":"Computers in Human Behavior : Artificial Humans Feasibility assessment of using ChatGPT for training case conceptualization skills in psychological counseling","type":"article-journal","volume":"2"},"uris":["http://www.mendeley.com/documents/?uuid=31f140ec-4b3d-42b7-9c31-f699fe0e4df0"]}],"mendeley":{"formattedCitation":"(Hsieh, Liao, &amp; Liu, 2024)","manualFormatting":"Hsieh et al. (2024)","plainTextFormattedCitation":"(Hsieh, Liao, &amp; Liu, 2024)","previouslyFormattedCitation":"(Hsieh, Liao, &amp; Liu, 2024)"},"properties":{"noteIndex":0},"schema":"https://github.com/citation-style-language/schema/raw/master/csl-citation.json"}</w:instrText>
      </w:r>
      <w:r w:rsidR="00C46026" w:rsidRPr="00ED7521">
        <w:rPr>
          <w:rFonts w:ascii="Palatino Linotype" w:hAnsi="Palatino Linotype" w:cs="Times New Roman"/>
          <w:sz w:val="20"/>
          <w:szCs w:val="20"/>
        </w:rPr>
        <w:fldChar w:fldCharType="separate"/>
      </w:r>
      <w:r w:rsidR="00C46026" w:rsidRPr="00ED7521">
        <w:rPr>
          <w:rFonts w:ascii="Palatino Linotype" w:hAnsi="Palatino Linotype" w:cs="Times New Roman"/>
          <w:noProof/>
          <w:sz w:val="20"/>
          <w:szCs w:val="20"/>
        </w:rPr>
        <w:t>Hsieh et al. (2024)</w:t>
      </w:r>
      <w:r w:rsidR="00C46026" w:rsidRPr="00ED7521">
        <w:rPr>
          <w:rFonts w:ascii="Palatino Linotype" w:hAnsi="Palatino Linotype" w:cs="Times New Roman"/>
          <w:sz w:val="20"/>
          <w:szCs w:val="20"/>
        </w:rPr>
        <w:fldChar w:fldCharType="end"/>
      </w:r>
      <w:r w:rsidR="00C46026" w:rsidRPr="00ED7521">
        <w:rPr>
          <w:rFonts w:ascii="Palatino Linotype" w:hAnsi="Palatino Linotype" w:cs="Times New Roman"/>
          <w:sz w:val="20"/>
          <w:szCs w:val="20"/>
        </w:rPr>
        <w:t xml:space="preserve"> explore the causes of these issues and ways to improve counseling outcomes, highlighting the role of BK intructors in promoting a positive school environment.</w:t>
      </w:r>
    </w:p>
    <w:p w14:paraId="0D5630F1" w14:textId="0C6CEECB" w:rsidR="00B127E9" w:rsidRPr="00ED7521" w:rsidRDefault="00B127E9" w:rsidP="00B127E9">
      <w:pPr>
        <w:pStyle w:val="BodyTextIndent"/>
        <w:spacing w:line="276" w:lineRule="auto"/>
        <w:ind w:left="0" w:firstLine="425"/>
        <w:jc w:val="both"/>
        <w:rPr>
          <w:rFonts w:ascii="Palatino Linotype" w:hAnsi="Palatino Linotype"/>
          <w:sz w:val="20"/>
          <w:szCs w:val="20"/>
        </w:rPr>
      </w:pPr>
      <w:r w:rsidRPr="00ED7521">
        <w:rPr>
          <w:rFonts w:ascii="Palatino Linotype" w:hAnsi="Palatino Linotype"/>
          <w:sz w:val="20"/>
          <w:szCs w:val="20"/>
        </w:rPr>
        <w:t xml:space="preserve">Consequently, the educational environment's impact will empower children to confront and overcome any traumatic experiences, thereby enhancing their resilience for future challenges. It is important to recognise that trauma and mental diseases can have long-lasting detrimental effects on a child's psychological well-being, which may persist into adulthood. Therefore, it is crucial to address these issues promptly and ensure ongoing assistance from the child's surroundings. So that, the objective of this composition is to serve as a guide for educational institutions to create a favourable atmosphere for students and to delve into the impact of the school environment on the mental well-being and post-traumatic development of children. In addition, this writing seeks to enhance educators' and education managers' understanding of the significance of emotional support for students, while also emphasising the role of guidance and counselling teachers at school and the social support provided by friends. The </w:t>
      </w:r>
      <w:proofErr w:type="gramStart"/>
      <w:r w:rsidRPr="00ED7521">
        <w:rPr>
          <w:rFonts w:ascii="Palatino Linotype" w:hAnsi="Palatino Linotype"/>
          <w:sz w:val="20"/>
          <w:szCs w:val="20"/>
        </w:rPr>
        <w:t>ultimate goal</w:t>
      </w:r>
      <w:proofErr w:type="gramEnd"/>
      <w:r w:rsidRPr="00ED7521">
        <w:rPr>
          <w:rFonts w:ascii="Palatino Linotype" w:hAnsi="Palatino Linotype"/>
          <w:sz w:val="20"/>
          <w:szCs w:val="20"/>
        </w:rPr>
        <w:t xml:space="preserve"> is to address trauma and disorders effectively. Enhancing the mental well-being of children can effectively mitigate adverse consequences in their future. </w:t>
      </w:r>
    </w:p>
    <w:p w14:paraId="14938B73" w14:textId="77777777" w:rsidR="00B127E9" w:rsidRPr="00ED7521" w:rsidRDefault="00B127E9" w:rsidP="00B127E9">
      <w:pPr>
        <w:pStyle w:val="BodyTextIndent"/>
        <w:ind w:left="0"/>
        <w:rPr>
          <w:rFonts w:ascii="Palatino Linotype" w:hAnsi="Palatino Linotype"/>
          <w:b/>
          <w:bCs/>
          <w:sz w:val="20"/>
          <w:szCs w:val="20"/>
        </w:rPr>
      </w:pPr>
      <w:r w:rsidRPr="00ED7521">
        <w:rPr>
          <w:rFonts w:ascii="Palatino Linotype" w:hAnsi="Palatino Linotype"/>
          <w:b/>
          <w:bCs/>
          <w:sz w:val="20"/>
          <w:szCs w:val="20"/>
        </w:rPr>
        <w:t>Literature Review</w:t>
      </w:r>
    </w:p>
    <w:p w14:paraId="0CE49005" w14:textId="3775B4AF" w:rsidR="00B127E9" w:rsidRPr="00ED7521" w:rsidRDefault="00B127E9" w:rsidP="00B127E9">
      <w:pPr>
        <w:pStyle w:val="BodyTextIndent"/>
        <w:spacing w:after="0"/>
        <w:ind w:left="0" w:firstLine="425"/>
        <w:jc w:val="both"/>
        <w:rPr>
          <w:rFonts w:ascii="Palatino Linotype" w:hAnsi="Palatino Linotype"/>
          <w:sz w:val="20"/>
          <w:szCs w:val="20"/>
        </w:rPr>
      </w:pPr>
      <w:r w:rsidRPr="00ED7521">
        <w:rPr>
          <w:rFonts w:ascii="Palatino Linotype" w:hAnsi="Palatino Linotype"/>
          <w:sz w:val="20"/>
          <w:szCs w:val="20"/>
        </w:rPr>
        <w:t xml:space="preserve">This review, based on </w:t>
      </w:r>
      <w:r w:rsidRPr="00ED7521">
        <w:rPr>
          <w:rFonts w:ascii="Palatino Linotype" w:hAnsi="Palatino Linotype"/>
          <w:sz w:val="20"/>
          <w:szCs w:val="20"/>
        </w:rPr>
        <w:fldChar w:fldCharType="begin" w:fldLock="1"/>
      </w:r>
      <w:r w:rsidRPr="00ED7521">
        <w:rPr>
          <w:rFonts w:ascii="Palatino Linotype" w:hAnsi="Palatino Linotype"/>
          <w:sz w:val="20"/>
          <w:szCs w:val="20"/>
        </w:rPr>
        <w:instrText>ADDIN CSL_CITATION {"citationItems":[{"id":"ITEM-1","itemData":{"DOI":"10.1037/amp0000701","ISSN":"1935990X","PMID":"33030926","abstract":"Social and emotional learning (SEL) has become more central to education because of demand from educators, parents, students, and business leaders alongside rigorous researchshowing broad, positive impacts for students and adults. However, all approaches to SEL arenot equal. Systemic SEL is an approach to create equitable learning conditions that activelyinvolve all Pre-K to Grade 12 students in learning and practicing social, emotional, andacademic competencies. These conditions require aligned policies, resources, and actions atstate and district levels that encourage local schools and communities to build the personaland professional capacities of adults to: implement and continuously improve evidence-basedprograms and practices; create an inclusive culture that fosters caring relationships and youthvoice, agency, and character; and support coordinated school-family-community partnershipsto enhance student development. Promoting social and emotional competencies—includingthe abilities to understand and manage emotions, achieve positive goals, show caring andconcern for others, establish and maintain positive relationships, and make responsibledecisions—are important for success at school and in life. In this article, we summarize keyconcepts and evidence for systemic SEL. Next, we explain interrelated Theories of Actionand resources developed by the Collaborative for Academic, Social, and Emotional Learning(CASEL) to implement and continuously improve systemic SEL in schools, districts, andstates. We discuss research on nested, interacting settings and processes involved in systemicSEL at proximal (classrooms, schools, families, and communities) and distal (districts, states,national, and international) ecological levels. We conclude with recommendations for futureSEL research, practice, and policy","author":[{"dropping-particle":"","family":"Mahoney","given":"Joseph L.","non-dropping-particle":"","parse-names":false,"suffix":""},{"dropping-particle":"","family":"Weissberg","given":"Roger P.","non-dropping-particle":"","parse-names":false,"suffix":""},{"dropping-particle":"","family":"Greenberg","given":"Mark T.","non-dropping-particle":"","parse-names":false,"suffix":""},{"dropping-particle":"","family":"Dusenbury","given":"Linda","non-dropping-particle":"","parse-names":false,"suffix":""},{"dropping-particle":"","family":"Jagers","given":"Robert J.","non-dropping-particle":"","parse-names":false,"suffix":""},{"dropping-particle":"","family":"Niemi","given":"Karen","non-dropping-particle":"","parse-names":false,"suffix":""},{"dropping-particle":"","family":"Schlinger","given":"Melissa","non-dropping-particle":"","parse-names":false,"suffix":""},{"dropping-particle":"","family":"Schlund","given":"Justina","non-dropping-particle":"","parse-names":false,"suffix":""},{"dropping-particle":"","family":"Shriver","given":"Timothy P.","non-dropping-particle":"","parse-names":false,"suffix":""},{"dropping-particle":"","family":"VanAusdal","given":"Karen","non-dropping-particle":"","parse-names":false,"suffix":""},{"dropping-particle":"","family":"Yoder","given":"Nicholas","non-dropping-particle":"","parse-names":false,"suffix":""}],"container-title":"American Psychologist","id":"ITEM-1","issue":"7","issued":{"date-parts":[["2021"]]},"page":"1128-1142","title":"Systemic Social and Emotional Learning: Promoting Educational Success for All Preschool to High School Students","type":"article-journal","volume":"76"},"uris":["http://www.mendeley.com/documents/?uuid=d3812503-80f3-4bf7-b611-5bca6301820f"]}],"mendeley":{"formattedCitation":"(Mahoney et al., 2021)","manualFormatting":"Mahoney et al. (2021)","plainTextFormattedCitation":"(Mahoney et al., 2021)","previouslyFormattedCitation":"(Mahoney et al., 2021)"},"properties":{"noteIndex":0},"schema":"https://github.com/citation-style-language/schema/raw/master/csl-citation.json"}</w:instrText>
      </w:r>
      <w:r w:rsidRPr="00ED7521">
        <w:rPr>
          <w:rFonts w:ascii="Palatino Linotype" w:hAnsi="Palatino Linotype"/>
          <w:sz w:val="20"/>
          <w:szCs w:val="20"/>
        </w:rPr>
        <w:fldChar w:fldCharType="separate"/>
      </w:r>
      <w:r w:rsidRPr="00ED7521">
        <w:rPr>
          <w:rFonts w:ascii="Palatino Linotype" w:hAnsi="Palatino Linotype"/>
          <w:noProof/>
          <w:sz w:val="20"/>
          <w:szCs w:val="20"/>
        </w:rPr>
        <w:t>Mahoney et al. (2021)</w:t>
      </w:r>
      <w:r w:rsidRPr="00ED7521">
        <w:rPr>
          <w:rFonts w:ascii="Palatino Linotype" w:hAnsi="Palatino Linotype"/>
          <w:sz w:val="20"/>
          <w:szCs w:val="20"/>
        </w:rPr>
        <w:fldChar w:fldCharType="end"/>
      </w:r>
      <w:r w:rsidRPr="00ED7521">
        <w:rPr>
          <w:rFonts w:ascii="Palatino Linotype" w:hAnsi="Palatino Linotype"/>
          <w:sz w:val="20"/>
          <w:szCs w:val="20"/>
        </w:rPr>
        <w:t xml:space="preserve">, explores </w:t>
      </w:r>
      <w:r w:rsidRPr="00ED7521">
        <w:rPr>
          <w:rFonts w:ascii="Palatino Linotype" w:hAnsi="Palatino Linotype"/>
          <w:i/>
          <w:iCs/>
          <w:sz w:val="20"/>
          <w:szCs w:val="20"/>
        </w:rPr>
        <w:t>Social Emotional Learning</w:t>
      </w:r>
      <w:r w:rsidRPr="00ED7521">
        <w:rPr>
          <w:rFonts w:ascii="Palatino Linotype" w:hAnsi="Palatino Linotype"/>
          <w:sz w:val="20"/>
          <w:szCs w:val="20"/>
        </w:rPr>
        <w:t xml:space="preserve"> (SEL) implemented from kindergarten to high school. SEL focuses on devoping students’ social, and meaningful relationships. The framework aims to create a compassionate and inclusive educational environment that supports students’ social growth, mental well-being, and post-traumatic development. By fostering peer support, a nurturing atmosphere, and inspiring educators, SEL positively impacts students’ emotional skills while promoting mental well-being and post-traumatic growth. </w:t>
      </w:r>
    </w:p>
    <w:p w14:paraId="7ECB9914" w14:textId="77777777" w:rsidR="00B127E9" w:rsidRPr="00ED7521" w:rsidRDefault="00B127E9" w:rsidP="00B127E9">
      <w:pPr>
        <w:pStyle w:val="BodyTextIndent"/>
        <w:spacing w:after="0"/>
        <w:ind w:left="0" w:firstLine="425"/>
        <w:jc w:val="both"/>
        <w:rPr>
          <w:rFonts w:ascii="Palatino Linotype" w:hAnsi="Palatino Linotype"/>
          <w:sz w:val="20"/>
          <w:szCs w:val="20"/>
        </w:rPr>
      </w:pPr>
    </w:p>
    <w:p w14:paraId="718ED51F" w14:textId="102C41CA" w:rsidR="00B127E9" w:rsidRPr="00ED7521" w:rsidRDefault="00B127E9" w:rsidP="00B127E9">
      <w:pPr>
        <w:pStyle w:val="BodyTextIndent"/>
        <w:spacing w:after="0"/>
        <w:ind w:left="0"/>
        <w:jc w:val="both"/>
        <w:rPr>
          <w:rFonts w:ascii="Palatino Linotype" w:hAnsi="Palatino Linotype"/>
          <w:b/>
          <w:bCs/>
          <w:sz w:val="20"/>
          <w:szCs w:val="20"/>
        </w:rPr>
      </w:pPr>
      <w:r w:rsidRPr="00ED7521">
        <w:rPr>
          <w:rFonts w:ascii="Palatino Linotype" w:hAnsi="Palatino Linotype"/>
          <w:b/>
          <w:bCs/>
          <w:sz w:val="20"/>
          <w:szCs w:val="20"/>
          <w:lang w:val="en-US"/>
        </w:rPr>
        <w:t>Hypothesis Development</w:t>
      </w:r>
    </w:p>
    <w:p w14:paraId="0F9309C4" w14:textId="77777777"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theory proposed by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{"citationItems":[{"id":"ITEM-1","itemData":{"DOI":"10.46328/ijonses.285","abstract":"This study examined the degree of the influence of school environment and school heads managerial skills on school’s performances. Using a correlational method of research, a total of 115 school heads, 1044 teachers, 115 pupils, and 115 parents of public elementary schools in the 6th Congressional District of Negros Occidental, Philippines was chosen as study participants. An expert-validated and standardized questionnaire was used for data collection.  Results show that school environment was moderately favorable while the school heads’ managerial skills and schools’ performances were very high. Results further revealed that school heads’ managerial skills and school environment relates to school performance, however, the relationship is not significant. Although results hold that school heads exhibited managerial skills in a favorable school environment, but this does not mean that it has influence on schools performance as reflected in this study. In this regard, the study suggests examining other factors that might influence school performance. ","author":[{"dropping-particle":"","family":"Gamala","given":"Javen J.","non-dropping-particle":"","parse-names":false,"suffix":""},{"dropping-particle":"","family":"Marpa","given":"Eliseo P.","non-dropping-particle":"","parse-names":false,"suffix":""}],"container-title":"International Journal on Social and Education Sciences","id":"ITEM-1","issue":"2","issued":{"date-parts":[["2022"]]},"page":"218-235","title":"School Environment and School Heads’ Managerial Skills: Looking into their Relationships to School’s Performance","type":"article-journal","volume":"4"},"uris":["http://www.mendeley.com/documents/?uuid=e0403b60-5bed-4c68-84ab-1d4275166102"]}],"mendeley":{"formattedCitation":"(Gamala &amp; Marpa, 2022)","manualFormatting":"Gamala &amp; Marpa (2022)","plainTextFormattedCitation":"(Gamala &amp; Marpa, 2022)","previouslyFormattedCitation":"(Gamala &amp; Marpa, 2022)"},"properties":{"noteIndex":0},"schema":"https://github.com/citation-style-language/schema/raw/master/csl-citation.json"}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Gamala &amp; Marpa (2022)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characterises the school environment as a community comprising students and teachers within an educational institution. This community is influenced by additional factors, including the school's structure, students' personal attributes, and the efficacy of the educational institution. These elements encompass the attributes of a school and significantly contribute to academic achievement. In addition, schools must prioritise other factors that contribute to success, such as creating a conducive and secure environment for kids and offering assistance for their mental well-being. The school environment exerts a substantial impact on the mental well-being of pupils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ISSN":"0165-0327","author":[{"dropping-particle":"","family":"Harding","given":"Sarah","non-dropping-particle":"","parse-names":false,"suffix":""},{"dropping-particle":"","family":"Morris","given":"Richard","non-dropping-particle":"","parse-names":false,"suffix":""},{"dropping-particle":"","family":"Gunnell","given":"David","non-dropping-particle":"","parse-names":false,"suffix":""},{"dropping-particle":"","family":"Ford","given":"Tamsin","non-dropping-particle":"","parse-names":false,"suffix":""},{"dropping-particle":"","family":"Hollingworth","given":"William","non-dropping-particle":"","parse-names":false,"suffix":""},{"dropping-particle":"","family":"Tilling","given":"Kate","non-dropping-particle":"","parse-names":false,"suffix":""},{"dropping-particle":"","family":"Evans","given":"Rhiannon","non-dropping-particle":"","parse-names":false,"suffix":""},{"dropping-particle":"","family":"Bell","given":"Sarah","non-dropping-particle":"","parse-names":false,"suffix":""},{"dropping-particle":"","family":"Grey","given":"Jillian","non-dropping-particle":"","parse-names":false,"suffix":""},{"dropping-particle":"","family":"Brockman","given":"Rowan","non-dropping-particle":"","parse-names":false,"suffix":""}],"container-title":"Journal of affective disorders","id":"ITEM-1","issued":{"date-parts":[["2019"]]},"page":"180-187","publisher":"Elsevier","title":"Is teachers’ mental health and wellbeing associated with students’ mental health and wellbeing?","type":"article-journal","volume":"242"},"uris":["http://www.mendeley.com/documents/?uuid=7d0e7b33-5738-477e-94df-9465c82ccf28"]}],"mendeley":{"formattedCitation":"(Harding et al., 2019)","plainTextFormattedCitation":"(Harding et al., 2019)","previouslyFormattedCitation":"(Harding et al., 2019)"},"properties":{"noteIndex":0},"schema":"https://github.com/citation-style-language/schema/raw/master/csl-citation.json"}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(Harding et al., 2019)</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When children have stable mental health, they are more likely to possess strong potential talents that enable them to attain academic success. Additionally, their ability to concentrate and focus on their studies improves, and they are less likely to engage in bullying behaviour at school. Therefore, it can be inferred that:</w:t>
      </w:r>
    </w:p>
    <w:p w14:paraId="16EA4F4A" w14:textId="77777777" w:rsidR="00B127E9"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cs="Times New Roman"/>
          <w:sz w:val="20"/>
          <w:szCs w:val="20"/>
        </w:rPr>
        <w:t>H1: The school environment has a positive effect on students' mental health.</w:t>
      </w:r>
    </w:p>
    <w:p w14:paraId="35F08E5E" w14:textId="6FE43448"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lastRenderedPageBreak/>
        <w:t xml:space="preserve">In addition to impacting kids' mental health, the school environment also plays a role in influencing students'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xml:space="preserve">. According to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{"citationItems":[{"id":"ITEM-1","itemData":{"abstract":"People who experience major life crises often report post-traumatic stress. However, the literature suggests that traumatic experiences can also be \"catalysts\" for positive change (i.e., posttraumatic growth; PTG). PTG can include improved relationships, new possibilities for one's life, a greater appreciation for life, a greater sense of personal strength, and spiritual development. Furthermore, it has been suggested that PTG may decrease feelings of distress following exposure to trauma. While a large number of factors may help promote PTG, others may impede the development of growth (e.g., attachment style). These factors constitute key aspects for clinicians working with victims of trauma. Thus, this review aims to present these hindering factors in order to provide guidance for trauma psychologists and future research. Résumé Les personnes qui vivent un événement stressant souffrent souvent de stress post-traumatique. Cependant, la littérature suggère que ces événements peuvent aussi être sources de changements positifs. On parle de croissance post-traumatique (ou PTG). Le PTG inclut une amélioration des relations interpersonnelles, la perception de nouvelles possibilités, une plus grande appréciation de la vie, une plus grande estime de sa force personnelle, et un accroissement de la spiritualité. De plus, il a été suggéré que le PTG pourrait décroître la détresse ressentie suite à un trauma. Cependant, tandis que de nombreux facteurs favorisent le PTG, d'autres pourraient l'entraver (par exemple, le style d'attachement). Ces facteurs sont primordiaux pour les cliniciens travaillant auprès de victimes de trauma. Ainsi, cette revue systématique a pour objectif de présenter ces facteurs entravants, de sorte à fournir une meilleure compréhension du concept et offrir de nouvelles possibilités de recherche.","author":[{"dropping-particle":"","family":"Henson","given":"Charlotte","non-dropping-particle":"","parse-names":false,"suffix":""},{"dropping-particle":"","family":"Truchot","given":"Didier","non-dropping-particle":"","parse-names":false,"suffix":""},{"dropping-particle":"","family":"Canevello","given":"Amy","non-dropping-particle":"","parse-names":false,"suffix":""}],"id":"ITEM-1","issued":{"date-parts":[["2022"]]},"title":"Factors That Hinder Posttraumatic Growth: A Systematic Review Les facteurs qui entravent la croissance post-traumatique : Une revue systématique","type":"article-journal"},"uris":["http://www.mendeley.com/documents/?uuid=4647883e-f9dc-4fca-9168-e081b35e030e"]}],"mendeley":{"formattedCitation":"(Henson, Truchot, &amp; Canevello, 2022)","manualFormatting":"Henson et al. (2022)","plainTextFormattedCitation":"(Henson, Truchot, &amp; Canevello, 2022)","previouslyFormattedCitation":"(Henson, Truchot, &amp; Canevello, 2022)"},"properties":{"noteIndex":0},"schema":"https://github.com/citation-style-language/schema/raw/master/csl-citation.json"}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Henson et al. (2022)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xml:space="preserve"> is a phenomenon characterised by several changes that occur following a traumatic incident. These changes encompass spiritual and biological development, as well as the development of personal strength.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xml:space="preserve">, often referred to as stress-related growth, is a type of personal development that occurs </w:t>
      </w:r>
      <w:proofErr w:type="gramStart"/>
      <w:r w:rsidRPr="00ED7521">
        <w:rPr>
          <w:rFonts w:ascii="Palatino Linotype" w:hAnsi="Palatino Linotype" w:cs="Times New Roman"/>
          <w:sz w:val="20"/>
          <w:szCs w:val="20"/>
        </w:rPr>
        <w:t>as a result of</w:t>
      </w:r>
      <w:proofErr w:type="gramEnd"/>
      <w:r w:rsidRPr="00ED7521">
        <w:rPr>
          <w:rFonts w:ascii="Palatino Linotype" w:hAnsi="Palatino Linotype" w:cs="Times New Roman"/>
          <w:sz w:val="20"/>
          <w:szCs w:val="20"/>
        </w:rPr>
        <w:t xml:space="preserve"> facing and overcoming problems, making positive progress, and experiencing psychological growth. Post-traumatic growth refers to the beneficial psychological transformations that occur when individuals confront and overcome significant life challenges. The school environment plays a crucial role in offering guidance and direction from teachers, as well as peer support, to students who have experienced a traumatic event.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10.1016/j.childyouth.2019.104691","ISSN":"0190-7409","author":[{"dropping-particle":"","family":"Fondren","given":"Kaitlin","non-dropping-particle":"","parse-names":false,"suffix":""},{"dropping-particle":"","family":"Lawson","given":"Monica","non-dropping-particle":"","parse-names":false,"suffix":""},{"dropping-particle":"","family":"Speidel","given":"Ruth","non-dropping-particle":"","parse-names":false,"suffix":""},{"dropping-particle":"","family":"Mcdonnell","given":"Christina G","non-dropping-particle":"","parse-names":false,"suffix":""},{"dropping-particle":"","family":"Valentino","given":"Kristin","non-dropping-particle":"","parse-names":false,"suffix":""},{"dropping-particle":"","family":"Dame","given":"Notre","non-dropping-particle":"","parse-names":false,"suffix":""},{"dropping-particle":"","family":"States","given":"United","non-dropping-particle":"","parse-names":false,"suffix":""}],"container-title":"Children and Youth Services Review","id":"ITEM-1","issue":"August 2019","issued":{"date-parts":[["2020"]]},"page":"104691","publisher":"Elsevier","title":"Children and Youth Services Review Buffering the effects of childhood trauma within the school setting : A systematic review of trauma-informed and trauma-responsive interventions among trauma-affected youth","type":"article-journal","volume":"109"},"uris":["http://www.mendeley.com/documents/?uuid=92b391f4-e48d-49fa-828e-e898bd1d6dfa"]}],"mendeley":{"formattedCitation":"(Fondren et al., 2020)","manualFormatting":"Fondren et al. (2020)","plainTextFormattedCitation":"(Fondren et al., 2020)","previouslyFormattedCitation":"(Fondren et al., 2020)"},"properties":{"noteIndex":0},"schema":"https://github.com/citation-style-language/schema/raw/master/csl-citation.json"}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Fondren et al. (2020)</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found that the school environment has a notable impact on students'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This influence is mediated by an inclusive school environment, which fosters a sense of security and comfort. Such an environment helps students alleviate anxiety and facilitates their recovery from traumatic experiences. Therefore, it can be inferred that:</w:t>
      </w:r>
    </w:p>
    <w:p w14:paraId="1663DEB9" w14:textId="63BC8C86" w:rsidR="00727D5A"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cs="Times New Roman"/>
          <w:sz w:val="20"/>
          <w:szCs w:val="20"/>
        </w:rPr>
        <w:t xml:space="preserve">H2: The school environment has a positive effect on students'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w:t>
      </w:r>
    </w:p>
    <w:p w14:paraId="10642678" w14:textId="77777777" w:rsidR="005B5AEC" w:rsidRPr="00ED7521" w:rsidRDefault="005B5AEC" w:rsidP="005B5AEC">
      <w:pPr>
        <w:pStyle w:val="Alishlah21heading1"/>
        <w:rPr>
          <w:rFonts w:eastAsia="Arial"/>
        </w:rPr>
      </w:pPr>
      <w:r w:rsidRPr="00ED7521">
        <w:rPr>
          <w:rFonts w:eastAsia="Arial"/>
        </w:rPr>
        <w:t xml:space="preserve">METHODS </w:t>
      </w:r>
    </w:p>
    <w:p w14:paraId="3CB8EFC2" w14:textId="3EC8E7FC" w:rsidR="00B127E9" w:rsidRPr="00ED7521" w:rsidRDefault="00B127E9" w:rsidP="00B127E9">
      <w:pPr>
        <w:pStyle w:val="Alishlah21heading1"/>
        <w:numPr>
          <w:ilvl w:val="0"/>
          <w:numId w:val="0"/>
        </w:numPr>
        <w:spacing w:line="276" w:lineRule="auto"/>
        <w:ind w:firstLine="425"/>
        <w:jc w:val="both"/>
        <w:rPr>
          <w:b w:val="0"/>
          <w:bCs/>
        </w:rPr>
      </w:pPr>
      <w:r w:rsidRPr="00ED7521">
        <w:rPr>
          <w:b w:val="0"/>
          <w:bCs/>
        </w:rPr>
        <w:t xml:space="preserve">This study employs a quantitative research design with a descriptive quantitative approach. The method examines the relationships between variables and formaluates hypotheses for each variable </w:t>
      </w:r>
      <w:r w:rsidRPr="00ED7521">
        <w:rPr>
          <w:b w:val="0"/>
          <w:bCs/>
        </w:rPr>
        <w:fldChar w:fldCharType="begin" w:fldLock="1"/>
      </w:r>
      <w:r w:rsidRPr="00ED7521">
        <w:rPr>
          <w:b w:val="0"/>
          <w:bCs/>
        </w:rPr>
        <w:instrText>ADDIN CSL_CITATION {"citationItems":[{"id":"ITEM-1","itemData":{"DOI":"10.1016/j.metip.2023.100115","ISSN":"25902601","abstract":"The creative use of mixed methods is one way in which research designs can embrace and support the use of complex theoretical frameworks, such as those often used in psychology research. This manuscript explores a mixed methods engineering education study that leveraged artifact-based interviewing to elevate data collection. Artifacts from the quantitative phase of the mixed methods research were visually represented in follow-up interviews. The use of quantitative artifacts as visual aids in interviews improved the quality of interview data, as they gave participants language and imagery to dynamically create data in the interview. This integration aligned interview discussions with the theoretical foundations of the study while maintaining an engaging interview environment.","author":[{"dropping-particle":"","family":"Wallwey","given":"Cassie","non-dropping-particle":"","parse-names":false,"suffix":""},{"dropping-particle":"","family":"Kajfez","given":"Rachel L.","non-dropping-particle":"","parse-names":false,"suffix":""}],"container-title":"Methods in Psychology","id":"ITEM-1","issue":"February","issued":{"date-parts":[["2023"]]},"page":"100115","publisher":"Elsevier Ltd","title":"Quantitative research artifacts as qualitative data collection techniques in a mixed methods research study","type":"article-journal","volume":"8"},"uris":["http://www.mendeley.com/documents/?uuid=b6f75b47-778b-472b-9065-02473e2093f6"]}],"mendeley":{"formattedCitation":"(Wallwey &amp; Kajfez, 2023)","plainTextFormattedCitation":"(Wallwey &amp; Kajfez, 2023)","previouslyFormattedCitation":"(Wallwey &amp; Kajfez, 2023)"},"properties":{"noteIndex":0},"schema":"https://github.com/citation-style-language/schema/raw/master/csl-citation.json"}</w:instrText>
      </w:r>
      <w:r w:rsidRPr="00ED7521">
        <w:rPr>
          <w:b w:val="0"/>
          <w:bCs/>
        </w:rPr>
        <w:fldChar w:fldCharType="separate"/>
      </w:r>
      <w:r w:rsidRPr="00ED7521">
        <w:rPr>
          <w:b w:val="0"/>
          <w:bCs/>
          <w:noProof/>
        </w:rPr>
        <w:t>(Wallwey &amp; Kajfez, 2023)</w:t>
      </w:r>
      <w:r w:rsidRPr="00ED7521">
        <w:rPr>
          <w:b w:val="0"/>
          <w:bCs/>
        </w:rPr>
        <w:fldChar w:fldCharType="end"/>
      </w:r>
      <w:r w:rsidRPr="00ED7521">
        <w:rPr>
          <w:b w:val="0"/>
          <w:bCs/>
        </w:rPr>
        <w:t xml:space="preserve">. It facilitates the collection and analysis of data to assess the effectiveness of the school environment in supporting students’ mental health and </w:t>
      </w:r>
      <w:r w:rsidRPr="00741B7F">
        <w:rPr>
          <w:b w:val="0"/>
          <w:bCs/>
          <w:i/>
          <w:iCs/>
        </w:rPr>
        <w:t>post-tramatic growth</w:t>
      </w:r>
      <w:r w:rsidRPr="00ED7521">
        <w:rPr>
          <w:b w:val="0"/>
          <w:bCs/>
        </w:rPr>
        <w:t xml:space="preserve">. Descriptive quantitative methods involve describing situstions, events, or individuals by focusing on one or multiple variables </w:t>
      </w:r>
      <w:r w:rsidRPr="00ED7521">
        <w:rPr>
          <w:b w:val="0"/>
          <w:bCs/>
        </w:rPr>
        <w:fldChar w:fldCharType="begin" w:fldLock="1"/>
      </w:r>
      <w:r w:rsidRPr="00ED7521">
        <w:rPr>
          <w:b w:val="0"/>
          <w:bCs/>
        </w:rPr>
        <w:instrText>ADDIN CSL_CITATION {"citationItems":[{"id":"ITEM-1","itemData":{"DOI":"10.1097/NUR.0000000000000493","ISBN":"0000000000000","ISSN":"15389782","PMID":"31789957","author":[{"dropping-particle":"","family":"Siedlecki","given":"Sandra L.","non-dropping-particle":"","parse-names":false,"suffix":""}],"container-title":"Clinical Nurse Specialist","id":"ITEM-1","issue":"1","issued":{"date-parts":[["2020"]]},"page":"8-12","title":"Understanding Descriptive Research Designs and Methods","type":"article-journal","volume":"34"},"uris":["http://www.mendeley.com/documents/?uuid=ac2f8dca-5682-47f1-ba62-4e624ff6b9ca"]}],"mendeley":{"formattedCitation":"(Siedlecki, 2020)","plainTextFormattedCitation":"(Siedlecki, 2020)","previouslyFormattedCitation":"(Siedlecki, 2020)"},"properties":{"noteIndex":0},"schema":"https://github.com/citation-style-language/schema/raw/master/csl-citation.json"}</w:instrText>
      </w:r>
      <w:r w:rsidRPr="00ED7521">
        <w:rPr>
          <w:b w:val="0"/>
          <w:bCs/>
        </w:rPr>
        <w:fldChar w:fldCharType="separate"/>
      </w:r>
      <w:r w:rsidRPr="00ED7521">
        <w:rPr>
          <w:b w:val="0"/>
          <w:bCs/>
          <w:noProof/>
        </w:rPr>
        <w:t>(Siedlecki, 2020)</w:t>
      </w:r>
      <w:r w:rsidRPr="00ED7521">
        <w:rPr>
          <w:b w:val="0"/>
          <w:bCs/>
        </w:rPr>
        <w:fldChar w:fldCharType="end"/>
      </w:r>
      <w:r w:rsidRPr="00ED7521">
        <w:rPr>
          <w:b w:val="0"/>
          <w:bCs/>
        </w:rPr>
        <w:t xml:space="preserve">. This study examines thr relationship between the school environment and children’s mental health and post-traumatic growth. Data were collected trough offline questionnaires using random sampling, as outlined by </w:t>
      </w:r>
      <w:r w:rsidRPr="00ED7521">
        <w:rPr>
          <w:b w:val="0"/>
          <w:bCs/>
        </w:rPr>
        <w:fldChar w:fldCharType="begin" w:fldLock="1"/>
      </w:r>
      <w:r w:rsidR="00ED7521">
        <w:rPr>
          <w:b w:val="0"/>
          <w:bCs/>
        </w:rPr>
        <w:instrText>ADDIN CSL_CITATION {"citationItems":[{"id":"ITEM-1","itemData":{"author":[{"dropping-particle":"","family":"Noor","given":"Shagofah","non-dropping-particle":"","parse-names":false,"suffix":""},{"dropping-particle":"","family":"Tajik","given":"Omid","non-dropping-particle":"","parse-names":false,"suffix":""},{"dropping-particle":"","family":"Golzar","given":"Jawad","non-dropping-particle":"","parse-names":false,"suffix":""}],"container-title":"International Journal of Education &amp; Language Studies","id":"ITEM-1","issue":"November","issued":{"date-parts":[["2022"]]},"page":"78-82","title":"Simple Random Sampling","type":"article-journal","volume":"1"},"uris":["http://www.mendeley.com/documents/?uuid=1615a984-f4ba-47ac-ab47-6a01a756d2b3"]}],"mendeley":{"formattedCitation":"(Noor, Tajik, &amp; Golzar, 2022)","plainTextFormattedCitation":"(Noor, Tajik, &amp; Golzar, 2022)","previouslyFormattedCitation":"(Noor, Tajik, &amp; Golzar, 2022)"},"properties":{"noteIndex":0},"schema":"https://github.com/citation-style-language/schema/raw/master/csl-citation.json"}</w:instrText>
      </w:r>
      <w:r w:rsidRPr="00ED7521">
        <w:rPr>
          <w:b w:val="0"/>
          <w:bCs/>
        </w:rPr>
        <w:fldChar w:fldCharType="separate"/>
      </w:r>
      <w:r w:rsidR="00ED7521" w:rsidRPr="00ED7521">
        <w:rPr>
          <w:b w:val="0"/>
          <w:bCs/>
          <w:noProof/>
        </w:rPr>
        <w:t>(Noor, Tajik, &amp; Golzar, 2022)</w:t>
      </w:r>
      <w:r w:rsidRPr="00ED7521">
        <w:rPr>
          <w:b w:val="0"/>
          <w:bCs/>
        </w:rPr>
        <w:fldChar w:fldCharType="end"/>
      </w:r>
      <w:r w:rsidRPr="00ED7521">
        <w:rPr>
          <w:b w:val="0"/>
          <w:bCs/>
        </w:rPr>
        <w:t xml:space="preserve">. The sample included all class XI and XII students at MA Taruna Al-Qur’an, resulting in approximately 210 responses. A carefully designed quastionnaire was administered, prompting respondents to express their agreement or disagreement with the given statements.  </w:t>
      </w:r>
    </w:p>
    <w:p w14:paraId="4A1EAFA5"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1. </w:t>
      </w:r>
      <w:r w:rsidRPr="00ED7521">
        <w:rPr>
          <w:rFonts w:ascii="Palatino Linotype" w:hAnsi="Palatino Linotype" w:cs="Times New Roman"/>
          <w:sz w:val="20"/>
          <w:szCs w:val="20"/>
        </w:rPr>
        <w:t>Population and Sample</w:t>
      </w:r>
    </w:p>
    <w:tbl>
      <w:tblPr>
        <w:tblW w:w="6662" w:type="dxa"/>
        <w:tblInd w:w="14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90"/>
        <w:gridCol w:w="3572"/>
      </w:tblGrid>
      <w:tr w:rsidR="00B127E9" w:rsidRPr="00ED7521" w14:paraId="6BE83004" w14:textId="77777777" w:rsidTr="002E1874">
        <w:trPr>
          <w:trHeight w:val="303"/>
        </w:trPr>
        <w:tc>
          <w:tcPr>
            <w:tcW w:w="3090" w:type="dxa"/>
            <w:tcBorders>
              <w:bottom w:val="single" w:sz="4" w:space="0" w:color="auto"/>
            </w:tcBorders>
            <w:shd w:val="clear" w:color="auto" w:fill="DEEAF6" w:themeFill="accent5" w:themeFillTint="33"/>
            <w:vAlign w:val="center"/>
          </w:tcPr>
          <w:p w14:paraId="1645304D" w14:textId="77777777" w:rsidR="00B127E9" w:rsidRPr="00ED7521" w:rsidRDefault="00B127E9" w:rsidP="002E1874">
            <w:pPr>
              <w:spacing w:line="240" w:lineRule="auto"/>
              <w:jc w:val="center"/>
              <w:rPr>
                <w:rFonts w:ascii="Palatino Linotype" w:hAnsi="Palatino Linotype" w:cs="Times New Roman"/>
                <w:b/>
                <w:bCs/>
                <w:sz w:val="20"/>
                <w:szCs w:val="20"/>
              </w:rPr>
            </w:pPr>
            <w:r w:rsidRPr="00ED7521">
              <w:rPr>
                <w:rFonts w:ascii="Palatino Linotype" w:hAnsi="Palatino Linotype" w:cs="Times New Roman"/>
                <w:b/>
                <w:bCs/>
                <w:sz w:val="20"/>
                <w:szCs w:val="20"/>
              </w:rPr>
              <w:t>Class</w:t>
            </w:r>
          </w:p>
        </w:tc>
        <w:tc>
          <w:tcPr>
            <w:tcW w:w="3572" w:type="dxa"/>
            <w:tcBorders>
              <w:bottom w:val="single" w:sz="4" w:space="0" w:color="auto"/>
            </w:tcBorders>
            <w:shd w:val="clear" w:color="auto" w:fill="DEEAF6" w:themeFill="accent5" w:themeFillTint="33"/>
            <w:vAlign w:val="center"/>
          </w:tcPr>
          <w:p w14:paraId="775AA7E7" w14:textId="77777777" w:rsidR="00B127E9" w:rsidRPr="00ED7521" w:rsidRDefault="00B127E9" w:rsidP="002E1874">
            <w:pPr>
              <w:spacing w:line="240" w:lineRule="auto"/>
              <w:jc w:val="center"/>
              <w:rPr>
                <w:rFonts w:ascii="Palatino Linotype" w:hAnsi="Palatino Linotype" w:cs="Times New Roman"/>
                <w:b/>
                <w:bCs/>
                <w:sz w:val="20"/>
                <w:szCs w:val="20"/>
              </w:rPr>
            </w:pPr>
            <w:r w:rsidRPr="00ED7521">
              <w:rPr>
                <w:rFonts w:ascii="Palatino Linotype" w:hAnsi="Palatino Linotype" w:cs="Times New Roman"/>
                <w:b/>
                <w:bCs/>
                <w:sz w:val="20"/>
                <w:szCs w:val="20"/>
              </w:rPr>
              <w:t>Number of Students</w:t>
            </w:r>
          </w:p>
        </w:tc>
      </w:tr>
      <w:tr w:rsidR="00B127E9" w:rsidRPr="00ED7521" w14:paraId="5289CD26" w14:textId="77777777" w:rsidTr="002E1874">
        <w:trPr>
          <w:trHeight w:val="112"/>
        </w:trPr>
        <w:tc>
          <w:tcPr>
            <w:tcW w:w="3090" w:type="dxa"/>
            <w:tcBorders>
              <w:bottom w:val="nil"/>
            </w:tcBorders>
            <w:shd w:val="clear" w:color="auto" w:fill="auto"/>
            <w:vAlign w:val="center"/>
          </w:tcPr>
          <w:p w14:paraId="45870742"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XI</w:t>
            </w:r>
          </w:p>
        </w:tc>
        <w:tc>
          <w:tcPr>
            <w:tcW w:w="3572" w:type="dxa"/>
            <w:tcBorders>
              <w:bottom w:val="nil"/>
            </w:tcBorders>
            <w:shd w:val="clear" w:color="auto" w:fill="auto"/>
            <w:vAlign w:val="center"/>
          </w:tcPr>
          <w:p w14:paraId="682E47EA"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115</w:t>
            </w:r>
          </w:p>
        </w:tc>
      </w:tr>
      <w:tr w:rsidR="00B127E9" w:rsidRPr="00ED7521" w14:paraId="187FBFE7" w14:textId="77777777" w:rsidTr="002E1874">
        <w:trPr>
          <w:trHeight w:val="269"/>
        </w:trPr>
        <w:tc>
          <w:tcPr>
            <w:tcW w:w="3090" w:type="dxa"/>
            <w:tcBorders>
              <w:top w:val="nil"/>
            </w:tcBorders>
            <w:shd w:val="clear" w:color="auto" w:fill="auto"/>
            <w:vAlign w:val="center"/>
          </w:tcPr>
          <w:p w14:paraId="0B900F49"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XII</w:t>
            </w:r>
          </w:p>
        </w:tc>
        <w:tc>
          <w:tcPr>
            <w:tcW w:w="3572" w:type="dxa"/>
            <w:tcBorders>
              <w:top w:val="nil"/>
            </w:tcBorders>
            <w:shd w:val="clear" w:color="auto" w:fill="auto"/>
            <w:vAlign w:val="center"/>
          </w:tcPr>
          <w:p w14:paraId="30A72D40"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95</w:t>
            </w:r>
          </w:p>
        </w:tc>
      </w:tr>
      <w:tr w:rsidR="00B127E9" w:rsidRPr="00ED7521" w14:paraId="0AF88A8D" w14:textId="77777777" w:rsidTr="002E1874">
        <w:trPr>
          <w:trHeight w:val="185"/>
        </w:trPr>
        <w:tc>
          <w:tcPr>
            <w:tcW w:w="3090" w:type="dxa"/>
            <w:shd w:val="clear" w:color="auto" w:fill="auto"/>
            <w:vAlign w:val="center"/>
          </w:tcPr>
          <w:p w14:paraId="77F1B79D"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Sample Quantity</w:t>
            </w:r>
          </w:p>
        </w:tc>
        <w:tc>
          <w:tcPr>
            <w:tcW w:w="3572" w:type="dxa"/>
            <w:shd w:val="clear" w:color="auto" w:fill="auto"/>
            <w:vAlign w:val="center"/>
          </w:tcPr>
          <w:p w14:paraId="0F1DF2CE" w14:textId="77777777" w:rsidR="00B127E9" w:rsidRPr="00ED7521" w:rsidRDefault="00B127E9" w:rsidP="002E1874">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210</w:t>
            </w:r>
          </w:p>
        </w:tc>
      </w:tr>
    </w:tbl>
    <w:p w14:paraId="7BE80229" w14:textId="77777777" w:rsidR="00B127E9" w:rsidRPr="00ED7521" w:rsidRDefault="00B127E9" w:rsidP="00B127E9">
      <w:pPr>
        <w:autoSpaceDE w:val="0"/>
        <w:autoSpaceDN w:val="0"/>
        <w:adjustRightInd w:val="0"/>
        <w:spacing w:after="0" w:line="240" w:lineRule="auto"/>
        <w:ind w:firstLine="851"/>
        <w:jc w:val="both"/>
        <w:rPr>
          <w:rFonts w:ascii="Palatino Linotype" w:hAnsi="Palatino Linotype" w:cs="Times New Roman"/>
          <w:sz w:val="24"/>
          <w:szCs w:val="24"/>
        </w:rPr>
      </w:pPr>
    </w:p>
    <w:p w14:paraId="6655C170" w14:textId="77777777" w:rsidR="00B127E9" w:rsidRPr="00ED7521" w:rsidRDefault="00B127E9" w:rsidP="00B127E9">
      <w:pPr>
        <w:spacing w:line="276" w:lineRule="auto"/>
        <w:jc w:val="both"/>
        <w:rPr>
          <w:rFonts w:ascii="Palatino Linotype" w:hAnsi="Palatino Linotype" w:cs="Times New Roman"/>
          <w:b/>
          <w:bCs/>
          <w:sz w:val="20"/>
          <w:szCs w:val="20"/>
        </w:rPr>
      </w:pPr>
      <w:r w:rsidRPr="00ED7521">
        <w:rPr>
          <w:rFonts w:ascii="Palatino Linotype" w:hAnsi="Palatino Linotype" w:cs="Times New Roman"/>
          <w:b/>
          <w:bCs/>
          <w:sz w:val="20"/>
          <w:szCs w:val="20"/>
        </w:rPr>
        <w:t>Measures and Instruments</w:t>
      </w:r>
    </w:p>
    <w:p w14:paraId="02EAD197" w14:textId="77777777" w:rsidR="00B127E9" w:rsidRPr="00ED7521" w:rsidRDefault="00B127E9" w:rsidP="00B127E9">
      <w:pPr>
        <w:pStyle w:val="BodyText2"/>
        <w:spacing w:line="276" w:lineRule="auto"/>
        <w:jc w:val="both"/>
        <w:rPr>
          <w:rFonts w:ascii="Palatino Linotype" w:hAnsi="Palatino Linotype"/>
          <w:sz w:val="20"/>
          <w:szCs w:val="20"/>
        </w:rPr>
      </w:pPr>
      <w:r w:rsidRPr="00ED7521">
        <w:rPr>
          <w:rFonts w:ascii="Palatino Linotype" w:hAnsi="Palatino Linotype"/>
          <w:sz w:val="20"/>
          <w:szCs w:val="20"/>
        </w:rPr>
        <w:tab/>
      </w:r>
      <w:proofErr w:type="gramStart"/>
      <w:r w:rsidRPr="00ED7521">
        <w:rPr>
          <w:rFonts w:ascii="Palatino Linotype" w:hAnsi="Palatino Linotype"/>
          <w:sz w:val="20"/>
          <w:szCs w:val="20"/>
        </w:rPr>
        <w:t>In order to</w:t>
      </w:r>
      <w:proofErr w:type="gramEnd"/>
      <w:r w:rsidRPr="00ED7521">
        <w:rPr>
          <w:rFonts w:ascii="Palatino Linotype" w:hAnsi="Palatino Linotype"/>
          <w:sz w:val="20"/>
          <w:szCs w:val="20"/>
        </w:rPr>
        <w:t xml:space="preserve"> gather substantial data, this study utilised an offline questionnaire administered at the school. The questionnaire consisted of multiple items, each accompanied by a checklist that allowed respondents to indicate their perception-based answers. The questionnaire employed a Likert scale to assess the assertions. Respondents indicated their level of agreement by selecting one of the following options: strongly agree, agree, doubtful, disagree, or strongly disagree.</w:t>
      </w:r>
    </w:p>
    <w:p w14:paraId="0577308D" w14:textId="77777777" w:rsidR="00B127E9"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cs="Times New Roman"/>
          <w:b/>
          <w:bCs/>
          <w:sz w:val="20"/>
          <w:szCs w:val="20"/>
        </w:rPr>
        <w:lastRenderedPageBreak/>
        <w:t xml:space="preserve">Table </w:t>
      </w:r>
      <w:proofErr w:type="gramStart"/>
      <w:r w:rsidRPr="00ED7521">
        <w:rPr>
          <w:rFonts w:ascii="Palatino Linotype" w:hAnsi="Palatino Linotype" w:cs="Times New Roman"/>
          <w:b/>
          <w:bCs/>
          <w:sz w:val="20"/>
          <w:szCs w:val="20"/>
        </w:rPr>
        <w:t xml:space="preserve">2 </w:t>
      </w:r>
      <w:r w:rsidRPr="00ED7521">
        <w:rPr>
          <w:rFonts w:ascii="Palatino Linotype" w:hAnsi="Palatino Linotype" w:cs="Times New Roman"/>
          <w:sz w:val="20"/>
          <w:szCs w:val="20"/>
        </w:rPr>
        <w:t>.</w:t>
      </w:r>
      <w:proofErr w:type="gramEnd"/>
      <w:r w:rsidRPr="00ED7521">
        <w:rPr>
          <w:rFonts w:ascii="Palatino Linotype" w:hAnsi="Palatino Linotype" w:cs="Times New Roman"/>
          <w:sz w:val="20"/>
          <w:szCs w:val="20"/>
        </w:rPr>
        <w:t xml:space="preserve"> Likert Scale</w:t>
      </w:r>
    </w:p>
    <w:tbl>
      <w:tblPr>
        <w:tblW w:w="0" w:type="auto"/>
        <w:tblInd w:w="1418" w:type="dxa"/>
        <w:tblBorders>
          <w:top w:val="single" w:sz="4" w:space="0" w:color="auto"/>
          <w:bottom w:val="single" w:sz="4" w:space="0" w:color="auto"/>
          <w:insideH w:val="single" w:sz="4" w:space="0" w:color="auto"/>
        </w:tblBorders>
        <w:tblLook w:val="04A0" w:firstRow="1" w:lastRow="0" w:firstColumn="1" w:lastColumn="0" w:noHBand="0" w:noVBand="1"/>
      </w:tblPr>
      <w:tblGrid>
        <w:gridCol w:w="2263"/>
        <w:gridCol w:w="2131"/>
        <w:gridCol w:w="1985"/>
      </w:tblGrid>
      <w:tr w:rsidR="00B127E9" w:rsidRPr="00ED7521" w14:paraId="1246D921" w14:textId="77777777" w:rsidTr="002E1874">
        <w:trPr>
          <w:trHeight w:val="225"/>
        </w:trPr>
        <w:tc>
          <w:tcPr>
            <w:tcW w:w="2263" w:type="dxa"/>
            <w:vMerge w:val="restart"/>
            <w:shd w:val="clear" w:color="auto" w:fill="D9E2F3"/>
            <w:vAlign w:val="center"/>
          </w:tcPr>
          <w:p w14:paraId="488E4886" w14:textId="77777777" w:rsidR="00B127E9" w:rsidRPr="00ED7521" w:rsidRDefault="00B127E9" w:rsidP="00741B7F">
            <w:pPr>
              <w:spacing w:line="240" w:lineRule="auto"/>
              <w:jc w:val="both"/>
              <w:rPr>
                <w:rFonts w:ascii="Palatino Linotype" w:hAnsi="Palatino Linotype" w:cs="Times New Roman"/>
                <w:b/>
                <w:bCs/>
                <w:sz w:val="20"/>
                <w:szCs w:val="20"/>
              </w:rPr>
            </w:pPr>
            <w:r w:rsidRPr="00ED7521">
              <w:rPr>
                <w:rFonts w:ascii="Palatino Linotype" w:hAnsi="Palatino Linotype" w:cs="Times New Roman"/>
                <w:b/>
                <w:bCs/>
                <w:sz w:val="20"/>
                <w:szCs w:val="20"/>
              </w:rPr>
              <w:t>ANSWER</w:t>
            </w:r>
          </w:p>
        </w:tc>
        <w:tc>
          <w:tcPr>
            <w:tcW w:w="4116" w:type="dxa"/>
            <w:gridSpan w:val="2"/>
            <w:shd w:val="clear" w:color="auto" w:fill="D9E2F3"/>
            <w:vAlign w:val="center"/>
          </w:tcPr>
          <w:p w14:paraId="1581091A" w14:textId="77777777" w:rsidR="00B127E9" w:rsidRPr="00ED7521" w:rsidRDefault="00B127E9" w:rsidP="00741B7F">
            <w:pPr>
              <w:spacing w:line="240" w:lineRule="auto"/>
              <w:jc w:val="both"/>
              <w:rPr>
                <w:rFonts w:ascii="Palatino Linotype" w:hAnsi="Palatino Linotype" w:cs="Times New Roman"/>
                <w:b/>
                <w:bCs/>
                <w:sz w:val="20"/>
                <w:szCs w:val="20"/>
              </w:rPr>
            </w:pPr>
            <w:r w:rsidRPr="00ED7521">
              <w:rPr>
                <w:rFonts w:ascii="Palatino Linotype" w:hAnsi="Palatino Linotype" w:cs="Times New Roman"/>
                <w:b/>
                <w:bCs/>
                <w:sz w:val="20"/>
                <w:szCs w:val="20"/>
              </w:rPr>
              <w:t>QUESTIONS</w:t>
            </w:r>
          </w:p>
        </w:tc>
      </w:tr>
      <w:tr w:rsidR="00B127E9" w:rsidRPr="00ED7521" w14:paraId="3AC398C1" w14:textId="77777777" w:rsidTr="002E1874">
        <w:trPr>
          <w:trHeight w:val="75"/>
        </w:trPr>
        <w:tc>
          <w:tcPr>
            <w:tcW w:w="2263" w:type="dxa"/>
            <w:vMerge/>
            <w:tcBorders>
              <w:bottom w:val="single" w:sz="4" w:space="0" w:color="auto"/>
            </w:tcBorders>
            <w:shd w:val="clear" w:color="auto" w:fill="D9E2F3"/>
            <w:vAlign w:val="center"/>
          </w:tcPr>
          <w:p w14:paraId="430480AF" w14:textId="77777777" w:rsidR="00B127E9" w:rsidRPr="00ED7521" w:rsidRDefault="00B127E9" w:rsidP="00741B7F">
            <w:pPr>
              <w:spacing w:line="240" w:lineRule="auto"/>
              <w:jc w:val="both"/>
              <w:rPr>
                <w:rFonts w:ascii="Palatino Linotype" w:hAnsi="Palatino Linotype" w:cs="Times New Roman"/>
                <w:sz w:val="20"/>
                <w:szCs w:val="20"/>
              </w:rPr>
            </w:pPr>
          </w:p>
        </w:tc>
        <w:tc>
          <w:tcPr>
            <w:tcW w:w="2131" w:type="dxa"/>
            <w:tcBorders>
              <w:bottom w:val="single" w:sz="4" w:space="0" w:color="auto"/>
            </w:tcBorders>
            <w:shd w:val="clear" w:color="auto" w:fill="D9E2F3"/>
            <w:vAlign w:val="center"/>
          </w:tcPr>
          <w:p w14:paraId="1EC98E2C" w14:textId="77777777" w:rsidR="00B127E9" w:rsidRPr="00ED7521" w:rsidRDefault="00B127E9" w:rsidP="00741B7F">
            <w:pPr>
              <w:spacing w:line="240" w:lineRule="auto"/>
              <w:jc w:val="both"/>
              <w:rPr>
                <w:rFonts w:ascii="Palatino Linotype" w:hAnsi="Palatino Linotype" w:cs="Times New Roman"/>
                <w:b/>
                <w:bCs/>
                <w:sz w:val="20"/>
                <w:szCs w:val="20"/>
              </w:rPr>
            </w:pPr>
            <w:r w:rsidRPr="00ED7521">
              <w:rPr>
                <w:rFonts w:ascii="Palatino Linotype" w:hAnsi="Palatino Linotype" w:cs="Times New Roman"/>
                <w:b/>
                <w:bCs/>
                <w:sz w:val="20"/>
                <w:szCs w:val="20"/>
              </w:rPr>
              <w:t>Favorable</w:t>
            </w:r>
          </w:p>
        </w:tc>
        <w:tc>
          <w:tcPr>
            <w:tcW w:w="1985" w:type="dxa"/>
            <w:tcBorders>
              <w:bottom w:val="single" w:sz="4" w:space="0" w:color="auto"/>
            </w:tcBorders>
            <w:shd w:val="clear" w:color="auto" w:fill="D9E2F3"/>
            <w:vAlign w:val="center"/>
          </w:tcPr>
          <w:p w14:paraId="355FE43C" w14:textId="77777777" w:rsidR="00B127E9" w:rsidRPr="00ED7521" w:rsidRDefault="00B127E9" w:rsidP="00741B7F">
            <w:pPr>
              <w:spacing w:line="240" w:lineRule="auto"/>
              <w:jc w:val="both"/>
              <w:rPr>
                <w:rFonts w:ascii="Palatino Linotype" w:hAnsi="Palatino Linotype" w:cs="Times New Roman"/>
                <w:b/>
                <w:bCs/>
                <w:sz w:val="20"/>
                <w:szCs w:val="20"/>
              </w:rPr>
            </w:pPr>
            <w:r w:rsidRPr="00ED7521">
              <w:rPr>
                <w:rFonts w:ascii="Palatino Linotype" w:hAnsi="Palatino Linotype" w:cs="Times New Roman"/>
                <w:b/>
                <w:bCs/>
                <w:sz w:val="20"/>
                <w:szCs w:val="20"/>
              </w:rPr>
              <w:t>Unfavorable</w:t>
            </w:r>
          </w:p>
        </w:tc>
      </w:tr>
      <w:tr w:rsidR="00B127E9" w:rsidRPr="00ED7521" w14:paraId="5BB0E2A8" w14:textId="77777777" w:rsidTr="002E1874">
        <w:trPr>
          <w:trHeight w:val="83"/>
        </w:trPr>
        <w:tc>
          <w:tcPr>
            <w:tcW w:w="2263" w:type="dxa"/>
            <w:tcBorders>
              <w:bottom w:val="nil"/>
            </w:tcBorders>
            <w:shd w:val="clear" w:color="auto" w:fill="auto"/>
          </w:tcPr>
          <w:p w14:paraId="7CC7FE79"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Strongly Agree</w:t>
            </w:r>
          </w:p>
        </w:tc>
        <w:tc>
          <w:tcPr>
            <w:tcW w:w="2131" w:type="dxa"/>
            <w:tcBorders>
              <w:bottom w:val="nil"/>
            </w:tcBorders>
            <w:shd w:val="clear" w:color="auto" w:fill="auto"/>
            <w:vAlign w:val="center"/>
          </w:tcPr>
          <w:p w14:paraId="1F7A6A69"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5</w:t>
            </w:r>
          </w:p>
        </w:tc>
        <w:tc>
          <w:tcPr>
            <w:tcW w:w="1985" w:type="dxa"/>
            <w:tcBorders>
              <w:bottom w:val="nil"/>
            </w:tcBorders>
            <w:shd w:val="clear" w:color="auto" w:fill="auto"/>
            <w:vAlign w:val="center"/>
          </w:tcPr>
          <w:p w14:paraId="3650FAC3"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1</w:t>
            </w:r>
          </w:p>
        </w:tc>
      </w:tr>
      <w:tr w:rsidR="00B127E9" w:rsidRPr="00ED7521" w14:paraId="318A4BCA" w14:textId="77777777" w:rsidTr="002E1874">
        <w:tc>
          <w:tcPr>
            <w:tcW w:w="2263" w:type="dxa"/>
            <w:tcBorders>
              <w:top w:val="nil"/>
              <w:bottom w:val="nil"/>
            </w:tcBorders>
            <w:shd w:val="clear" w:color="auto" w:fill="auto"/>
          </w:tcPr>
          <w:p w14:paraId="2BF41C60"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Agree</w:t>
            </w:r>
          </w:p>
        </w:tc>
        <w:tc>
          <w:tcPr>
            <w:tcW w:w="2131" w:type="dxa"/>
            <w:tcBorders>
              <w:top w:val="nil"/>
              <w:bottom w:val="nil"/>
            </w:tcBorders>
            <w:shd w:val="clear" w:color="auto" w:fill="auto"/>
            <w:vAlign w:val="center"/>
          </w:tcPr>
          <w:p w14:paraId="4EF16471"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4</w:t>
            </w:r>
          </w:p>
        </w:tc>
        <w:tc>
          <w:tcPr>
            <w:tcW w:w="1985" w:type="dxa"/>
            <w:tcBorders>
              <w:top w:val="nil"/>
              <w:bottom w:val="nil"/>
            </w:tcBorders>
            <w:shd w:val="clear" w:color="auto" w:fill="auto"/>
            <w:vAlign w:val="center"/>
          </w:tcPr>
          <w:p w14:paraId="1DA72D87"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2</w:t>
            </w:r>
          </w:p>
        </w:tc>
      </w:tr>
      <w:tr w:rsidR="00B127E9" w:rsidRPr="00ED7521" w14:paraId="59EF2950" w14:textId="77777777" w:rsidTr="002E1874">
        <w:tc>
          <w:tcPr>
            <w:tcW w:w="2263" w:type="dxa"/>
            <w:tcBorders>
              <w:top w:val="nil"/>
              <w:bottom w:val="nil"/>
            </w:tcBorders>
            <w:shd w:val="clear" w:color="auto" w:fill="auto"/>
          </w:tcPr>
          <w:p w14:paraId="218A639E"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Doubtful</w:t>
            </w:r>
          </w:p>
        </w:tc>
        <w:tc>
          <w:tcPr>
            <w:tcW w:w="2131" w:type="dxa"/>
            <w:tcBorders>
              <w:top w:val="nil"/>
              <w:bottom w:val="nil"/>
            </w:tcBorders>
            <w:shd w:val="clear" w:color="auto" w:fill="auto"/>
            <w:vAlign w:val="center"/>
          </w:tcPr>
          <w:p w14:paraId="551C7911"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3</w:t>
            </w:r>
          </w:p>
        </w:tc>
        <w:tc>
          <w:tcPr>
            <w:tcW w:w="1985" w:type="dxa"/>
            <w:tcBorders>
              <w:top w:val="nil"/>
              <w:bottom w:val="nil"/>
            </w:tcBorders>
            <w:shd w:val="clear" w:color="auto" w:fill="auto"/>
            <w:vAlign w:val="center"/>
          </w:tcPr>
          <w:p w14:paraId="405D64C1"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3</w:t>
            </w:r>
          </w:p>
        </w:tc>
      </w:tr>
      <w:tr w:rsidR="00B127E9" w:rsidRPr="00ED7521" w14:paraId="2746218C" w14:textId="77777777" w:rsidTr="002E1874">
        <w:tc>
          <w:tcPr>
            <w:tcW w:w="2263" w:type="dxa"/>
            <w:tcBorders>
              <w:top w:val="nil"/>
              <w:bottom w:val="nil"/>
            </w:tcBorders>
            <w:shd w:val="clear" w:color="auto" w:fill="auto"/>
          </w:tcPr>
          <w:p w14:paraId="4710BCCD"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Disagree</w:t>
            </w:r>
          </w:p>
        </w:tc>
        <w:tc>
          <w:tcPr>
            <w:tcW w:w="2131" w:type="dxa"/>
            <w:tcBorders>
              <w:top w:val="nil"/>
              <w:bottom w:val="nil"/>
            </w:tcBorders>
            <w:shd w:val="clear" w:color="auto" w:fill="auto"/>
            <w:vAlign w:val="center"/>
          </w:tcPr>
          <w:p w14:paraId="6827DD09"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2</w:t>
            </w:r>
          </w:p>
        </w:tc>
        <w:tc>
          <w:tcPr>
            <w:tcW w:w="1985" w:type="dxa"/>
            <w:tcBorders>
              <w:top w:val="nil"/>
              <w:bottom w:val="nil"/>
            </w:tcBorders>
            <w:shd w:val="clear" w:color="auto" w:fill="auto"/>
            <w:vAlign w:val="center"/>
          </w:tcPr>
          <w:p w14:paraId="5C5796EE"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4</w:t>
            </w:r>
          </w:p>
        </w:tc>
      </w:tr>
      <w:tr w:rsidR="00B127E9" w:rsidRPr="00ED7521" w14:paraId="4F87FB6F" w14:textId="77777777" w:rsidTr="002E1874">
        <w:trPr>
          <w:trHeight w:val="93"/>
        </w:trPr>
        <w:tc>
          <w:tcPr>
            <w:tcW w:w="2263" w:type="dxa"/>
            <w:tcBorders>
              <w:top w:val="nil"/>
            </w:tcBorders>
            <w:shd w:val="clear" w:color="auto" w:fill="auto"/>
          </w:tcPr>
          <w:p w14:paraId="4881BFB7"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Strongly Disagree</w:t>
            </w:r>
          </w:p>
        </w:tc>
        <w:tc>
          <w:tcPr>
            <w:tcW w:w="2131" w:type="dxa"/>
            <w:tcBorders>
              <w:top w:val="nil"/>
            </w:tcBorders>
            <w:shd w:val="clear" w:color="auto" w:fill="auto"/>
            <w:vAlign w:val="center"/>
          </w:tcPr>
          <w:p w14:paraId="34A4B0BD"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1</w:t>
            </w:r>
          </w:p>
        </w:tc>
        <w:tc>
          <w:tcPr>
            <w:tcW w:w="1985" w:type="dxa"/>
            <w:tcBorders>
              <w:top w:val="nil"/>
            </w:tcBorders>
            <w:shd w:val="clear" w:color="auto" w:fill="auto"/>
            <w:vAlign w:val="center"/>
          </w:tcPr>
          <w:p w14:paraId="2D1D13A9" w14:textId="77777777" w:rsidR="00B127E9" w:rsidRPr="00ED7521" w:rsidRDefault="00B127E9" w:rsidP="00741B7F">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5</w:t>
            </w:r>
          </w:p>
        </w:tc>
      </w:tr>
    </w:tbl>
    <w:p w14:paraId="2EC59E47" w14:textId="77777777" w:rsidR="00B127E9" w:rsidRPr="00ED7521" w:rsidRDefault="00B127E9" w:rsidP="00B127E9">
      <w:pPr>
        <w:spacing w:line="276" w:lineRule="auto"/>
        <w:jc w:val="both"/>
        <w:rPr>
          <w:rFonts w:ascii="Palatino Linotype" w:hAnsi="Palatino Linotype" w:cs="Times New Roman"/>
          <w:sz w:val="20"/>
          <w:szCs w:val="20"/>
        </w:rPr>
      </w:pPr>
    </w:p>
    <w:p w14:paraId="6E55D22C" w14:textId="0247CF8F"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methodology for measuring school environmental characteristics is based on a research model developed by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{"citationItems":[{"id":"ITEM-1","itemData":{"DOI":"10.1076/sesi.10.3.296.3502","ISSN":"09243453","abstract":"During the last decades numerous studies have been conducted with the aim of finding predictors of an effective school measured in terms of the average level of the students' academic achievement. Few of these studies have examined how the students' perception of their work environment at school influences their academic achievement. The present article applies theory and findings from research on the adult work environment to the daily school life of children and adolescents. The analyses are based on self-reported data from the \"Health Behaviour in School-aged Children Survey\" (the HBSC study), using data from countries in both Eastern and Western Europe. Data from 11, 13 and 15 year old students in Finland, Latvia, Norway and Slovakia are used. The findings suggest that the most important psychosocial school setting predictors of students' perception of their academic achievement are that they feel satisfied with school, that they feel the teachers do not expect too much of them, and that they have a good relationship with their fellow students. The findings imply that interventions which enhance the students' satisfaction with school are likely to improve their achievement as well.","author":[{"dropping-particle":"","family":"Samdal","given":"O.","non-dropping-particle":"","parse-names":false,"suffix":""},{"dropping-particle":"","family":"Wold","given":"B.","non-dropping-particle":"","parse-names":false,"suffix":""},{"dropping-particle":"","family":"Bronis","given":"M.","non-dropping-particle":"","parse-names":false,"suffix":""}],"container-title":"School Effectiveness and School Improvement","id":"ITEM-1","issue":"3","issued":{"date-parts":[["1999"]]},"page":"296-320","title":"Relationship between students' perceptions of school environment, their satisfaction with school and perceived academic achievement: An international study","type":"article-journal","volume":"10"},"uris":["http://www.mendeley.com/documents/?uuid=e13c3efe-c6d3-440c-927f-67dffb514725"]}],"mendeley":{"formattedCitation":"(Samdal, Wold, &amp; Bronis, 1999)","manualFormatting":"Samdal et al. (1999)","plainTextFormattedCitation":"(Samdal, Wold, &amp; Bronis, 1999)","previouslyFormattedCitation":"(Samdal, Wold, &amp; Bronis, 1999)"},"properties":{"noteIndex":0},"schema":"https://github.com/citation-style-language/schema/raw/master/csl-citation.json"}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Samdal et al. (1999)</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The scale evaluates factors such as perceptions of the school environment, satisfaction with school, and academic achievement. Data analysis was performed using SPSS for Windows (v.6.0) with a multiple linear regression approach. The results indicate that all variable items have values ranging from 0.66 to 0.75, with a total corralation of 0.7, confirming the validity of the instruments used. The findings reveal a significant and strong relationship between student performance, school satisfaction, and academic progress. </w:t>
      </w:r>
    </w:p>
    <w:p w14:paraId="6D6CCDA7" w14:textId="558CB7BF"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mental health measurement model utilises the approach of data analysis employed by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{"citationItems":[{"id":"ITEM-1","itemData":{"DOI":"10.1016/j.childyouth.2012.01.027","ISSN":"01907409","abstract":"Schools are large providers of mental health services for children and adolescents. Recent educational policy initiatives at the federal level have ushered in Response to Intervention and school-wide behavior supports that have potential to involve teachers in school mental health interventions. Little research exists investigating the involvement of teachers in school mental health services or the level of efficacy associated with teachers providing these services. This paper conducts a systematic review to investigate the extent to which teachers a) are the primary school-based service providers, b) collaboratively work with other professionals to provide services, and c) what levels of interventions within the Response to Intervention (RTI) framework apply to these interventions. This paper further evaluates how efficacious teachers and school mental health professionals are in impacting outcomes in previous studies. Results indicated that out of the 49 school mental health studies analyzed, teachers were actively involved in 40.8% of mental health interventions evaluated, and were the sole providers of interventions in 18.4% of the studies. It was also found that many of these school mental health interventions were universal (Tier 1) and took place in the classrooms. Further examination of findings suggested that different personnel, such as school mental health professionals and teachers, achieved similar outcomes across the studies. © 2012 Elsevier Ltd.","author":[{"dropping-particle":"","family":"Franklin","given":"Cynthia G.S.","non-dropping-particle":"","parse-names":false,"suffix":""},{"dropping-particle":"","family":"Kim","given":"Johnny S.","non-dropping-particle":"","parse-names":false,"suffix":""},{"dropping-particle":"","family":"Ryan","given":"Tiffany N.","non-dropping-particle":"","parse-names":false,"suffix":""},{"dropping-particle":"","family":"Kelly","given":"Michael S.","non-dropping-particle":"","parse-names":false,"suffix":""},{"dropping-particle":"","family":"Montgomery","given":"Katherine L.","non-dropping-particle":"","parse-names":false,"suffix":""}],"container-title":"Children and Youth Services Review","id":"ITEM-1","issue":"5","issued":{"date-parts":[["2012"]]},"page":"973-982","publisher":"Elsevier Ltd","title":"Teacher involvement in school mental health interventions: A systematic review","type":"article-journal","volume":"34"},"uris":["http://www.mendeley.com/documents/?uuid=bc1cf5e4-bfce-4155-883a-1e57429e3535"]}],"mendeley":{"formattedCitation":"(Franklin, Kim, Ryan, Kelly, &amp; Montgomery, 2012)","manualFormatting":"Franklin et al. (2012)","plainTextFormattedCitation":"(Franklin, Kim, Ryan, Kelly, &amp; Montgomery, 2012)","previouslyFormattedCitation":"(Franklin, Kim, Ryan, Kelly, &amp; Montgomery, 2012)"},"properties":{"noteIndex":0},"schema":"https://github.com/citation-style-language/schema/raw/master/csl-citation.json"}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Franklin et al. (2012)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specifically employing literature analysis conducted by researchers to delve further into the mental health of students and the involvement of teachers in intervention, utilising empirical studies and pertinent articles. This was done by utilising questionnaire data collected either through Google Form or directly at the school. Meanwhile, researchers employed the methodology utilised by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{"citationItems":[{"id":"ITEM-1","itemData":{"author":[{"dropping-particle":"","family":"Hidayati","given":"Heny Narendrany","non-dropping-particle":"","parse-names":false,"suffix":""},{"dropping-particle":"","family":"Hayat","given":"Bahrul","non-dropping-particle":"","parse-names":false,"suffix":""},{"dropping-particle":"","family":"Rahayu","given":"Wardani","non-dropping-particle":"","parse-names":false,"suffix":""}],"container-title":"European Journal of Educational Research","id":"ITEM-1","issue":"2","issued":{"date-parts":[["2021"]]},"page":"729-742","publisher":"ERIC","title":"Assessment of the Validity and Reliability of Mental Health Instruments of High School Student in Indonesia.","type":"article-journal","volume":"10"},"uris":["http://www.mendeley.com/documents/?uuid=2f94d451-bd15-42e8-914b-ad8254305d13"]}],"mendeley":{"formattedCitation":"(Hidayati, Hayat, &amp; Rahayu, 2021)","manualFormatting":"Hidayati et al. (2021)","plainTextFormattedCitation":"(Hidayati, Hayat, &amp; Rahayu, 2021)","previouslyFormattedCitation":"(Hidayati, Hayat, &amp; Rahayu, 2021)"},"properties":{"noteIndex":0},"schema":"https://github.com/citation-style-language/schema/raw/master/csl-citation.json"}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Hidayati et al. (2021)</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to assess data, namely through the examination of validity and reliability. The validity test and realibility test conducted using Structural Equation Modelling (SEM) analysis is confirmed, with findings indicating a range of 0.68 to 0.97 for each indicator item. The validity calculation demonstrates that each item of the mental health indicator possesses both validity and reliability values.</w:t>
      </w:r>
    </w:p>
    <w:p w14:paraId="021A80A0" w14:textId="72FB338B"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measurement model for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xml:space="preserve"> variables employs the methodology utilised by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{"citationItems":[{"id":"ITEM-1","itemData":{"DOI":"10.1037/0022-006X.74.5.851","author":[{"dropping-particle":"","family":"Weinrib","given":"Aliza Z","non-dropping-particle":"","parse-names":false,"suffix":""},{"dropping-particle":"","family":"Rothrock","given":"Nan E","non-dropping-particle":"","parse-names":false,"suffix":""},{"dropping-particle":"","family":"Johnsen","given":"Erica L","non-dropping-particle":"","parse-names":false,"suffix":""},{"dropping-particle":"","family":"Lutgendorf","given":"Susan K","non-dropping-particle":"","parse-names":false,"suffix":""}],"id":"ITEM-1","issue":"5","issued":{"date-parts":[["2006"]]},"page":"851-858","title":"The Assessment and Validity of Stress-Related Growth in a Community-Based Sample","type":"article-journal","volume":"74"},"uris":["http://www.mendeley.com/documents/?uuid=d85f70c6-9d04-4056-9c49-eca70282fbd2"]}],"mendeley":{"formattedCitation":"(Weinrib, Rothrock, Johnsen, &amp; Lutgendorf, 2006)","manualFormatting":"Weinrib et al. (2006)","plainTextFormattedCitation":"(Weinrib, Rothrock, Johnsen, &amp; Lutgendorf, 2006)","previouslyFormattedCitation":"(Weinrib, Rothrock, Johnsen, &amp; Lutgendorf, 2006)"},"properties":{"noteIndex":0},"schema":"https://github.com/citation-style-language/schema/raw/master/csl-citation.json"}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Weinrib et al. (2006)</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This involves conducting validity tests to assess the accuracy of growth indicator items pertaining to stress, appreciation of relationships, and spiritual growth. This is done through the administration of questionnaires and essays. The growth-related stress indicator item shows a result of 0.83, the appreciation of relationships indicator item shows a value of 0.89, and the spiritual growth indicator item shows a result of 0.97. Indicates that the indicator item can be considered dependable.</w:t>
      </w:r>
    </w:p>
    <w:p w14:paraId="1E1C8B1D" w14:textId="77777777" w:rsidR="00B127E9" w:rsidRPr="00ED7521" w:rsidRDefault="00B127E9" w:rsidP="00B127E9">
      <w:pPr>
        <w:pStyle w:val="Heading1"/>
        <w:spacing w:after="160" w:line="276" w:lineRule="auto"/>
        <w:rPr>
          <w:rFonts w:ascii="Palatino Linotype" w:hAnsi="Palatino Linotype"/>
          <w:sz w:val="20"/>
          <w:szCs w:val="20"/>
          <w:lang w:val="en-US"/>
        </w:rPr>
      </w:pPr>
      <w:r w:rsidRPr="00ED7521">
        <w:rPr>
          <w:rFonts w:ascii="Palatino Linotype" w:hAnsi="Palatino Linotype"/>
          <w:sz w:val="20"/>
          <w:szCs w:val="20"/>
          <w:lang w:val="en-US"/>
        </w:rPr>
        <w:t>Theoretical Model and Hypothesis</w:t>
      </w:r>
    </w:p>
    <w:p w14:paraId="48118E28" w14:textId="77777777" w:rsidR="00B127E9"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cs="Times New Roman"/>
          <w:sz w:val="20"/>
          <w:szCs w:val="20"/>
        </w:rPr>
        <w:tab/>
        <w:t>The conceptual framework used in this research is expressed in the form of an image, which explains the hypothesis in this research, with the following explanation:</w:t>
      </w:r>
    </w:p>
    <w:p w14:paraId="64877E54" w14:textId="77777777" w:rsidR="00B127E9" w:rsidRPr="00ED7521" w:rsidRDefault="00B127E9" w:rsidP="00B127E9">
      <w:pPr>
        <w:pStyle w:val="ListParagraph"/>
        <w:numPr>
          <w:ilvl w:val="0"/>
          <w:numId w:val="19"/>
        </w:numPr>
        <w:spacing w:after="160"/>
        <w:jc w:val="both"/>
        <w:rPr>
          <w:rFonts w:ascii="Palatino Linotype" w:hAnsi="Palatino Linotype"/>
          <w:sz w:val="20"/>
          <w:szCs w:val="20"/>
        </w:rPr>
      </w:pPr>
      <w:r w:rsidRPr="00ED7521">
        <w:rPr>
          <w:rFonts w:ascii="Palatino Linotype" w:hAnsi="Palatino Linotype"/>
          <w:sz w:val="20"/>
          <w:szCs w:val="20"/>
        </w:rPr>
        <w:t>The role of the school environment (X) has an influence on mental health (Y1)</w:t>
      </w:r>
    </w:p>
    <w:p w14:paraId="3D0648A3" w14:textId="77777777" w:rsidR="00B127E9" w:rsidRPr="00ED7521" w:rsidRDefault="00B127E9" w:rsidP="00B127E9">
      <w:pPr>
        <w:pStyle w:val="ListParagraph"/>
        <w:numPr>
          <w:ilvl w:val="0"/>
          <w:numId w:val="19"/>
        </w:numPr>
        <w:spacing w:after="160"/>
        <w:jc w:val="both"/>
        <w:rPr>
          <w:rFonts w:ascii="Palatino Linotype" w:hAnsi="Palatino Linotype"/>
          <w:sz w:val="20"/>
          <w:szCs w:val="20"/>
        </w:rPr>
      </w:pPr>
      <w:r w:rsidRPr="00ED7521">
        <w:rPr>
          <w:rFonts w:ascii="Palatino Linotype" w:hAnsi="Palatino Linotype"/>
          <w:sz w:val="20"/>
          <w:szCs w:val="20"/>
        </w:rPr>
        <w:lastRenderedPageBreak/>
        <w:t xml:space="preserve">The role of the school environment (X) has an influence on </w:t>
      </w:r>
      <w:r w:rsidRPr="00741B7F">
        <w:rPr>
          <w:rFonts w:ascii="Palatino Linotype" w:hAnsi="Palatino Linotype"/>
          <w:i/>
          <w:iCs/>
          <w:sz w:val="20"/>
          <w:szCs w:val="20"/>
        </w:rPr>
        <w:t>Post-Traumatic Growth</w:t>
      </w:r>
      <w:r w:rsidRPr="00ED7521">
        <w:rPr>
          <w:rFonts w:ascii="Palatino Linotype" w:hAnsi="Palatino Linotype"/>
          <w:sz w:val="20"/>
          <w:szCs w:val="20"/>
        </w:rPr>
        <w:t xml:space="preserve"> (Y2).</w:t>
      </w:r>
    </w:p>
    <w:p w14:paraId="351D732D" w14:textId="77777777" w:rsidR="00B127E9" w:rsidRPr="00ED7521" w:rsidRDefault="00B127E9" w:rsidP="00B127E9">
      <w:pPr>
        <w:pStyle w:val="ListParagraph"/>
        <w:jc w:val="both"/>
        <w:rPr>
          <w:rFonts w:ascii="Palatino Linotype" w:hAnsi="Palatino Linotype"/>
          <w:sz w:val="20"/>
          <w:szCs w:val="20"/>
        </w:rPr>
      </w:pPr>
      <w:r w:rsidRPr="00ED7521">
        <w:rPr>
          <w:rFonts w:ascii="Palatino Linotype" w:hAnsi="Palatino Linotype"/>
          <w:noProof/>
          <w:sz w:val="20"/>
          <w:szCs w:val="20"/>
        </w:rPr>
        <mc:AlternateContent>
          <mc:Choice Requires="wps">
            <w:drawing>
              <wp:anchor distT="0" distB="0" distL="114300" distR="114300" simplePos="0" relativeHeight="251660288" behindDoc="0" locked="0" layoutInCell="1" allowOverlap="1" wp14:anchorId="3000A232" wp14:editId="235B3501">
                <wp:simplePos x="0" y="0"/>
                <wp:positionH relativeFrom="column">
                  <wp:posOffset>3505200</wp:posOffset>
                </wp:positionH>
                <wp:positionV relativeFrom="paragraph">
                  <wp:posOffset>27940</wp:posOffset>
                </wp:positionV>
                <wp:extent cx="1047750" cy="619125"/>
                <wp:effectExtent l="0" t="0" r="19050" b="28575"/>
                <wp:wrapNone/>
                <wp:docPr id="17169843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619125"/>
                        </a:xfrm>
                        <a:prstGeom prst="ellipse">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D788255"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Mental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0A232" id="Oval 10" o:spid="_x0000_s1026" style="position:absolute;left:0;text-align:left;margin-left:276pt;margin-top:2.2pt;width:8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" fillcolor="#ffdd9c" strokecolor="#ffc000" strokeweight=".5pt">
                <v:fill color2="#ffd479" rotate="t" colors="0 #ffdd9c;.5 #ffd78e;1 #ffd479" focus="100%" type="gradient">
                  <o:fill v:ext="view" type="gradientUnscaled"/>
                </v:fill>
                <v:stroke joinstyle="miter"/>
                <v:path arrowok="t"/>
                <v:textbox>
                  <w:txbxContent>
                    <w:p w14:paraId="0D788255"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Mental Health</w:t>
                      </w:r>
                    </w:p>
                  </w:txbxContent>
                </v:textbox>
              </v:oval>
            </w:pict>
          </mc:Fallback>
        </mc:AlternateContent>
      </w:r>
    </w:p>
    <w:p w14:paraId="45D856A5" w14:textId="77777777" w:rsidR="00B127E9"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noProof/>
          <w:sz w:val="20"/>
          <w:szCs w:val="20"/>
        </w:rPr>
        <mc:AlternateContent>
          <mc:Choice Requires="wps">
            <w:drawing>
              <wp:anchor distT="0" distB="0" distL="114300" distR="114300" simplePos="0" relativeHeight="251659264" behindDoc="0" locked="0" layoutInCell="1" allowOverlap="1" wp14:anchorId="7D0D1CDC" wp14:editId="7B191848">
                <wp:simplePos x="0" y="0"/>
                <wp:positionH relativeFrom="column">
                  <wp:posOffset>1060450</wp:posOffset>
                </wp:positionH>
                <wp:positionV relativeFrom="paragraph">
                  <wp:posOffset>84455</wp:posOffset>
                </wp:positionV>
                <wp:extent cx="1362075" cy="828040"/>
                <wp:effectExtent l="0" t="0" r="28575" b="10160"/>
                <wp:wrapNone/>
                <wp:docPr id="53044246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828040"/>
                        </a:xfrm>
                        <a:prstGeom prst="ellipse">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29EC198"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School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D1CDC" id="Oval 8" o:spid="_x0000_s1027" style="position:absolute;left:0;text-align:left;margin-left:83.5pt;margin-top:6.65pt;width:107.2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" fillcolor="#a8b7df" strokecolor="#4472c4" strokeweight=".5pt">
                <v:fill color2="#879ed7" rotate="t" colors="0 #a8b7df;.5 #9aabd9;1 #879ed7" focus="100%" type="gradient">
                  <o:fill v:ext="view" type="gradientUnscaled"/>
                </v:fill>
                <v:stroke joinstyle="miter"/>
                <v:path arrowok="t"/>
                <v:textbox>
                  <w:txbxContent>
                    <w:p w14:paraId="429EC198"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School Environment</w:t>
                      </w:r>
                    </w:p>
                  </w:txbxContent>
                </v:textbox>
              </v:oval>
            </w:pict>
          </mc:Fallback>
        </mc:AlternateContent>
      </w:r>
      <w:r w:rsidRPr="00ED7521">
        <w:rPr>
          <w:rFonts w:ascii="Palatino Linotype" w:hAnsi="Palatino Linotype"/>
          <w:noProof/>
          <w:sz w:val="20"/>
          <w:szCs w:val="20"/>
        </w:rPr>
        <mc:AlternateContent>
          <mc:Choice Requires="wps">
            <w:drawing>
              <wp:anchor distT="0" distB="0" distL="114300" distR="114300" simplePos="0" relativeHeight="251662336" behindDoc="0" locked="0" layoutInCell="1" allowOverlap="1" wp14:anchorId="0CC585CF" wp14:editId="10AB0F39">
                <wp:simplePos x="0" y="0"/>
                <wp:positionH relativeFrom="column">
                  <wp:posOffset>2423795</wp:posOffset>
                </wp:positionH>
                <wp:positionV relativeFrom="paragraph">
                  <wp:posOffset>82550</wp:posOffset>
                </wp:positionV>
                <wp:extent cx="1026795" cy="344170"/>
                <wp:effectExtent l="0" t="38100" r="59055" b="36830"/>
                <wp:wrapNone/>
                <wp:docPr id="63717757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6795" cy="3441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FDB029B" id="_x0000_t32" coordsize="21600,21600" o:spt="32" o:oned="t" path="m,l21600,21600e" filled="f">
                <v:path arrowok="t" fillok="f" o:connecttype="none"/>
                <o:lock v:ext="edit" shapetype="t"/>
              </v:shapetype>
              <v:shape id="Straight Arrow Connector 6" o:spid="_x0000_s1026" type="#_x0000_t32" style="position:absolute;margin-left:190.85pt;margin-top:6.5pt;width:80.85pt;height:27.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" strokecolor="windowText" strokeweight=".5pt">
                <v:stroke endarrow="block" joinstyle="miter"/>
                <o:lock v:ext="edit" shapetype="f"/>
              </v:shape>
            </w:pict>
          </mc:Fallback>
        </mc:AlternateContent>
      </w:r>
    </w:p>
    <w:p w14:paraId="1780D4DB" w14:textId="77777777" w:rsidR="00B127E9" w:rsidRPr="00ED7521" w:rsidRDefault="00B127E9" w:rsidP="00B127E9">
      <w:pPr>
        <w:spacing w:line="276" w:lineRule="auto"/>
        <w:jc w:val="both"/>
        <w:rPr>
          <w:rFonts w:ascii="Palatino Linotype" w:hAnsi="Palatino Linotype" w:cs="Times New Roman"/>
          <w:sz w:val="20"/>
          <w:szCs w:val="20"/>
        </w:rPr>
      </w:pPr>
      <w:r w:rsidRPr="00ED7521">
        <w:rPr>
          <w:rFonts w:ascii="Palatino Linotype" w:hAnsi="Palatino Linotype"/>
          <w:noProof/>
          <w:sz w:val="20"/>
          <w:szCs w:val="20"/>
        </w:rPr>
        <mc:AlternateContent>
          <mc:Choice Requires="wps">
            <w:drawing>
              <wp:anchor distT="0" distB="0" distL="114300" distR="114300" simplePos="0" relativeHeight="251661312" behindDoc="0" locked="0" layoutInCell="1" allowOverlap="1" wp14:anchorId="0D73B9F4" wp14:editId="2BB17A9E">
                <wp:simplePos x="0" y="0"/>
                <wp:positionH relativeFrom="column">
                  <wp:posOffset>3505200</wp:posOffset>
                </wp:positionH>
                <wp:positionV relativeFrom="paragraph">
                  <wp:posOffset>206375</wp:posOffset>
                </wp:positionV>
                <wp:extent cx="1123950" cy="828675"/>
                <wp:effectExtent l="0" t="0" r="19050" b="28575"/>
                <wp:wrapNone/>
                <wp:docPr id="83385732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828675"/>
                        </a:xfrm>
                        <a:prstGeom prst="ellipse">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31A5658"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Post-Traumatic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3B9F4" id="Oval 4" o:spid="_x0000_s1028" style="position:absolute;left:0;text-align:left;margin-left:276pt;margin-top:16.25pt;width:88.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" fillcolor="#ffdd9c" strokecolor="#ffc000" strokeweight=".5pt">
                <v:fill color2="#ffd479" rotate="t" colors="0 #ffdd9c;.5 #ffd78e;1 #ffd479" focus="100%" type="gradient">
                  <o:fill v:ext="view" type="gradientUnscaled"/>
                </v:fill>
                <v:stroke joinstyle="miter"/>
                <v:path arrowok="t"/>
                <v:textbox>
                  <w:txbxContent>
                    <w:p w14:paraId="431A5658" w14:textId="77777777" w:rsidR="00B127E9" w:rsidRPr="003439EB" w:rsidRDefault="00B127E9" w:rsidP="00B127E9">
                      <w:pPr>
                        <w:jc w:val="center"/>
                        <w:rPr>
                          <w:rFonts w:ascii="Times New Roman" w:hAnsi="Times New Roman" w:cs="Times New Roman"/>
                        </w:rPr>
                      </w:pPr>
                      <w:r w:rsidRPr="003439EB">
                        <w:rPr>
                          <w:rFonts w:ascii="Times New Roman" w:hAnsi="Times New Roman" w:cs="Times New Roman"/>
                        </w:rPr>
                        <w:t>Post-Traumatic Growth</w:t>
                      </w:r>
                    </w:p>
                  </w:txbxContent>
                </v:textbox>
              </v:oval>
            </w:pict>
          </mc:Fallback>
        </mc:AlternateContent>
      </w:r>
      <w:r w:rsidRPr="00ED7521">
        <w:rPr>
          <w:rFonts w:ascii="Palatino Linotype" w:hAnsi="Palatino Linotype"/>
          <w:noProof/>
          <w:sz w:val="20"/>
          <w:szCs w:val="20"/>
        </w:rPr>
        <mc:AlternateContent>
          <mc:Choice Requires="wps">
            <w:drawing>
              <wp:anchor distT="0" distB="0" distL="114300" distR="114300" simplePos="0" relativeHeight="251663360" behindDoc="0" locked="0" layoutInCell="1" allowOverlap="1" wp14:anchorId="52B9C2FC" wp14:editId="3B7A113E">
                <wp:simplePos x="0" y="0"/>
                <wp:positionH relativeFrom="column">
                  <wp:posOffset>2423795</wp:posOffset>
                </wp:positionH>
                <wp:positionV relativeFrom="paragraph">
                  <wp:posOffset>270510</wp:posOffset>
                </wp:positionV>
                <wp:extent cx="1026160" cy="267335"/>
                <wp:effectExtent l="0" t="0" r="78740" b="75565"/>
                <wp:wrapNone/>
                <wp:docPr id="126165885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2673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A2D027" id="Straight Arrow Connector 2" o:spid="_x0000_s1026" type="#_x0000_t32" style="position:absolute;margin-left:190.85pt;margin-top:21.3pt;width:80.8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" strokecolor="windowText" strokeweight=".5pt">
                <v:stroke endarrow="block" joinstyle="miter"/>
                <o:lock v:ext="edit" shapetype="f"/>
              </v:shape>
            </w:pict>
          </mc:Fallback>
        </mc:AlternateContent>
      </w:r>
    </w:p>
    <w:p w14:paraId="44729207" w14:textId="77777777" w:rsidR="00B127E9" w:rsidRPr="00ED7521" w:rsidRDefault="00B127E9" w:rsidP="00B127E9">
      <w:pPr>
        <w:spacing w:line="276" w:lineRule="auto"/>
        <w:jc w:val="both"/>
        <w:rPr>
          <w:rFonts w:ascii="Palatino Linotype" w:hAnsi="Palatino Linotype" w:cs="Times New Roman"/>
          <w:b/>
          <w:bCs/>
          <w:sz w:val="20"/>
          <w:szCs w:val="20"/>
        </w:rPr>
      </w:pPr>
    </w:p>
    <w:p w14:paraId="7A58E06B" w14:textId="77777777" w:rsidR="00B127E9" w:rsidRPr="00ED7521" w:rsidRDefault="00B127E9" w:rsidP="00B127E9">
      <w:pPr>
        <w:spacing w:line="276" w:lineRule="auto"/>
        <w:jc w:val="both"/>
        <w:rPr>
          <w:rFonts w:ascii="Palatino Linotype" w:hAnsi="Palatino Linotype" w:cs="Times New Roman"/>
          <w:b/>
          <w:bCs/>
          <w:sz w:val="20"/>
          <w:szCs w:val="20"/>
        </w:rPr>
      </w:pPr>
    </w:p>
    <w:p w14:paraId="3EA66CD2" w14:textId="77777777" w:rsidR="00B127E9" w:rsidRPr="00ED7521" w:rsidRDefault="00B127E9" w:rsidP="00B127E9">
      <w:pPr>
        <w:spacing w:line="276" w:lineRule="auto"/>
        <w:jc w:val="both"/>
        <w:rPr>
          <w:rFonts w:ascii="Palatino Linotype" w:hAnsi="Palatino Linotype" w:cs="Times New Roman"/>
          <w:b/>
          <w:bCs/>
          <w:sz w:val="20"/>
          <w:szCs w:val="20"/>
        </w:rPr>
      </w:pPr>
    </w:p>
    <w:p w14:paraId="2C6F1658" w14:textId="46DF6399"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Figure 1. </w:t>
      </w:r>
      <w:r w:rsidRPr="00ED7521">
        <w:rPr>
          <w:rFonts w:ascii="Palatino Linotype" w:hAnsi="Palatino Linotype" w:cs="Times New Roman"/>
          <w:sz w:val="20"/>
          <w:szCs w:val="20"/>
        </w:rPr>
        <w:t>Research Conceptual Model</w:t>
      </w:r>
    </w:p>
    <w:p w14:paraId="2A609E6A" w14:textId="77777777" w:rsidR="005B5AEC" w:rsidRPr="00ED7521" w:rsidRDefault="005B5AEC" w:rsidP="005B5AEC">
      <w:pPr>
        <w:pStyle w:val="Alishlah21heading1"/>
        <w:rPr>
          <w:rFonts w:eastAsia="Arial"/>
        </w:rPr>
      </w:pPr>
      <w:r w:rsidRPr="00ED7521">
        <w:rPr>
          <w:rFonts w:eastAsia="Arial"/>
        </w:rPr>
        <w:t>FINDINGS AND DISCUSSION</w:t>
      </w:r>
    </w:p>
    <w:p w14:paraId="4F7830D3" w14:textId="77777777" w:rsidR="00B127E9" w:rsidRPr="00ED7521" w:rsidRDefault="00B127E9" w:rsidP="00B127E9">
      <w:pPr>
        <w:pStyle w:val="Heading3"/>
        <w:spacing w:line="276" w:lineRule="auto"/>
        <w:rPr>
          <w:rFonts w:ascii="Palatino Linotype" w:eastAsia="Times New Roman" w:hAnsi="Palatino Linotype"/>
          <w:color w:val="auto"/>
          <w:sz w:val="20"/>
          <w:szCs w:val="20"/>
        </w:rPr>
      </w:pPr>
      <w:r w:rsidRPr="00ED7521">
        <w:rPr>
          <w:rFonts w:ascii="Palatino Linotype" w:hAnsi="Palatino Linotype"/>
          <w:color w:val="auto"/>
          <w:sz w:val="20"/>
          <w:szCs w:val="20"/>
        </w:rPr>
        <w:t>Results</w:t>
      </w:r>
    </w:p>
    <w:p w14:paraId="50F5F527" w14:textId="77777777" w:rsidR="00B127E9" w:rsidRPr="00ED7521" w:rsidRDefault="00B127E9" w:rsidP="00B127E9">
      <w:pPr>
        <w:numPr>
          <w:ilvl w:val="0"/>
          <w:numId w:val="20"/>
        </w:numPr>
        <w:spacing w:line="276" w:lineRule="auto"/>
        <w:jc w:val="both"/>
        <w:rPr>
          <w:rFonts w:ascii="Palatino Linotype" w:hAnsi="Palatino Linotype" w:cs="Times New Roman"/>
          <w:sz w:val="20"/>
          <w:szCs w:val="20"/>
        </w:rPr>
      </w:pPr>
      <w:bookmarkStart w:id="1" w:name="_Hlk186023007"/>
      <w:r w:rsidRPr="00ED7521">
        <w:rPr>
          <w:rFonts w:ascii="Palatino Linotype" w:hAnsi="Palatino Linotype" w:cs="Times New Roman"/>
          <w:sz w:val="20"/>
          <w:szCs w:val="20"/>
        </w:rPr>
        <w:t>Validity Test</w:t>
      </w:r>
    </w:p>
    <w:p w14:paraId="06CAC598" w14:textId="77777777" w:rsidR="00B127E9" w:rsidRPr="00ED7521" w:rsidRDefault="00B127E9" w:rsidP="00ED7521">
      <w:pPr>
        <w:pStyle w:val="BodyText2"/>
        <w:spacing w:line="276" w:lineRule="auto"/>
        <w:jc w:val="both"/>
        <w:rPr>
          <w:rFonts w:ascii="Palatino Linotype" w:hAnsi="Palatino Linotype"/>
          <w:sz w:val="20"/>
          <w:szCs w:val="20"/>
        </w:rPr>
      </w:pPr>
      <w:r w:rsidRPr="00ED7521">
        <w:rPr>
          <w:rFonts w:ascii="Palatino Linotype" w:hAnsi="Palatino Linotype"/>
          <w:sz w:val="20"/>
          <w:szCs w:val="20"/>
        </w:rPr>
        <w:tab/>
        <w:t xml:space="preserve">The validity test in this research was conducted by considering the values of convergent validity and discriminant validity. These values were assessed based on the results that met the criteria of completeness, with a threshold value of 0.7. If an indicator's value is below 0.7, it is recommended to remove or exclude that indicator. This investigation yielded data that surpassed the threshold of 0.7. </w:t>
      </w:r>
    </w:p>
    <w:p w14:paraId="2C0B0554" w14:textId="77777777" w:rsidR="00B127E9" w:rsidRPr="00ED7521" w:rsidRDefault="00B127E9" w:rsidP="00B127E9">
      <w:pPr>
        <w:spacing w:line="276" w:lineRule="auto"/>
        <w:ind w:left="1440"/>
        <w:jc w:val="both"/>
        <w:rPr>
          <w:rFonts w:ascii="Palatino Linotype" w:hAnsi="Palatino Linotype" w:cs="Times New Roman"/>
          <w:sz w:val="20"/>
          <w:szCs w:val="20"/>
        </w:rPr>
      </w:pPr>
      <w:r w:rsidRPr="00ED7521">
        <w:rPr>
          <w:rFonts w:ascii="Palatino Linotype" w:hAnsi="Palatino Linotype" w:cs="Times New Roman"/>
          <w:noProof/>
          <w:sz w:val="20"/>
          <w:szCs w:val="20"/>
        </w:rPr>
        <w:t xml:space="preserve">                                        </w:t>
      </w:r>
      <w:r w:rsidRPr="00ED7521">
        <w:rPr>
          <w:rFonts w:ascii="Palatino Linotype" w:hAnsi="Palatino Linotype" w:cs="Times New Roman"/>
          <w:noProof/>
          <w:sz w:val="20"/>
          <w:szCs w:val="20"/>
        </w:rPr>
        <w:drawing>
          <wp:inline distT="0" distB="0" distL="0" distR="0" wp14:anchorId="331D5561" wp14:editId="07612C7B">
            <wp:extent cx="3810000" cy="2077484"/>
            <wp:effectExtent l="0" t="0" r="0" b="0"/>
            <wp:docPr id="79697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9747" cy="2093704"/>
                    </a:xfrm>
                    <a:prstGeom prst="rect">
                      <a:avLst/>
                    </a:prstGeom>
                    <a:noFill/>
                    <a:ln>
                      <a:noFill/>
                    </a:ln>
                  </pic:spPr>
                </pic:pic>
              </a:graphicData>
            </a:graphic>
          </wp:inline>
        </w:drawing>
      </w:r>
    </w:p>
    <w:p w14:paraId="3DD82854"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Figure 2. </w:t>
      </w:r>
      <w:r w:rsidRPr="00ED7521">
        <w:rPr>
          <w:rFonts w:ascii="Palatino Linotype" w:hAnsi="Palatino Linotype" w:cs="Times New Roman"/>
          <w:sz w:val="20"/>
          <w:szCs w:val="20"/>
        </w:rPr>
        <w:t>Outer Model Output Display</w:t>
      </w:r>
    </w:p>
    <w:p w14:paraId="288FFCED" w14:textId="047AFA96"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Figure 2 demonstrates that the SE (School Environment), MH (Mental Health), and PTG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xml:space="preserve">) indicators yield significant outcomes for each indicator, with each indicator surpassing a value of 0.7, indicating the attainment of convergent validity. Convergent validity is assessed by measuring the </w:t>
      </w:r>
      <w:r w:rsidRPr="00741B7F">
        <w:rPr>
          <w:rFonts w:ascii="Palatino Linotype" w:hAnsi="Palatino Linotype" w:cs="Times New Roman"/>
          <w:i/>
          <w:iCs/>
          <w:sz w:val="20"/>
          <w:szCs w:val="20"/>
        </w:rPr>
        <w:t>Average Variance Extracted</w:t>
      </w:r>
      <w:r w:rsidRPr="00ED7521">
        <w:rPr>
          <w:rFonts w:ascii="Palatino Linotype" w:hAnsi="Palatino Linotype" w:cs="Times New Roman"/>
          <w:sz w:val="20"/>
          <w:szCs w:val="20"/>
        </w:rPr>
        <w:t xml:space="preserve"> (AVE). Calculating the AVE (</w:t>
      </w:r>
      <w:r w:rsidRPr="00741B7F">
        <w:rPr>
          <w:rFonts w:ascii="Palatino Linotype" w:hAnsi="Palatino Linotype" w:cs="Times New Roman"/>
          <w:i/>
          <w:iCs/>
          <w:sz w:val="20"/>
          <w:szCs w:val="20"/>
        </w:rPr>
        <w:t>Average Variance Extracted</w:t>
      </w:r>
      <w:r w:rsidRPr="00ED7521">
        <w:rPr>
          <w:rFonts w:ascii="Palatino Linotype" w:hAnsi="Palatino Linotype" w:cs="Times New Roman"/>
          <w:sz w:val="20"/>
          <w:szCs w:val="20"/>
        </w:rPr>
        <w:t xml:space="preserve">) value indicates that if the value of an indicator exceeds 0.50, it signifies that the construct possesses strong convergent validity. On the other hand, if the AVE value is below 0.50, then the convergent validity is considered to be low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{"citationItems":[{"id":"ITEM-1","itemData":{"DOI":"10.1088/1742-6596/1529/4/042045","ISSN":"17426596","abstract":"This study was conducted to produce empirical evidence of validity and reliability of a set of questionnaire. Questionnaire drawn from the results of previous studies and the validity of the tests will determine whether all aspects of the construct domain were represented, thus ensuring the high objectivity level of the questionnaire. In addition, an alternative approach was used to assess the discriminant validity, using heterotrait-monotrait ratio of correlations. The study empirically proves that the questionnaire used is unchanged by culture. This is important because if not, its use will be restricted to a population in which the questionnaire was developed. The proposed method is better in which to enhance and improved the discriminant validity, using heterotrait-monotrait ratio of correlations. The results of the analysis in the measurement model indicated that the questionnaire meets the standards of reliability and construct validity.","author":[{"dropping-particle":"","family":"Yusoff","given":"Ahmad Shidki Mat","non-dropping-particle":"","parse-names":false,"suffix":""},{"dropping-particle":"","family":"Peng","given":"Fan Siong","non-dropping-particle":"","parse-names":false,"suffix":""},{"dropping-particle":"","family":"Razak","given":"Fahmi Zaidi Abd","non-dropping-particle":"","parse-names":false,"suffix":""},{"dropping-particle":"","family":"Mustafa","given":"Wan Azani","non-dropping-particle":"","parse-names":false,"suffix":""}],"container-title":"Journal of Physics: Conference Series","id":"ITEM-1","issue":"4","issued":{"date-parts":[["2020"]]},"title":"Discriminant Validity Assessment of Religious Teacher Acceptance: The Use of HTMT Criterion","type":"article-journal","volume":"1529"},"uris":["http://www.mendeley.com/documents/?uuid=ae6380a8-b579-4df6-9d6d-cce0516aba05"]}],"mendeley":{"formattedCitation":"(Yusoff, Peng, Razak, &amp; Mustafa, 2020)","plainTextFormattedCitation":"(Yusoff, Peng, Razak, &amp; Mustafa, 2020)","previouslyFormattedCitation":"(Yusoff, Peng, Razak, &amp; Mustafa, 2020)"},"properties":{"noteIndex":0},"schema":"https://github.com/citation-style-language/schema/raw/master/csl-citation.json"}</w:instrText>
      </w:r>
      <w:r w:rsidRPr="00ED7521">
        <w:rPr>
          <w:rFonts w:ascii="Palatino Linotype" w:hAnsi="Palatino Linotype" w:cs="Times New Roman"/>
          <w:sz w:val="20"/>
          <w:szCs w:val="20"/>
        </w:rPr>
        <w:fldChar w:fldCharType="separate"/>
      </w:r>
      <w:r w:rsidR="00ED7521" w:rsidRPr="00ED7521">
        <w:rPr>
          <w:rFonts w:ascii="Palatino Linotype" w:hAnsi="Palatino Linotype" w:cs="Times New Roman"/>
          <w:noProof/>
          <w:sz w:val="20"/>
          <w:szCs w:val="20"/>
        </w:rPr>
        <w:t>(Yusoff, Peng, Razak, &amp; Mustafa, 2020)</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w:t>
      </w:r>
    </w:p>
    <w:p w14:paraId="36E6E4D8"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3. </w:t>
      </w:r>
      <w:r w:rsidRPr="00ED7521">
        <w:rPr>
          <w:rFonts w:ascii="Palatino Linotype" w:hAnsi="Palatino Linotype" w:cs="Times New Roman"/>
          <w:sz w:val="20"/>
          <w:szCs w:val="20"/>
        </w:rPr>
        <w:t xml:space="preserve">Factor Loading (FL) and </w:t>
      </w:r>
      <w:r w:rsidRPr="00741B7F">
        <w:rPr>
          <w:rFonts w:ascii="Palatino Linotype" w:hAnsi="Palatino Linotype" w:cs="Times New Roman"/>
          <w:i/>
          <w:iCs/>
          <w:sz w:val="20"/>
          <w:szCs w:val="20"/>
        </w:rPr>
        <w:t>Average Variance Extracted</w:t>
      </w:r>
      <w:r w:rsidRPr="00ED7521">
        <w:rPr>
          <w:rFonts w:ascii="Palatino Linotype" w:hAnsi="Palatino Linotype" w:cs="Times New Roman"/>
          <w:sz w:val="20"/>
          <w:szCs w:val="20"/>
        </w:rPr>
        <w:t xml:space="preserve"> (AVE)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933"/>
      </w:tblGrid>
      <w:tr w:rsidR="00B127E9" w:rsidRPr="00ED7521" w14:paraId="7AE502A0" w14:textId="77777777" w:rsidTr="002E1874">
        <w:trPr>
          <w:trHeight w:val="416"/>
        </w:trPr>
        <w:tc>
          <w:tcPr>
            <w:tcW w:w="3114" w:type="dxa"/>
            <w:tcBorders>
              <w:left w:val="nil"/>
              <w:bottom w:val="single" w:sz="4" w:space="0" w:color="auto"/>
            </w:tcBorders>
            <w:shd w:val="clear" w:color="auto" w:fill="auto"/>
            <w:vAlign w:val="center"/>
          </w:tcPr>
          <w:p w14:paraId="52E5F6A7"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lastRenderedPageBreak/>
              <w:t>Construct</w:t>
            </w:r>
          </w:p>
        </w:tc>
        <w:tc>
          <w:tcPr>
            <w:tcW w:w="1984" w:type="dxa"/>
            <w:tcBorders>
              <w:bottom w:val="single" w:sz="4" w:space="0" w:color="auto"/>
            </w:tcBorders>
            <w:shd w:val="clear" w:color="auto" w:fill="auto"/>
            <w:vAlign w:val="center"/>
          </w:tcPr>
          <w:p w14:paraId="5B3449BF"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Items</w:t>
            </w:r>
          </w:p>
        </w:tc>
        <w:tc>
          <w:tcPr>
            <w:tcW w:w="1985" w:type="dxa"/>
            <w:tcBorders>
              <w:bottom w:val="single" w:sz="4" w:space="0" w:color="auto"/>
            </w:tcBorders>
            <w:shd w:val="clear" w:color="auto" w:fill="auto"/>
            <w:vAlign w:val="center"/>
          </w:tcPr>
          <w:p w14:paraId="7FFDFF7F"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FL</w:t>
            </w:r>
          </w:p>
        </w:tc>
        <w:tc>
          <w:tcPr>
            <w:tcW w:w="1933" w:type="dxa"/>
            <w:tcBorders>
              <w:bottom w:val="single" w:sz="4" w:space="0" w:color="auto"/>
              <w:right w:val="nil"/>
            </w:tcBorders>
            <w:shd w:val="clear" w:color="auto" w:fill="auto"/>
            <w:vAlign w:val="center"/>
          </w:tcPr>
          <w:p w14:paraId="4E3FA68B" w14:textId="77777777" w:rsidR="00B127E9" w:rsidRPr="00ED7521" w:rsidRDefault="00B127E9" w:rsidP="00B127E9">
            <w:pPr>
              <w:spacing w:line="276"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AVE</w:t>
            </w:r>
          </w:p>
        </w:tc>
      </w:tr>
      <w:tr w:rsidR="00B127E9" w:rsidRPr="00ED7521" w14:paraId="73E0E805" w14:textId="77777777" w:rsidTr="002E1874">
        <w:tc>
          <w:tcPr>
            <w:tcW w:w="3114" w:type="dxa"/>
            <w:tcBorders>
              <w:left w:val="nil"/>
              <w:bottom w:val="nil"/>
              <w:right w:val="nil"/>
            </w:tcBorders>
            <w:shd w:val="clear" w:color="auto" w:fill="D9E2F3"/>
            <w:vAlign w:val="center"/>
          </w:tcPr>
          <w:p w14:paraId="3EA2B60D"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Influence of the</w:t>
            </w:r>
          </w:p>
          <w:p w14:paraId="032EE95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school environment</w:t>
            </w:r>
          </w:p>
        </w:tc>
        <w:tc>
          <w:tcPr>
            <w:tcW w:w="1984" w:type="dxa"/>
            <w:tcBorders>
              <w:left w:val="nil"/>
              <w:bottom w:val="nil"/>
              <w:right w:val="nil"/>
            </w:tcBorders>
            <w:shd w:val="clear" w:color="auto" w:fill="D9E2F3"/>
            <w:vAlign w:val="center"/>
          </w:tcPr>
          <w:p w14:paraId="39BB6A0E"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1</w:t>
            </w:r>
          </w:p>
          <w:p w14:paraId="65E069B0"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2</w:t>
            </w:r>
          </w:p>
          <w:p w14:paraId="6D43642B"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3</w:t>
            </w:r>
          </w:p>
          <w:p w14:paraId="4D66C0A7"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4</w:t>
            </w:r>
          </w:p>
          <w:p w14:paraId="79F9AA65"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5</w:t>
            </w:r>
          </w:p>
          <w:p w14:paraId="7A0ADBD3"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6</w:t>
            </w:r>
          </w:p>
          <w:p w14:paraId="0DA026AA"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7</w:t>
            </w:r>
          </w:p>
          <w:p w14:paraId="53F808B8"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9</w:t>
            </w:r>
          </w:p>
          <w:p w14:paraId="6D736730"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SE 10</w:t>
            </w:r>
          </w:p>
        </w:tc>
        <w:tc>
          <w:tcPr>
            <w:tcW w:w="1985" w:type="dxa"/>
            <w:tcBorders>
              <w:left w:val="nil"/>
              <w:bottom w:val="nil"/>
              <w:right w:val="nil"/>
            </w:tcBorders>
            <w:shd w:val="clear" w:color="auto" w:fill="D9E2F3"/>
            <w:vAlign w:val="center"/>
          </w:tcPr>
          <w:p w14:paraId="7F4A8F4D"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0.7 10</w:t>
            </w:r>
          </w:p>
          <w:p w14:paraId="6A686858"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0.878</w:t>
            </w:r>
          </w:p>
          <w:p w14:paraId="4277DD0C"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0.929</w:t>
            </w:r>
          </w:p>
          <w:p w14:paraId="0B67F07A"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0.908</w:t>
            </w:r>
          </w:p>
          <w:p w14:paraId="2D81270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0.7 27</w:t>
            </w:r>
          </w:p>
          <w:p w14:paraId="4EC20B0F"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0.911</w:t>
            </w:r>
          </w:p>
          <w:p w14:paraId="052F130C"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0.862</w:t>
            </w:r>
          </w:p>
          <w:p w14:paraId="79FA699B"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0.848</w:t>
            </w:r>
          </w:p>
          <w:p w14:paraId="16B24CA2"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0.785</w:t>
            </w:r>
          </w:p>
        </w:tc>
        <w:tc>
          <w:tcPr>
            <w:tcW w:w="1933" w:type="dxa"/>
            <w:tcBorders>
              <w:left w:val="nil"/>
              <w:bottom w:val="nil"/>
              <w:right w:val="nil"/>
            </w:tcBorders>
            <w:shd w:val="clear" w:color="auto" w:fill="D9E2F3"/>
            <w:vAlign w:val="center"/>
          </w:tcPr>
          <w:p w14:paraId="513296ED" w14:textId="77777777" w:rsidR="00B127E9" w:rsidRPr="00ED7521" w:rsidRDefault="00B127E9" w:rsidP="00B127E9">
            <w:pPr>
              <w:spacing w:line="276" w:lineRule="auto"/>
              <w:jc w:val="center"/>
              <w:rPr>
                <w:rFonts w:ascii="Palatino Linotype" w:hAnsi="Palatino Linotype" w:cs="Times New Roman"/>
                <w:sz w:val="20"/>
                <w:szCs w:val="20"/>
              </w:rPr>
            </w:pPr>
          </w:p>
          <w:p w14:paraId="1CD4E528" w14:textId="77777777" w:rsidR="00B127E9" w:rsidRPr="00ED7521" w:rsidRDefault="00B127E9" w:rsidP="00B127E9">
            <w:pPr>
              <w:spacing w:line="276" w:lineRule="auto"/>
              <w:jc w:val="center"/>
              <w:rPr>
                <w:rFonts w:ascii="Palatino Linotype" w:hAnsi="Palatino Linotype" w:cs="Times New Roman"/>
                <w:sz w:val="20"/>
                <w:szCs w:val="20"/>
              </w:rPr>
            </w:pPr>
          </w:p>
          <w:p w14:paraId="2E67E7F4" w14:textId="77777777" w:rsidR="00B127E9" w:rsidRPr="00ED7521" w:rsidRDefault="00B127E9" w:rsidP="00B127E9">
            <w:pPr>
              <w:spacing w:line="276" w:lineRule="auto"/>
              <w:jc w:val="center"/>
              <w:rPr>
                <w:rFonts w:ascii="Palatino Linotype" w:hAnsi="Palatino Linotype" w:cs="Times New Roman"/>
                <w:sz w:val="20"/>
                <w:szCs w:val="20"/>
              </w:rPr>
            </w:pPr>
          </w:p>
          <w:p w14:paraId="633A4CDC" w14:textId="77777777" w:rsidR="00B127E9" w:rsidRPr="00ED7521" w:rsidRDefault="00B127E9" w:rsidP="00B127E9">
            <w:pPr>
              <w:spacing w:line="276" w:lineRule="auto"/>
              <w:jc w:val="center"/>
              <w:rPr>
                <w:rFonts w:ascii="Palatino Linotype" w:hAnsi="Palatino Linotype" w:cs="Times New Roman"/>
                <w:sz w:val="20"/>
                <w:szCs w:val="20"/>
              </w:rPr>
            </w:pPr>
          </w:p>
          <w:p w14:paraId="4EA3903A"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sz w:val="20"/>
                <w:szCs w:val="20"/>
              </w:rPr>
              <w:t>0.679​</w:t>
            </w:r>
          </w:p>
        </w:tc>
      </w:tr>
      <w:tr w:rsidR="00B127E9" w:rsidRPr="00ED7521" w14:paraId="59356B54" w14:textId="77777777" w:rsidTr="002E1874">
        <w:tc>
          <w:tcPr>
            <w:tcW w:w="3114" w:type="dxa"/>
            <w:tcBorders>
              <w:top w:val="nil"/>
              <w:left w:val="nil"/>
              <w:bottom w:val="nil"/>
              <w:right w:val="nil"/>
            </w:tcBorders>
            <w:shd w:val="clear" w:color="auto" w:fill="D9E2F3"/>
            <w:vAlign w:val="center"/>
          </w:tcPr>
          <w:p w14:paraId="1631F7B0"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Mental Health</w:t>
            </w:r>
          </w:p>
        </w:tc>
        <w:tc>
          <w:tcPr>
            <w:tcW w:w="1984" w:type="dxa"/>
            <w:tcBorders>
              <w:top w:val="nil"/>
              <w:left w:val="nil"/>
              <w:bottom w:val="nil"/>
              <w:right w:val="nil"/>
            </w:tcBorders>
            <w:shd w:val="clear" w:color="auto" w:fill="D9E2F3"/>
            <w:vAlign w:val="center"/>
          </w:tcPr>
          <w:p w14:paraId="15F7D5C2"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1</w:t>
            </w:r>
          </w:p>
          <w:p w14:paraId="5FD03D81"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2</w:t>
            </w:r>
          </w:p>
          <w:p w14:paraId="52D46962"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3</w:t>
            </w:r>
          </w:p>
          <w:p w14:paraId="39DBC78B"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4</w:t>
            </w:r>
          </w:p>
          <w:p w14:paraId="3F82EB66"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5</w:t>
            </w:r>
          </w:p>
          <w:p w14:paraId="1C8D81F9"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6</w:t>
            </w:r>
          </w:p>
          <w:p w14:paraId="7BBFDFBB"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7</w:t>
            </w:r>
          </w:p>
          <w:p w14:paraId="0AF70492"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8</w:t>
            </w:r>
          </w:p>
          <w:p w14:paraId="4176FD6D"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9</w:t>
            </w:r>
          </w:p>
          <w:p w14:paraId="0CE514C5" w14:textId="77777777" w:rsidR="00B127E9" w:rsidRPr="00ED7521" w:rsidRDefault="00B127E9" w:rsidP="00B127E9">
            <w:pPr>
              <w:spacing w:line="240" w:lineRule="auto"/>
              <w:jc w:val="center"/>
              <w:rPr>
                <w:rFonts w:ascii="Palatino Linotype" w:hAnsi="Palatino Linotype" w:cs="Times New Roman"/>
                <w:sz w:val="20"/>
                <w:szCs w:val="20"/>
                <w:lang w:val="nl-NL"/>
              </w:rPr>
            </w:pPr>
            <w:r w:rsidRPr="00ED7521">
              <w:rPr>
                <w:rFonts w:ascii="Palatino Linotype" w:hAnsi="Palatino Linotype" w:cs="Times New Roman"/>
                <w:sz w:val="20"/>
                <w:szCs w:val="20"/>
                <w:lang w:val="nl-NL"/>
              </w:rPr>
              <w:t>MH 10</w:t>
            </w:r>
          </w:p>
        </w:tc>
        <w:tc>
          <w:tcPr>
            <w:tcW w:w="1985" w:type="dxa"/>
            <w:tcBorders>
              <w:top w:val="nil"/>
              <w:left w:val="nil"/>
              <w:bottom w:val="nil"/>
              <w:right w:val="nil"/>
            </w:tcBorders>
            <w:shd w:val="clear" w:color="auto" w:fill="D9E2F3"/>
            <w:vAlign w:val="center"/>
          </w:tcPr>
          <w:p w14:paraId="4B5A78B2"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0.894</w:t>
            </w:r>
          </w:p>
          <w:p w14:paraId="68D5282B"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0.868</w:t>
            </w:r>
          </w:p>
          <w:p w14:paraId="5472DBDA"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0.754</w:t>
            </w:r>
          </w:p>
          <w:p w14:paraId="5569190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0.824</w:t>
            </w:r>
          </w:p>
          <w:p w14:paraId="3BF30647"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0.823</w:t>
            </w:r>
          </w:p>
          <w:p w14:paraId="7544A39D"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0.862</w:t>
            </w:r>
          </w:p>
          <w:p w14:paraId="6545A55C"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0.799</w:t>
            </w:r>
          </w:p>
          <w:p w14:paraId="3BE5A6D8"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0.860</w:t>
            </w:r>
          </w:p>
          <w:p w14:paraId="743E7FF0"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0.844</w:t>
            </w:r>
          </w:p>
          <w:p w14:paraId="1CBF015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0.828</w:t>
            </w:r>
          </w:p>
        </w:tc>
        <w:tc>
          <w:tcPr>
            <w:tcW w:w="1933" w:type="dxa"/>
            <w:tcBorders>
              <w:top w:val="nil"/>
              <w:left w:val="nil"/>
              <w:bottom w:val="nil"/>
              <w:right w:val="nil"/>
            </w:tcBorders>
            <w:shd w:val="clear" w:color="auto" w:fill="D9E2F3"/>
            <w:vAlign w:val="center"/>
          </w:tcPr>
          <w:p w14:paraId="66A42B45" w14:textId="77777777" w:rsidR="00B127E9" w:rsidRPr="00ED7521" w:rsidRDefault="00B127E9" w:rsidP="00B127E9">
            <w:pPr>
              <w:spacing w:line="276" w:lineRule="auto"/>
              <w:jc w:val="center"/>
              <w:rPr>
                <w:rFonts w:ascii="Palatino Linotype" w:hAnsi="Palatino Linotype" w:cs="Times New Roman"/>
                <w:sz w:val="20"/>
                <w:szCs w:val="20"/>
              </w:rPr>
            </w:pPr>
          </w:p>
          <w:p w14:paraId="431CD1C7" w14:textId="77777777" w:rsidR="00B127E9" w:rsidRPr="00ED7521" w:rsidRDefault="00B127E9" w:rsidP="00B127E9">
            <w:pPr>
              <w:spacing w:line="276" w:lineRule="auto"/>
              <w:jc w:val="center"/>
              <w:rPr>
                <w:rFonts w:ascii="Palatino Linotype" w:hAnsi="Palatino Linotype" w:cs="Times New Roman"/>
                <w:sz w:val="20"/>
                <w:szCs w:val="20"/>
              </w:rPr>
            </w:pPr>
          </w:p>
          <w:p w14:paraId="43A8A5B8" w14:textId="77777777" w:rsidR="00B127E9" w:rsidRPr="00ED7521" w:rsidRDefault="00B127E9" w:rsidP="00B127E9">
            <w:pPr>
              <w:spacing w:line="276" w:lineRule="auto"/>
              <w:jc w:val="center"/>
              <w:rPr>
                <w:rFonts w:ascii="Palatino Linotype" w:hAnsi="Palatino Linotype" w:cs="Times New Roman"/>
                <w:sz w:val="20"/>
                <w:szCs w:val="20"/>
              </w:rPr>
            </w:pPr>
          </w:p>
          <w:p w14:paraId="37EA694C" w14:textId="77777777" w:rsidR="00B127E9" w:rsidRPr="00ED7521" w:rsidRDefault="00B127E9" w:rsidP="00B127E9">
            <w:pPr>
              <w:spacing w:line="276" w:lineRule="auto"/>
              <w:jc w:val="center"/>
              <w:rPr>
                <w:rFonts w:ascii="Palatino Linotype" w:hAnsi="Palatino Linotype" w:cs="Times New Roman"/>
                <w:sz w:val="20"/>
                <w:szCs w:val="20"/>
              </w:rPr>
            </w:pPr>
          </w:p>
          <w:p w14:paraId="36D66034"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sz w:val="20"/>
                <w:szCs w:val="20"/>
              </w:rPr>
              <w:t>0.700</w:t>
            </w:r>
          </w:p>
        </w:tc>
      </w:tr>
      <w:tr w:rsidR="00B127E9" w:rsidRPr="00ED7521" w14:paraId="3E022294" w14:textId="77777777" w:rsidTr="002E1874">
        <w:tc>
          <w:tcPr>
            <w:tcW w:w="3114" w:type="dxa"/>
            <w:tcBorders>
              <w:top w:val="nil"/>
              <w:left w:val="nil"/>
              <w:right w:val="nil"/>
            </w:tcBorders>
            <w:shd w:val="clear" w:color="auto" w:fill="D9E2F3"/>
            <w:vAlign w:val="center"/>
          </w:tcPr>
          <w:p w14:paraId="71635772"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Post-Tarumatic</w:t>
            </w:r>
          </w:p>
          <w:p w14:paraId="0B1E99C4"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Growth Children</w:t>
            </w:r>
          </w:p>
        </w:tc>
        <w:tc>
          <w:tcPr>
            <w:tcW w:w="1984" w:type="dxa"/>
            <w:tcBorders>
              <w:top w:val="nil"/>
              <w:left w:val="nil"/>
              <w:right w:val="nil"/>
            </w:tcBorders>
            <w:shd w:val="clear" w:color="auto" w:fill="D9E2F3"/>
            <w:vAlign w:val="center"/>
          </w:tcPr>
          <w:p w14:paraId="2FFDB6AA"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1</w:t>
            </w:r>
          </w:p>
          <w:p w14:paraId="33557605"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2</w:t>
            </w:r>
          </w:p>
          <w:p w14:paraId="709D649F"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3</w:t>
            </w:r>
          </w:p>
          <w:p w14:paraId="612A1A8D"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4</w:t>
            </w:r>
          </w:p>
          <w:p w14:paraId="2749778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5</w:t>
            </w:r>
          </w:p>
          <w:p w14:paraId="487C3E6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6</w:t>
            </w:r>
          </w:p>
          <w:p w14:paraId="6171E72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7</w:t>
            </w:r>
          </w:p>
          <w:p w14:paraId="69BCB94C"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8</w:t>
            </w:r>
          </w:p>
          <w:p w14:paraId="081D906C"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9</w:t>
            </w:r>
          </w:p>
          <w:p w14:paraId="713A43B7"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PTG 10</w:t>
            </w:r>
          </w:p>
        </w:tc>
        <w:tc>
          <w:tcPr>
            <w:tcW w:w="1985" w:type="dxa"/>
            <w:tcBorders>
              <w:top w:val="nil"/>
              <w:left w:val="nil"/>
              <w:right w:val="nil"/>
            </w:tcBorders>
            <w:shd w:val="clear" w:color="auto" w:fill="D9E2F3"/>
            <w:vAlign w:val="center"/>
          </w:tcPr>
          <w:p w14:paraId="6344C46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0.834</w:t>
            </w:r>
          </w:p>
          <w:p w14:paraId="6030A107"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0.813</w:t>
            </w:r>
          </w:p>
          <w:p w14:paraId="449E670E"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0.859</w:t>
            </w:r>
          </w:p>
          <w:p w14:paraId="0BE451F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0.826</w:t>
            </w:r>
          </w:p>
          <w:p w14:paraId="51283376"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0.891</w:t>
            </w:r>
          </w:p>
          <w:p w14:paraId="0E4B1674"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0.838</w:t>
            </w:r>
          </w:p>
          <w:p w14:paraId="71A918C9"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0.893</w:t>
            </w:r>
          </w:p>
          <w:p w14:paraId="7F28BD25"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0.850</w:t>
            </w:r>
          </w:p>
          <w:p w14:paraId="58ED2475"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0.874</w:t>
            </w:r>
          </w:p>
          <w:p w14:paraId="1C9C8BA0"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0.920</w:t>
            </w:r>
          </w:p>
        </w:tc>
        <w:tc>
          <w:tcPr>
            <w:tcW w:w="1933" w:type="dxa"/>
            <w:tcBorders>
              <w:top w:val="nil"/>
              <w:left w:val="nil"/>
              <w:right w:val="nil"/>
            </w:tcBorders>
            <w:shd w:val="clear" w:color="auto" w:fill="D9E2F3"/>
            <w:vAlign w:val="center"/>
          </w:tcPr>
          <w:p w14:paraId="3CA53AEA" w14:textId="77777777" w:rsidR="00B127E9" w:rsidRPr="00ED7521" w:rsidRDefault="00B127E9" w:rsidP="00B127E9">
            <w:pPr>
              <w:spacing w:line="276" w:lineRule="auto"/>
              <w:jc w:val="center"/>
              <w:rPr>
                <w:rFonts w:ascii="Palatino Linotype" w:hAnsi="Palatino Linotype" w:cs="Times New Roman"/>
                <w:sz w:val="20"/>
                <w:szCs w:val="20"/>
              </w:rPr>
            </w:pPr>
          </w:p>
          <w:p w14:paraId="29D1E8EB" w14:textId="77777777" w:rsidR="00B127E9" w:rsidRPr="00ED7521" w:rsidRDefault="00B127E9" w:rsidP="00B127E9">
            <w:pPr>
              <w:spacing w:line="276" w:lineRule="auto"/>
              <w:jc w:val="center"/>
              <w:rPr>
                <w:rFonts w:ascii="Palatino Linotype" w:hAnsi="Palatino Linotype" w:cs="Times New Roman"/>
                <w:sz w:val="20"/>
                <w:szCs w:val="20"/>
              </w:rPr>
            </w:pPr>
          </w:p>
          <w:p w14:paraId="74E144E7" w14:textId="77777777" w:rsidR="00B127E9" w:rsidRPr="00ED7521" w:rsidRDefault="00B127E9" w:rsidP="00B127E9">
            <w:pPr>
              <w:spacing w:line="276" w:lineRule="auto"/>
              <w:jc w:val="center"/>
              <w:rPr>
                <w:rFonts w:ascii="Palatino Linotype" w:hAnsi="Palatino Linotype" w:cs="Times New Roman"/>
                <w:sz w:val="20"/>
                <w:szCs w:val="20"/>
              </w:rPr>
            </w:pPr>
          </w:p>
          <w:p w14:paraId="011D4157" w14:textId="77777777" w:rsidR="00B127E9" w:rsidRPr="00ED7521" w:rsidRDefault="00B127E9" w:rsidP="00B127E9">
            <w:pPr>
              <w:spacing w:line="276" w:lineRule="auto"/>
              <w:jc w:val="center"/>
              <w:rPr>
                <w:rFonts w:ascii="Palatino Linotype" w:hAnsi="Palatino Linotype" w:cs="Times New Roman"/>
                <w:sz w:val="20"/>
                <w:szCs w:val="20"/>
              </w:rPr>
            </w:pPr>
          </w:p>
          <w:p w14:paraId="5A605DFA"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sz w:val="20"/>
                <w:szCs w:val="20"/>
              </w:rPr>
              <w:t>0.741</w:t>
            </w:r>
          </w:p>
        </w:tc>
      </w:tr>
    </w:tbl>
    <w:p w14:paraId="48F67CC4" w14:textId="77777777" w:rsidR="00B127E9" w:rsidRPr="00ED7521" w:rsidRDefault="00B127E9" w:rsidP="00B127E9">
      <w:pPr>
        <w:spacing w:line="276" w:lineRule="auto"/>
        <w:ind w:firstLine="425"/>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results in table 3 show that the AVE square values for each indicator, SE (0.700), MH (0.741), and PTG (0.711), are all larger than 0.50, indicating that the acquired results are significant for each </w:t>
      </w:r>
      <w:r w:rsidRPr="00ED7521">
        <w:rPr>
          <w:rFonts w:ascii="Palatino Linotype" w:hAnsi="Palatino Linotype" w:cs="Times New Roman"/>
          <w:sz w:val="20"/>
          <w:szCs w:val="20"/>
        </w:rPr>
        <w:lastRenderedPageBreak/>
        <w:t>construct. The results confirm that the indicators utilised in this research fit the requirements of convergent validity norms.</w:t>
      </w:r>
    </w:p>
    <w:p w14:paraId="3D31F38A" w14:textId="77777777" w:rsidR="00B127E9" w:rsidRPr="00ED7521" w:rsidRDefault="00B127E9" w:rsidP="00B127E9">
      <w:pPr>
        <w:numPr>
          <w:ilvl w:val="0"/>
          <w:numId w:val="20"/>
        </w:numPr>
        <w:spacing w:line="276" w:lineRule="auto"/>
        <w:jc w:val="both"/>
        <w:rPr>
          <w:rFonts w:ascii="Palatino Linotype" w:hAnsi="Palatino Linotype" w:cs="Times New Roman"/>
          <w:b/>
          <w:bCs/>
          <w:sz w:val="20"/>
          <w:szCs w:val="20"/>
        </w:rPr>
      </w:pPr>
      <w:bookmarkStart w:id="2" w:name="_Hlk186023075"/>
      <w:bookmarkEnd w:id="1"/>
      <w:r w:rsidRPr="00ED7521">
        <w:rPr>
          <w:rFonts w:ascii="Palatino Linotype" w:hAnsi="Palatino Linotype" w:cs="Times New Roman"/>
          <w:b/>
          <w:bCs/>
          <w:sz w:val="20"/>
          <w:szCs w:val="20"/>
        </w:rPr>
        <w:t>Discriminant Validity</w:t>
      </w:r>
    </w:p>
    <w:p w14:paraId="4058C621" w14:textId="535A8B2B"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Discriminant validity tests are conducted to verify convergent validity and evaluate the effectiveness of measurement instruments for various indicator constructs. This is done to ensure that the constructions for each indicator may be deemed satisfactory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{"citationItems":[{"id":"ITEM-1","itemData":{"DOI":"10.1007/s10490-023-09871-y","ISBN":"1049002309871","ISSN":"15729958","abstract":"Many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Management","id":"ITEM-1","issue":"2","issued":{"date-parts":[["2023"]]},"number-of-pages":"745-783","publisher":"Springer US","title":"Reporting reliability, convergent and discriminant validity with structural equation modeling: A review and best-practice recommendations","type":"book","volume":"41"},"uris":["http://www.mendeley.com/documents/?uuid=7fc183d6-701c-40db-8b68-4598ceeee9cd"]}],"mendeley":{"formattedCitation":"(Cheung, Cooper-Thomas, Lau, &amp; Wang, 2023)","plainTextFormattedCitation":"(Cheung, Cooper-Thomas, Lau, &amp; Wang, 2023)","previouslyFormattedCitation":"(Cheung, Cooper-Thomas, Lau, &amp; Wang, 2023)"},"properties":{"noteIndex":0},"schema":"https://github.com/citation-style-language/schema/raw/master/csl-citation.json"}</w:instrText>
      </w:r>
      <w:r w:rsidRPr="00ED7521">
        <w:rPr>
          <w:rFonts w:ascii="Palatino Linotype" w:hAnsi="Palatino Linotype" w:cs="Times New Roman"/>
          <w:sz w:val="20"/>
          <w:szCs w:val="20"/>
        </w:rPr>
        <w:fldChar w:fldCharType="separate"/>
      </w:r>
      <w:r w:rsidR="00ED7521" w:rsidRPr="00ED7521">
        <w:rPr>
          <w:rFonts w:ascii="Palatino Linotype" w:hAnsi="Palatino Linotype" w:cs="Times New Roman"/>
          <w:noProof/>
          <w:sz w:val="20"/>
          <w:szCs w:val="20"/>
        </w:rPr>
        <w:t>(Cheung, Cooper-Thomas, Lau, &amp; Wang, 2023)</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Prior to conducting a discriminant validity test, it is imperative to first do a construct validity test by examining the AVE (</w:t>
      </w:r>
      <w:r w:rsidRPr="00741B7F">
        <w:rPr>
          <w:rFonts w:ascii="Palatino Linotype" w:hAnsi="Palatino Linotype" w:cs="Times New Roman"/>
          <w:i/>
          <w:iCs/>
          <w:sz w:val="20"/>
          <w:szCs w:val="20"/>
        </w:rPr>
        <w:t>Average Variance Extracted</w:t>
      </w:r>
      <w:r w:rsidRPr="00ED7521">
        <w:rPr>
          <w:rFonts w:ascii="Palatino Linotype" w:hAnsi="Palatino Linotype" w:cs="Times New Roman"/>
          <w:sz w:val="20"/>
          <w:szCs w:val="20"/>
        </w:rPr>
        <w:t>) value. It is crucial to confirm that the construct representation is derived from each indicator.</w:t>
      </w:r>
    </w:p>
    <w:p w14:paraId="28B5C764" w14:textId="77777777" w:rsidR="00B127E9" w:rsidRPr="00ED7521" w:rsidRDefault="00B127E9" w:rsidP="00B127E9">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w:t>
      </w:r>
      <w:proofErr w:type="gramStart"/>
      <w:r w:rsidRPr="00ED7521">
        <w:rPr>
          <w:rFonts w:ascii="Palatino Linotype" w:hAnsi="Palatino Linotype" w:cs="Times New Roman"/>
          <w:b/>
          <w:bCs/>
          <w:sz w:val="20"/>
          <w:szCs w:val="20"/>
        </w:rPr>
        <w:t xml:space="preserve">4 </w:t>
      </w:r>
      <w:r w:rsidRPr="00ED7521">
        <w:rPr>
          <w:rFonts w:ascii="Palatino Linotype" w:hAnsi="Palatino Linotype" w:cs="Times New Roman"/>
          <w:sz w:val="20"/>
          <w:szCs w:val="20"/>
        </w:rPr>
        <w:t>.</w:t>
      </w:r>
      <w:proofErr w:type="gramEnd"/>
      <w:r w:rsidRPr="00ED7521">
        <w:rPr>
          <w:rFonts w:ascii="Palatino Linotype" w:hAnsi="Palatino Linotype" w:cs="Times New Roman"/>
          <w:sz w:val="20"/>
          <w:szCs w:val="20"/>
        </w:rPr>
        <w:t xml:space="preserve"> Discriminant Validity</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47"/>
        <w:gridCol w:w="1961"/>
        <w:gridCol w:w="2008"/>
        <w:gridCol w:w="2556"/>
      </w:tblGrid>
      <w:tr w:rsidR="00B127E9" w:rsidRPr="00ED7521" w14:paraId="5475FC56" w14:textId="77777777" w:rsidTr="002E1874">
        <w:trPr>
          <w:trHeight w:val="534"/>
        </w:trPr>
        <w:tc>
          <w:tcPr>
            <w:tcW w:w="2547" w:type="dxa"/>
            <w:tcBorders>
              <w:bottom w:val="single" w:sz="4" w:space="0" w:color="auto"/>
              <w:right w:val="nil"/>
            </w:tcBorders>
            <w:shd w:val="clear" w:color="auto" w:fill="D9E2F3"/>
          </w:tcPr>
          <w:p w14:paraId="60AF1447" w14:textId="77777777" w:rsidR="00B127E9" w:rsidRPr="00ED7521" w:rsidRDefault="00B127E9" w:rsidP="00B127E9">
            <w:pPr>
              <w:spacing w:line="240" w:lineRule="auto"/>
              <w:jc w:val="both"/>
              <w:rPr>
                <w:rFonts w:ascii="Palatino Linotype" w:hAnsi="Palatino Linotype" w:cs="Times New Roman"/>
                <w:sz w:val="20"/>
                <w:szCs w:val="20"/>
              </w:rPr>
            </w:pPr>
          </w:p>
        </w:tc>
        <w:tc>
          <w:tcPr>
            <w:tcW w:w="1961" w:type="dxa"/>
            <w:tcBorders>
              <w:left w:val="nil"/>
              <w:bottom w:val="single" w:sz="4" w:space="0" w:color="auto"/>
              <w:right w:val="nil"/>
            </w:tcBorders>
            <w:shd w:val="clear" w:color="auto" w:fill="D9E2F3"/>
            <w:vAlign w:val="center"/>
          </w:tcPr>
          <w:p w14:paraId="37A9D68A"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Mental Health</w:t>
            </w:r>
          </w:p>
        </w:tc>
        <w:tc>
          <w:tcPr>
            <w:tcW w:w="2008" w:type="dxa"/>
            <w:tcBorders>
              <w:left w:val="nil"/>
              <w:bottom w:val="single" w:sz="4" w:space="0" w:color="auto"/>
              <w:right w:val="nil"/>
            </w:tcBorders>
            <w:shd w:val="clear" w:color="auto" w:fill="D9E2F3"/>
            <w:vAlign w:val="center"/>
          </w:tcPr>
          <w:p w14:paraId="09983172"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Post Traumatic Growth</w:t>
            </w:r>
          </w:p>
        </w:tc>
        <w:tc>
          <w:tcPr>
            <w:tcW w:w="2556" w:type="dxa"/>
            <w:tcBorders>
              <w:left w:val="nil"/>
              <w:bottom w:val="single" w:sz="4" w:space="0" w:color="auto"/>
            </w:tcBorders>
            <w:shd w:val="clear" w:color="auto" w:fill="D9E2F3"/>
            <w:vAlign w:val="center"/>
          </w:tcPr>
          <w:p w14:paraId="2EAD969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School Environment</w:t>
            </w:r>
          </w:p>
        </w:tc>
      </w:tr>
      <w:tr w:rsidR="00B127E9" w:rsidRPr="00ED7521" w14:paraId="27BEACE7" w14:textId="77777777" w:rsidTr="002E1874">
        <w:trPr>
          <w:trHeight w:val="331"/>
        </w:trPr>
        <w:tc>
          <w:tcPr>
            <w:tcW w:w="2547" w:type="dxa"/>
            <w:tcBorders>
              <w:bottom w:val="nil"/>
              <w:right w:val="nil"/>
            </w:tcBorders>
            <w:shd w:val="clear" w:color="auto" w:fill="FFFFFF"/>
            <w:vAlign w:val="center"/>
          </w:tcPr>
          <w:p w14:paraId="4D5E49E8"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Mental Health</w:t>
            </w:r>
          </w:p>
        </w:tc>
        <w:tc>
          <w:tcPr>
            <w:tcW w:w="1961" w:type="dxa"/>
            <w:tcBorders>
              <w:left w:val="nil"/>
              <w:bottom w:val="nil"/>
              <w:right w:val="nil"/>
            </w:tcBorders>
            <w:shd w:val="clear" w:color="auto" w:fill="auto"/>
            <w:vAlign w:val="center"/>
          </w:tcPr>
          <w:p w14:paraId="35461AE1"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0.837</w:t>
            </w:r>
          </w:p>
        </w:tc>
        <w:tc>
          <w:tcPr>
            <w:tcW w:w="2008" w:type="dxa"/>
            <w:tcBorders>
              <w:left w:val="nil"/>
              <w:bottom w:val="nil"/>
              <w:right w:val="nil"/>
            </w:tcBorders>
            <w:shd w:val="clear" w:color="auto" w:fill="auto"/>
            <w:vAlign w:val="center"/>
          </w:tcPr>
          <w:p w14:paraId="5D81FC28" w14:textId="77777777" w:rsidR="00B127E9" w:rsidRPr="00ED7521" w:rsidRDefault="00B127E9" w:rsidP="00B127E9">
            <w:pPr>
              <w:spacing w:line="240" w:lineRule="auto"/>
              <w:jc w:val="center"/>
              <w:rPr>
                <w:rFonts w:ascii="Palatino Linotype" w:hAnsi="Palatino Linotype" w:cs="Times New Roman"/>
                <w:sz w:val="20"/>
                <w:szCs w:val="20"/>
              </w:rPr>
            </w:pPr>
          </w:p>
        </w:tc>
        <w:tc>
          <w:tcPr>
            <w:tcW w:w="2556" w:type="dxa"/>
            <w:tcBorders>
              <w:left w:val="nil"/>
              <w:bottom w:val="nil"/>
            </w:tcBorders>
            <w:shd w:val="clear" w:color="auto" w:fill="auto"/>
            <w:vAlign w:val="center"/>
          </w:tcPr>
          <w:p w14:paraId="5EB3833D" w14:textId="77777777" w:rsidR="00B127E9" w:rsidRPr="00ED7521" w:rsidRDefault="00B127E9" w:rsidP="00B127E9">
            <w:pPr>
              <w:spacing w:line="240" w:lineRule="auto"/>
              <w:jc w:val="center"/>
              <w:rPr>
                <w:rFonts w:ascii="Palatino Linotype" w:hAnsi="Palatino Linotype" w:cs="Times New Roman"/>
                <w:sz w:val="20"/>
                <w:szCs w:val="20"/>
              </w:rPr>
            </w:pPr>
          </w:p>
        </w:tc>
      </w:tr>
      <w:tr w:rsidR="00B127E9" w:rsidRPr="00ED7521" w14:paraId="1BA54550" w14:textId="77777777" w:rsidTr="002E1874">
        <w:trPr>
          <w:trHeight w:val="261"/>
        </w:trPr>
        <w:tc>
          <w:tcPr>
            <w:tcW w:w="2547" w:type="dxa"/>
            <w:tcBorders>
              <w:top w:val="nil"/>
              <w:bottom w:val="nil"/>
              <w:right w:val="nil"/>
            </w:tcBorders>
            <w:shd w:val="clear" w:color="auto" w:fill="FFFFFF"/>
            <w:vAlign w:val="center"/>
          </w:tcPr>
          <w:p w14:paraId="58FBE96A"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Post Traumatic Growth</w:t>
            </w:r>
          </w:p>
        </w:tc>
        <w:tc>
          <w:tcPr>
            <w:tcW w:w="1961" w:type="dxa"/>
            <w:tcBorders>
              <w:top w:val="nil"/>
              <w:left w:val="nil"/>
              <w:bottom w:val="nil"/>
              <w:right w:val="nil"/>
            </w:tcBorders>
            <w:shd w:val="clear" w:color="auto" w:fill="auto"/>
            <w:vAlign w:val="center"/>
          </w:tcPr>
          <w:p w14:paraId="53367CFF"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0.950</w:t>
            </w:r>
          </w:p>
        </w:tc>
        <w:tc>
          <w:tcPr>
            <w:tcW w:w="2008" w:type="dxa"/>
            <w:tcBorders>
              <w:top w:val="nil"/>
              <w:left w:val="nil"/>
              <w:bottom w:val="nil"/>
              <w:right w:val="nil"/>
            </w:tcBorders>
            <w:shd w:val="clear" w:color="auto" w:fill="auto"/>
            <w:vAlign w:val="center"/>
          </w:tcPr>
          <w:p w14:paraId="6C661548"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0.861</w:t>
            </w:r>
          </w:p>
        </w:tc>
        <w:tc>
          <w:tcPr>
            <w:tcW w:w="2556" w:type="dxa"/>
            <w:tcBorders>
              <w:top w:val="nil"/>
              <w:left w:val="nil"/>
              <w:bottom w:val="nil"/>
            </w:tcBorders>
            <w:shd w:val="clear" w:color="auto" w:fill="auto"/>
            <w:vAlign w:val="center"/>
          </w:tcPr>
          <w:p w14:paraId="234B5269" w14:textId="77777777" w:rsidR="00B127E9" w:rsidRPr="00ED7521" w:rsidRDefault="00B127E9" w:rsidP="00B127E9">
            <w:pPr>
              <w:spacing w:line="240" w:lineRule="auto"/>
              <w:jc w:val="center"/>
              <w:rPr>
                <w:rFonts w:ascii="Palatino Linotype" w:hAnsi="Palatino Linotype" w:cs="Times New Roman"/>
                <w:sz w:val="20"/>
                <w:szCs w:val="20"/>
              </w:rPr>
            </w:pPr>
          </w:p>
        </w:tc>
      </w:tr>
      <w:tr w:rsidR="00B127E9" w:rsidRPr="00ED7521" w14:paraId="7305D69B" w14:textId="77777777" w:rsidTr="002E1874">
        <w:trPr>
          <w:trHeight w:val="379"/>
        </w:trPr>
        <w:tc>
          <w:tcPr>
            <w:tcW w:w="2547" w:type="dxa"/>
            <w:tcBorders>
              <w:top w:val="nil"/>
              <w:right w:val="nil"/>
            </w:tcBorders>
            <w:shd w:val="clear" w:color="auto" w:fill="FFFFFF"/>
            <w:vAlign w:val="center"/>
          </w:tcPr>
          <w:p w14:paraId="2E60C643"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School Environment</w:t>
            </w:r>
          </w:p>
        </w:tc>
        <w:tc>
          <w:tcPr>
            <w:tcW w:w="1961" w:type="dxa"/>
            <w:tcBorders>
              <w:top w:val="nil"/>
              <w:left w:val="nil"/>
              <w:right w:val="nil"/>
            </w:tcBorders>
            <w:shd w:val="clear" w:color="auto" w:fill="auto"/>
            <w:vAlign w:val="center"/>
          </w:tcPr>
          <w:p w14:paraId="51A2B4A8"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0.931</w:t>
            </w:r>
          </w:p>
        </w:tc>
        <w:tc>
          <w:tcPr>
            <w:tcW w:w="2008" w:type="dxa"/>
            <w:tcBorders>
              <w:top w:val="nil"/>
              <w:left w:val="nil"/>
              <w:right w:val="nil"/>
            </w:tcBorders>
            <w:shd w:val="clear" w:color="auto" w:fill="auto"/>
            <w:vAlign w:val="center"/>
          </w:tcPr>
          <w:p w14:paraId="69F97356"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0.943</w:t>
            </w:r>
          </w:p>
        </w:tc>
        <w:tc>
          <w:tcPr>
            <w:tcW w:w="2556" w:type="dxa"/>
            <w:tcBorders>
              <w:top w:val="nil"/>
              <w:left w:val="nil"/>
            </w:tcBorders>
            <w:shd w:val="clear" w:color="auto" w:fill="auto"/>
            <w:vAlign w:val="center"/>
          </w:tcPr>
          <w:p w14:paraId="21CA9012"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0.843</w:t>
            </w:r>
          </w:p>
        </w:tc>
      </w:tr>
    </w:tbl>
    <w:p w14:paraId="0E5D10DF" w14:textId="77777777" w:rsidR="00B127E9" w:rsidRPr="00ED7521" w:rsidRDefault="00B127E9" w:rsidP="00B127E9">
      <w:pPr>
        <w:spacing w:line="276" w:lineRule="auto"/>
        <w:ind w:firstLine="425"/>
        <w:jc w:val="both"/>
        <w:rPr>
          <w:rFonts w:ascii="Palatino Linotype" w:hAnsi="Palatino Linotype" w:cs="Times New Roman"/>
          <w:sz w:val="20"/>
          <w:szCs w:val="20"/>
        </w:rPr>
      </w:pPr>
    </w:p>
    <w:p w14:paraId="1F535888" w14:textId="6478EE5B" w:rsidR="00B127E9" w:rsidRPr="00ED7521" w:rsidRDefault="00B127E9" w:rsidP="00B127E9">
      <w:pPr>
        <w:spacing w:line="276" w:lineRule="auto"/>
        <w:ind w:firstLine="425"/>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results from the </w:t>
      </w:r>
      <w:r w:rsidRPr="00741B7F">
        <w:rPr>
          <w:rFonts w:ascii="Palatino Linotype" w:hAnsi="Palatino Linotype" w:cs="Times New Roman"/>
          <w:i/>
          <w:iCs/>
          <w:sz w:val="20"/>
          <w:szCs w:val="20"/>
        </w:rPr>
        <w:t>Avarage Variance Extracted</w:t>
      </w:r>
      <w:r w:rsidRPr="00ED7521">
        <w:rPr>
          <w:rFonts w:ascii="Palatino Linotype" w:hAnsi="Palatino Linotype" w:cs="Times New Roman"/>
          <w:sz w:val="20"/>
          <w:szCs w:val="20"/>
        </w:rPr>
        <w:t xml:space="preserve"> (AVE) table, as displayed in Table 4 above, are 0.837, 0.861, and 0.843. Each of these constructions has achieved a standard AVE value greater than 0.50, indicating that the values are legitimate and match the required criteria.</w:t>
      </w:r>
    </w:p>
    <w:p w14:paraId="0D780E81" w14:textId="77777777" w:rsidR="00B127E9" w:rsidRPr="00ED7521" w:rsidRDefault="00B127E9" w:rsidP="00B127E9">
      <w:pPr>
        <w:numPr>
          <w:ilvl w:val="0"/>
          <w:numId w:val="20"/>
        </w:numPr>
        <w:spacing w:line="276" w:lineRule="auto"/>
        <w:jc w:val="both"/>
        <w:rPr>
          <w:rFonts w:ascii="Palatino Linotype" w:hAnsi="Palatino Linotype" w:cs="Times New Roman"/>
          <w:b/>
          <w:bCs/>
          <w:sz w:val="20"/>
          <w:szCs w:val="20"/>
        </w:rPr>
      </w:pPr>
      <w:bookmarkStart w:id="3" w:name="_Hlk186023124"/>
      <w:bookmarkEnd w:id="2"/>
      <w:r w:rsidRPr="00ED7521">
        <w:rPr>
          <w:rFonts w:ascii="Palatino Linotype" w:hAnsi="Palatino Linotype" w:cs="Times New Roman"/>
          <w:b/>
          <w:bCs/>
          <w:sz w:val="20"/>
          <w:szCs w:val="20"/>
        </w:rPr>
        <w:t>Reliability Test</w:t>
      </w:r>
    </w:p>
    <w:p w14:paraId="51D12E39" w14:textId="77777777" w:rsidR="00B127E9" w:rsidRPr="00ED7521" w:rsidRDefault="00B127E9" w:rsidP="00B127E9">
      <w:pPr>
        <w:spacing w:line="240"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5. </w:t>
      </w:r>
      <w:r w:rsidRPr="00ED7521">
        <w:rPr>
          <w:rFonts w:ascii="Palatino Linotype" w:hAnsi="Palatino Linotype" w:cs="Times New Roman"/>
          <w:sz w:val="20"/>
          <w:szCs w:val="20"/>
        </w:rPr>
        <w:t>Cronbach's Alpha and Composite Reliability</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56"/>
        <w:gridCol w:w="2981"/>
        <w:gridCol w:w="2835"/>
      </w:tblGrid>
      <w:tr w:rsidR="00B127E9" w:rsidRPr="00ED7521" w14:paraId="2AD56EF4" w14:textId="77777777" w:rsidTr="002E1874">
        <w:trPr>
          <w:trHeight w:val="508"/>
        </w:trPr>
        <w:tc>
          <w:tcPr>
            <w:tcW w:w="3256" w:type="dxa"/>
            <w:tcBorders>
              <w:bottom w:val="single" w:sz="4" w:space="0" w:color="auto"/>
              <w:right w:val="nil"/>
            </w:tcBorders>
            <w:shd w:val="clear" w:color="auto" w:fill="D9E2F3"/>
            <w:vAlign w:val="center"/>
          </w:tcPr>
          <w:p w14:paraId="60E725DC" w14:textId="77777777" w:rsidR="00B127E9" w:rsidRPr="00ED7521" w:rsidRDefault="00B127E9" w:rsidP="00B127E9">
            <w:pPr>
              <w:spacing w:line="240" w:lineRule="auto"/>
              <w:jc w:val="center"/>
              <w:rPr>
                <w:rFonts w:ascii="Palatino Linotype" w:hAnsi="Palatino Linotype" w:cs="Times New Roman"/>
                <w:sz w:val="20"/>
                <w:szCs w:val="20"/>
              </w:rPr>
            </w:pPr>
          </w:p>
        </w:tc>
        <w:tc>
          <w:tcPr>
            <w:tcW w:w="2981" w:type="dxa"/>
            <w:tcBorders>
              <w:left w:val="nil"/>
              <w:bottom w:val="single" w:sz="4" w:space="0" w:color="auto"/>
              <w:right w:val="nil"/>
            </w:tcBorders>
            <w:shd w:val="clear" w:color="auto" w:fill="D9E2F3"/>
            <w:vAlign w:val="center"/>
          </w:tcPr>
          <w:p w14:paraId="1EA44B01"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Cronbach's Alpha</w:t>
            </w:r>
          </w:p>
        </w:tc>
        <w:tc>
          <w:tcPr>
            <w:tcW w:w="2835" w:type="dxa"/>
            <w:tcBorders>
              <w:left w:val="nil"/>
              <w:bottom w:val="single" w:sz="4" w:space="0" w:color="auto"/>
            </w:tcBorders>
            <w:shd w:val="clear" w:color="auto" w:fill="D9E2F3"/>
            <w:vAlign w:val="center"/>
          </w:tcPr>
          <w:p w14:paraId="1FDE364A"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Composite Reliability</w:t>
            </w:r>
          </w:p>
        </w:tc>
      </w:tr>
      <w:tr w:rsidR="00B127E9" w:rsidRPr="00ED7521" w14:paraId="16558E48" w14:textId="77777777" w:rsidTr="002E1874">
        <w:trPr>
          <w:trHeight w:val="274"/>
        </w:trPr>
        <w:tc>
          <w:tcPr>
            <w:tcW w:w="3256" w:type="dxa"/>
            <w:tcBorders>
              <w:bottom w:val="nil"/>
              <w:right w:val="nil"/>
            </w:tcBorders>
            <w:shd w:val="clear" w:color="auto" w:fill="FFFFFF"/>
            <w:vAlign w:val="center"/>
          </w:tcPr>
          <w:p w14:paraId="590E57B6"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School Environment</w:t>
            </w:r>
          </w:p>
        </w:tc>
        <w:tc>
          <w:tcPr>
            <w:tcW w:w="2981" w:type="dxa"/>
            <w:tcBorders>
              <w:left w:val="nil"/>
              <w:bottom w:val="nil"/>
              <w:right w:val="nil"/>
            </w:tcBorders>
            <w:shd w:val="clear" w:color="auto" w:fill="auto"/>
            <w:vAlign w:val="center"/>
          </w:tcPr>
          <w:p w14:paraId="1647CF7D"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0.952</w:t>
            </w:r>
          </w:p>
        </w:tc>
        <w:tc>
          <w:tcPr>
            <w:tcW w:w="2835" w:type="dxa"/>
            <w:tcBorders>
              <w:left w:val="nil"/>
              <w:bottom w:val="nil"/>
            </w:tcBorders>
            <w:shd w:val="clear" w:color="auto" w:fill="auto"/>
            <w:vAlign w:val="center"/>
          </w:tcPr>
          <w:p w14:paraId="5BEFB73D"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0.954</w:t>
            </w:r>
          </w:p>
        </w:tc>
      </w:tr>
      <w:tr w:rsidR="00B127E9" w:rsidRPr="00ED7521" w14:paraId="3A3CE45D" w14:textId="77777777" w:rsidTr="002E1874">
        <w:trPr>
          <w:trHeight w:val="296"/>
        </w:trPr>
        <w:tc>
          <w:tcPr>
            <w:tcW w:w="3256" w:type="dxa"/>
            <w:tcBorders>
              <w:top w:val="nil"/>
              <w:bottom w:val="nil"/>
              <w:right w:val="nil"/>
            </w:tcBorders>
            <w:shd w:val="clear" w:color="auto" w:fill="FFFFFF"/>
            <w:vAlign w:val="center"/>
          </w:tcPr>
          <w:p w14:paraId="6B4021F1"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Mental Health</w:t>
            </w:r>
          </w:p>
        </w:tc>
        <w:tc>
          <w:tcPr>
            <w:tcW w:w="2981" w:type="dxa"/>
            <w:tcBorders>
              <w:top w:val="nil"/>
              <w:left w:val="nil"/>
              <w:bottom w:val="nil"/>
              <w:right w:val="nil"/>
            </w:tcBorders>
            <w:shd w:val="clear" w:color="auto" w:fill="auto"/>
            <w:vAlign w:val="center"/>
          </w:tcPr>
          <w:p w14:paraId="166306D3"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0.961</w:t>
            </w:r>
          </w:p>
        </w:tc>
        <w:tc>
          <w:tcPr>
            <w:tcW w:w="2835" w:type="dxa"/>
            <w:tcBorders>
              <w:top w:val="nil"/>
              <w:left w:val="nil"/>
              <w:bottom w:val="nil"/>
            </w:tcBorders>
            <w:shd w:val="clear" w:color="auto" w:fill="auto"/>
            <w:vAlign w:val="center"/>
          </w:tcPr>
          <w:p w14:paraId="70099242"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0.962</w:t>
            </w:r>
          </w:p>
        </w:tc>
      </w:tr>
      <w:tr w:rsidR="00B127E9" w:rsidRPr="00ED7521" w14:paraId="78590EE9" w14:textId="77777777" w:rsidTr="002E1874">
        <w:trPr>
          <w:trHeight w:val="244"/>
        </w:trPr>
        <w:tc>
          <w:tcPr>
            <w:tcW w:w="3256" w:type="dxa"/>
            <w:tcBorders>
              <w:top w:val="nil"/>
              <w:right w:val="nil"/>
            </w:tcBorders>
            <w:shd w:val="clear" w:color="auto" w:fill="FFFFFF"/>
            <w:vAlign w:val="center"/>
          </w:tcPr>
          <w:p w14:paraId="4D119D53"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Post-Traumatic Growth</w:t>
            </w:r>
          </w:p>
        </w:tc>
        <w:tc>
          <w:tcPr>
            <w:tcW w:w="2981" w:type="dxa"/>
            <w:tcBorders>
              <w:top w:val="nil"/>
              <w:left w:val="nil"/>
              <w:right w:val="nil"/>
            </w:tcBorders>
            <w:shd w:val="clear" w:color="auto" w:fill="auto"/>
            <w:vAlign w:val="center"/>
          </w:tcPr>
          <w:p w14:paraId="37CD5551"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0.946</w:t>
            </w:r>
          </w:p>
        </w:tc>
        <w:tc>
          <w:tcPr>
            <w:tcW w:w="2835" w:type="dxa"/>
            <w:tcBorders>
              <w:top w:val="nil"/>
              <w:left w:val="nil"/>
            </w:tcBorders>
            <w:shd w:val="clear" w:color="auto" w:fill="auto"/>
            <w:vAlign w:val="center"/>
          </w:tcPr>
          <w:p w14:paraId="5B4EC7EF" w14:textId="77777777" w:rsidR="00B127E9" w:rsidRPr="00ED7521" w:rsidRDefault="00B127E9" w:rsidP="00B127E9">
            <w:pPr>
              <w:spacing w:line="240" w:lineRule="auto"/>
              <w:jc w:val="center"/>
              <w:rPr>
                <w:rFonts w:ascii="Palatino Linotype" w:hAnsi="Palatino Linotype" w:cs="Times New Roman"/>
                <w:sz w:val="20"/>
                <w:szCs w:val="20"/>
                <w:lang w:val="it-IT"/>
              </w:rPr>
            </w:pPr>
            <w:r w:rsidRPr="00ED7521">
              <w:rPr>
                <w:rFonts w:ascii="Palatino Linotype" w:hAnsi="Palatino Linotype" w:cs="Times New Roman"/>
                <w:sz w:val="20"/>
                <w:szCs w:val="20"/>
                <w:lang w:val="it-IT"/>
              </w:rPr>
              <w:t>0.954</w:t>
            </w:r>
          </w:p>
        </w:tc>
      </w:tr>
    </w:tbl>
    <w:p w14:paraId="0B9E00DA" w14:textId="77777777" w:rsidR="00B127E9" w:rsidRPr="00ED7521" w:rsidRDefault="00B127E9" w:rsidP="00B127E9">
      <w:pPr>
        <w:spacing w:line="276" w:lineRule="auto"/>
        <w:jc w:val="both"/>
        <w:rPr>
          <w:rFonts w:ascii="Palatino Linotype" w:hAnsi="Palatino Linotype" w:cs="Times New Roman"/>
          <w:sz w:val="20"/>
          <w:szCs w:val="20"/>
        </w:rPr>
      </w:pPr>
    </w:p>
    <w:p w14:paraId="47935694" w14:textId="28954BD0" w:rsidR="00B127E9" w:rsidRPr="00ED7521" w:rsidRDefault="00B127E9" w:rsidP="00B127E9">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numbers presented in table 5 display the outcomes of Cronbach's Alpha and Composite Reliability. Each of the three variables exhibits a Cronbach's Alpha value of 0.952, 0.961, and 0.946, respectively. The construct variables employed in this research have been deemed reliable and trustworthy based on the measurement. This is supported by the table in the Composite Reliability section, which shows values exceeding 0.7, with some values even surpassing 0.9 that the measures utilised are dependable. To determine the reliability of these calculations in their measurements, employ Smart PLS to assess the compatibility between each variable and the reliability of an indicator is determined by its composite reliability and Cronbach alpha. If the resulting value is greater than 0.7, it is considered to have a high level of reliability </w:t>
      </w:r>
      <w:r w:rsidRPr="00ED7521">
        <w:rPr>
          <w:rFonts w:ascii="Palatino Linotype" w:hAnsi="Palatino Linotype" w:cs="Times New Roman"/>
          <w:sz w:val="20"/>
          <w:szCs w:val="20"/>
        </w:rPr>
        <w:fldChar w:fldCharType="begin" w:fldLock="1"/>
      </w:r>
      <w:r w:rsidR="00ED7521">
        <w:rPr>
          <w:rFonts w:ascii="Palatino Linotype" w:hAnsi="Palatino Linotype" w:cs="Times New Roman"/>
          <w:sz w:val="20"/>
          <w:szCs w:val="20"/>
        </w:rPr>
        <w:instrText>ADDIN CSL_CITATION {"citationItems":[{"id":"ITEM-1","itemData":{"DOI":"10.1016/j.ijnss.2023.09.018","ISSN":"23520132","abstract":"Objectives: This study aimed to translate and validate the Practice Environment Scale - Nursing Work Index (PES-NWI) among nurses in Indonesia. Methods: A scale translation and cross-sectional validation study was conducted. The English version was translated into Indonesian, which involved five steps: forward translation, compare the translation, backward translation, compare the translation, and pilot testing with a dichotomous scale (clear or unclear). Thirty inpatient department nurses were involved in checking readability and understandability. A cross-sectional study was conducted from August to October 2022 at 17 hospitals across Indonesia, involving 350 nursing professionals. The validity test included structural validity and convergent validity. The internal consistency reliability was tested by Cronbach's α coefficient, item-total correlation, and composite reliability. Results: Confirmatory factor analysis (CFA) showed an acceptable fit. The correlation of all dimensions was between 0.70 and 0.88, and all items had item loading higher than 0.6. Convergent validity of each dimension ranged from 0.61 to 0.74, internal consistencies with Cronbach's α coefficient was 0.97, corrected item-to-total correlation ranged from 0.62 to 0.85, and composite reliability of each dimension was higher than 0.89. Conclusions: Good homogeneity and construct validity have been demonstrated for the Indonesian version of the PES-NWI, nursing management can use it to measure the work environment.","author":[{"dropping-particle":"","family":"Juanamasta","given":"I. Gede","non-dropping-particle":"","parse-names":false,"suffix":""},{"dropping-particle":"","family":"Aungsuroch","given":"Yupin","non-dropping-particle":"","parse-names":false,"suffix":""},{"dropping-particle":"","family":"Fisher","given":"Mary L.","non-dropping-particle":"","parse-names":false,"suffix":""},{"dropping-particle":"","family":"Nuryani","given":"Siluh Nyoman Alit","non-dropping-particle":"","parse-names":false,"suffix":""},{"dropping-particle":"","family":"Ayuningsih","given":"Ni Nyoman","non-dropping-particle":"","parse-names":false,"suffix":""}],"container-title":"International Journal of Nursing Sciences","id":"ITEM-1","issue":"4","issued":{"date-parts":[["2023"]]},"page":"511-517","publisher":"The Authors","title":"Translation and validation study of the Indonesian version of the practice environment scale of the nursing work index","type":"article-journal","volume":"10"},"uris":["http://www.mendeley.com/documents/?uuid=09d771d5-f459-4889-808f-4a6ec32b3cf9"]}],"mendeley":{"formattedCitation":"(Juanamasta, Aungsuroch, Fisher, Nuryani, &amp; Ayuningsih, 2023)","plainTextFormattedCitation":"(Juanamasta, Aungsuroch, Fisher, Nuryani, &amp; Ayuningsih, 2023)","previouslyFormattedCitation":"(Juanamasta, Aungsuroch, Fisher, Nuryani, &amp; Ayuningsih, 2023)"},"properties":{"noteIndex":0},"schema":"https://github.com/citation-style-language/schema/raw/master/csl-citation.json"}</w:instrText>
      </w:r>
      <w:r w:rsidRPr="00ED7521">
        <w:rPr>
          <w:rFonts w:ascii="Palatino Linotype" w:hAnsi="Palatino Linotype" w:cs="Times New Roman"/>
          <w:sz w:val="20"/>
          <w:szCs w:val="20"/>
        </w:rPr>
        <w:fldChar w:fldCharType="separate"/>
      </w:r>
      <w:r w:rsidR="00ED7521" w:rsidRPr="00ED7521">
        <w:rPr>
          <w:rFonts w:ascii="Palatino Linotype" w:hAnsi="Palatino Linotype" w:cs="Times New Roman"/>
          <w:noProof/>
          <w:sz w:val="20"/>
          <w:szCs w:val="20"/>
        </w:rPr>
        <w:t>(Juanamasta, Aungsuroch, Fisher, Nuryani, &amp; Ayuningsih, 2023)</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w:t>
      </w:r>
    </w:p>
    <w:p w14:paraId="1D15960C" w14:textId="77777777" w:rsidR="00ED7521" w:rsidRPr="00ED7521" w:rsidRDefault="00ED7521" w:rsidP="00ED7521">
      <w:pPr>
        <w:numPr>
          <w:ilvl w:val="0"/>
          <w:numId w:val="20"/>
        </w:numPr>
        <w:spacing w:line="276" w:lineRule="auto"/>
        <w:jc w:val="both"/>
        <w:rPr>
          <w:rFonts w:ascii="Palatino Linotype" w:hAnsi="Palatino Linotype" w:cs="Times New Roman"/>
          <w:b/>
          <w:bCs/>
          <w:sz w:val="20"/>
          <w:szCs w:val="20"/>
        </w:rPr>
      </w:pPr>
      <w:bookmarkStart w:id="4" w:name="_Hlk186023165"/>
      <w:bookmarkEnd w:id="3"/>
      <w:r w:rsidRPr="00ED7521">
        <w:rPr>
          <w:rFonts w:ascii="Palatino Linotype" w:hAnsi="Palatino Linotype" w:cs="Times New Roman"/>
          <w:b/>
          <w:bCs/>
          <w:sz w:val="20"/>
          <w:szCs w:val="20"/>
        </w:rPr>
        <w:lastRenderedPageBreak/>
        <w:t>Structural Model Test</w:t>
      </w:r>
    </w:p>
    <w:p w14:paraId="602A1B5B" w14:textId="77777777" w:rsidR="00ED7521" w:rsidRPr="00ED7521" w:rsidRDefault="00ED7521" w:rsidP="00ED7521">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6. </w:t>
      </w:r>
      <w:r w:rsidRPr="00ED7521">
        <w:rPr>
          <w:rFonts w:ascii="Palatino Linotype" w:hAnsi="Palatino Linotype" w:cs="Times New Roman"/>
          <w:sz w:val="20"/>
          <w:szCs w:val="20"/>
        </w:rPr>
        <w:t>R-Square Value</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56"/>
        <w:gridCol w:w="2840"/>
        <w:gridCol w:w="2976"/>
      </w:tblGrid>
      <w:tr w:rsidR="00ED7521" w:rsidRPr="00ED7521" w14:paraId="71091BCA" w14:textId="77777777" w:rsidTr="002E1874">
        <w:trPr>
          <w:trHeight w:val="307"/>
        </w:trPr>
        <w:tc>
          <w:tcPr>
            <w:tcW w:w="3256" w:type="dxa"/>
            <w:tcBorders>
              <w:bottom w:val="single" w:sz="4" w:space="0" w:color="auto"/>
              <w:right w:val="nil"/>
            </w:tcBorders>
            <w:shd w:val="clear" w:color="auto" w:fill="D9E2F3"/>
            <w:vAlign w:val="center"/>
          </w:tcPr>
          <w:p w14:paraId="4A685976" w14:textId="77777777" w:rsidR="00ED7521" w:rsidRPr="00ED7521" w:rsidRDefault="00ED7521" w:rsidP="00ED7521">
            <w:pPr>
              <w:spacing w:line="240" w:lineRule="auto"/>
              <w:jc w:val="center"/>
              <w:rPr>
                <w:rFonts w:ascii="Palatino Linotype" w:hAnsi="Palatino Linotype" w:cs="Times New Roman"/>
                <w:b/>
                <w:bCs/>
                <w:sz w:val="20"/>
                <w:szCs w:val="20"/>
              </w:rPr>
            </w:pPr>
            <w:r w:rsidRPr="00ED7521">
              <w:rPr>
                <w:rFonts w:ascii="Palatino Linotype" w:hAnsi="Palatino Linotype" w:cs="Times New Roman"/>
                <w:b/>
                <w:bCs/>
                <w:sz w:val="20"/>
                <w:szCs w:val="20"/>
              </w:rPr>
              <w:t>Construct</w:t>
            </w:r>
          </w:p>
        </w:tc>
        <w:tc>
          <w:tcPr>
            <w:tcW w:w="2840" w:type="dxa"/>
            <w:tcBorders>
              <w:left w:val="nil"/>
              <w:bottom w:val="single" w:sz="4" w:space="0" w:color="auto"/>
              <w:right w:val="nil"/>
            </w:tcBorders>
            <w:shd w:val="clear" w:color="auto" w:fill="D9E2F3"/>
            <w:vAlign w:val="center"/>
          </w:tcPr>
          <w:p w14:paraId="203CD0D2" w14:textId="77777777" w:rsidR="00ED7521" w:rsidRPr="00ED7521" w:rsidRDefault="00ED7521" w:rsidP="00ED7521">
            <w:pPr>
              <w:spacing w:line="240" w:lineRule="auto"/>
              <w:jc w:val="center"/>
              <w:rPr>
                <w:rFonts w:ascii="Palatino Linotype" w:hAnsi="Palatino Linotype" w:cs="Times New Roman"/>
                <w:b/>
                <w:bCs/>
                <w:sz w:val="20"/>
                <w:szCs w:val="20"/>
              </w:rPr>
            </w:pPr>
            <w:r w:rsidRPr="00ED7521">
              <w:rPr>
                <w:rFonts w:ascii="Palatino Linotype" w:hAnsi="Palatino Linotype" w:cs="Times New Roman"/>
                <w:b/>
                <w:bCs/>
                <w:sz w:val="20"/>
                <w:szCs w:val="20"/>
              </w:rPr>
              <w:t>R-Square</w:t>
            </w:r>
          </w:p>
        </w:tc>
        <w:tc>
          <w:tcPr>
            <w:tcW w:w="2976" w:type="dxa"/>
            <w:tcBorders>
              <w:left w:val="nil"/>
              <w:bottom w:val="single" w:sz="4" w:space="0" w:color="auto"/>
            </w:tcBorders>
            <w:shd w:val="clear" w:color="auto" w:fill="D9E2F3"/>
            <w:vAlign w:val="center"/>
          </w:tcPr>
          <w:p w14:paraId="5823D0AB" w14:textId="77777777" w:rsidR="00ED7521" w:rsidRPr="00ED7521" w:rsidRDefault="00ED7521" w:rsidP="00ED7521">
            <w:pPr>
              <w:spacing w:line="240" w:lineRule="auto"/>
              <w:jc w:val="center"/>
              <w:rPr>
                <w:rFonts w:ascii="Palatino Linotype" w:hAnsi="Palatino Linotype" w:cs="Times New Roman"/>
                <w:b/>
                <w:bCs/>
                <w:sz w:val="20"/>
                <w:szCs w:val="20"/>
              </w:rPr>
            </w:pPr>
            <w:r w:rsidRPr="00ED7521">
              <w:rPr>
                <w:rFonts w:ascii="Palatino Linotype" w:hAnsi="Palatino Linotype" w:cs="Times New Roman"/>
                <w:b/>
                <w:bCs/>
                <w:sz w:val="20"/>
                <w:szCs w:val="20"/>
              </w:rPr>
              <w:t>R-Square Adjusted</w:t>
            </w:r>
          </w:p>
        </w:tc>
      </w:tr>
      <w:tr w:rsidR="00ED7521" w:rsidRPr="00ED7521" w14:paraId="7EFFA45A" w14:textId="77777777" w:rsidTr="002E1874">
        <w:trPr>
          <w:trHeight w:val="413"/>
        </w:trPr>
        <w:tc>
          <w:tcPr>
            <w:tcW w:w="3256" w:type="dxa"/>
            <w:tcBorders>
              <w:bottom w:val="nil"/>
              <w:right w:val="nil"/>
            </w:tcBorders>
            <w:shd w:val="clear" w:color="auto" w:fill="FFFFFF"/>
            <w:vAlign w:val="center"/>
          </w:tcPr>
          <w:p w14:paraId="057C1543"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Mental Health</w:t>
            </w:r>
          </w:p>
        </w:tc>
        <w:tc>
          <w:tcPr>
            <w:tcW w:w="2840" w:type="dxa"/>
            <w:tcBorders>
              <w:left w:val="nil"/>
              <w:bottom w:val="nil"/>
              <w:right w:val="nil"/>
            </w:tcBorders>
            <w:shd w:val="clear" w:color="auto" w:fill="auto"/>
            <w:vAlign w:val="center"/>
          </w:tcPr>
          <w:p w14:paraId="04486F01"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0.868</w:t>
            </w:r>
          </w:p>
        </w:tc>
        <w:tc>
          <w:tcPr>
            <w:tcW w:w="2976" w:type="dxa"/>
            <w:tcBorders>
              <w:left w:val="nil"/>
              <w:bottom w:val="nil"/>
            </w:tcBorders>
            <w:shd w:val="clear" w:color="auto" w:fill="auto"/>
            <w:vAlign w:val="center"/>
          </w:tcPr>
          <w:p w14:paraId="69D72DA9"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0.867</w:t>
            </w:r>
          </w:p>
        </w:tc>
      </w:tr>
      <w:tr w:rsidR="00ED7521" w:rsidRPr="00ED7521" w14:paraId="0C053C06" w14:textId="77777777" w:rsidTr="002E1874">
        <w:trPr>
          <w:trHeight w:val="421"/>
        </w:trPr>
        <w:tc>
          <w:tcPr>
            <w:tcW w:w="3256" w:type="dxa"/>
            <w:tcBorders>
              <w:top w:val="nil"/>
              <w:right w:val="nil"/>
            </w:tcBorders>
            <w:shd w:val="clear" w:color="auto" w:fill="FFFFFF"/>
            <w:vAlign w:val="center"/>
          </w:tcPr>
          <w:p w14:paraId="3051097B"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Post-Traumatic Growth</w:t>
            </w:r>
          </w:p>
        </w:tc>
        <w:tc>
          <w:tcPr>
            <w:tcW w:w="2840" w:type="dxa"/>
            <w:tcBorders>
              <w:top w:val="nil"/>
              <w:left w:val="nil"/>
              <w:right w:val="nil"/>
            </w:tcBorders>
            <w:shd w:val="clear" w:color="auto" w:fill="auto"/>
            <w:vAlign w:val="center"/>
          </w:tcPr>
          <w:p w14:paraId="2FE58608"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0.890</w:t>
            </w:r>
          </w:p>
        </w:tc>
        <w:tc>
          <w:tcPr>
            <w:tcW w:w="2976" w:type="dxa"/>
            <w:tcBorders>
              <w:top w:val="nil"/>
              <w:left w:val="nil"/>
            </w:tcBorders>
            <w:shd w:val="clear" w:color="auto" w:fill="auto"/>
            <w:vAlign w:val="center"/>
          </w:tcPr>
          <w:p w14:paraId="1353AC4A"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0.890</w:t>
            </w:r>
          </w:p>
        </w:tc>
      </w:tr>
    </w:tbl>
    <w:p w14:paraId="55566924" w14:textId="77777777" w:rsidR="00ED7521" w:rsidRPr="00ED7521" w:rsidRDefault="00ED7521" w:rsidP="00ED7521">
      <w:pPr>
        <w:spacing w:line="276" w:lineRule="auto"/>
        <w:jc w:val="both"/>
        <w:rPr>
          <w:rFonts w:ascii="Palatino Linotype" w:hAnsi="Palatino Linotype" w:cs="Times New Roman"/>
          <w:sz w:val="20"/>
          <w:szCs w:val="20"/>
          <w:lang w:val="it-IT"/>
        </w:rPr>
      </w:pPr>
      <w:r w:rsidRPr="00ED7521">
        <w:rPr>
          <w:rFonts w:ascii="Palatino Linotype" w:hAnsi="Palatino Linotype" w:cs="Times New Roman"/>
          <w:sz w:val="20"/>
          <w:szCs w:val="20"/>
          <w:lang w:val="it-IT"/>
        </w:rPr>
        <w:tab/>
      </w:r>
    </w:p>
    <w:p w14:paraId="0399A233" w14:textId="3ABBE53F" w:rsidR="00ED7521" w:rsidRPr="00BE0FCB" w:rsidRDefault="00ED7521" w:rsidP="00ED7521">
      <w:pPr>
        <w:spacing w:line="276" w:lineRule="auto"/>
        <w:ind w:firstLine="425"/>
        <w:jc w:val="both"/>
        <w:rPr>
          <w:rFonts w:ascii="Palatino Linotype" w:hAnsi="Palatino Linotype" w:cs="Times New Roman"/>
          <w:sz w:val="20"/>
          <w:szCs w:val="20"/>
        </w:rPr>
      </w:pPr>
      <w:r w:rsidRPr="00ED7521">
        <w:rPr>
          <w:rFonts w:ascii="Palatino Linotype" w:hAnsi="Palatino Linotype"/>
          <w:sz w:val="20"/>
          <w:szCs w:val="20"/>
        </w:rPr>
        <w:t xml:space="preserve">The R-Square value for mental health, as indicated in table 6, is 0.868. The data indicates that the school environment has a significant influence of approximately 86.8% on mental health. This suggests that the school environment positively affects children's mental well-being due to its supportive nature. The remaining 13.2% can be attributed to other external factors. Excluded individuals from this study. In addition, the school environment indicator for students' </w:t>
      </w:r>
      <w:r w:rsidRPr="00741B7F">
        <w:rPr>
          <w:rFonts w:ascii="Palatino Linotype" w:hAnsi="Palatino Linotype"/>
          <w:i/>
          <w:iCs/>
          <w:sz w:val="20"/>
          <w:szCs w:val="20"/>
        </w:rPr>
        <w:t>post-traumatic growth</w:t>
      </w:r>
      <w:r w:rsidRPr="00ED7521">
        <w:rPr>
          <w:rFonts w:ascii="Palatino Linotype" w:hAnsi="Palatino Linotype"/>
          <w:sz w:val="20"/>
          <w:szCs w:val="20"/>
        </w:rPr>
        <w:t xml:space="preserve"> was 0.890, indicating that approximately 89% of students reported that the school environment had a significant impact on their recovery from trauma. This was attributed to the support of friends who showed concern for one another and teachers who provided motivation. However, it is possible that 11% of the results could have been affected by additional variables that were not </w:t>
      </w:r>
      <w:proofErr w:type="gramStart"/>
      <w:r w:rsidRPr="00ED7521">
        <w:rPr>
          <w:rFonts w:ascii="Palatino Linotype" w:hAnsi="Palatino Linotype"/>
          <w:sz w:val="20"/>
          <w:szCs w:val="20"/>
        </w:rPr>
        <w:t>taken into account</w:t>
      </w:r>
      <w:proofErr w:type="gramEnd"/>
      <w:r w:rsidRPr="00ED7521">
        <w:rPr>
          <w:rFonts w:ascii="Palatino Linotype" w:hAnsi="Palatino Linotype"/>
          <w:sz w:val="20"/>
          <w:szCs w:val="20"/>
        </w:rPr>
        <w:t xml:space="preserve"> in this particular study.</w:t>
      </w:r>
    </w:p>
    <w:p w14:paraId="6B649EDB" w14:textId="77777777" w:rsidR="00ED7521" w:rsidRPr="00ED7521" w:rsidRDefault="00ED7521" w:rsidP="00ED7521">
      <w:pPr>
        <w:numPr>
          <w:ilvl w:val="0"/>
          <w:numId w:val="20"/>
        </w:numPr>
        <w:spacing w:line="276" w:lineRule="auto"/>
        <w:jc w:val="both"/>
        <w:rPr>
          <w:rFonts w:ascii="Palatino Linotype" w:hAnsi="Palatino Linotype" w:cs="Times New Roman"/>
          <w:b/>
          <w:bCs/>
          <w:sz w:val="20"/>
          <w:szCs w:val="20"/>
        </w:rPr>
      </w:pPr>
      <w:bookmarkStart w:id="5" w:name="_Hlk186023231"/>
      <w:bookmarkEnd w:id="4"/>
      <w:r w:rsidRPr="00ED7521">
        <w:rPr>
          <w:rFonts w:ascii="Palatino Linotype" w:hAnsi="Palatino Linotype" w:cs="Times New Roman"/>
          <w:b/>
          <w:bCs/>
          <w:sz w:val="20"/>
          <w:szCs w:val="20"/>
        </w:rPr>
        <w:t>Hypothesis Test Results</w:t>
      </w:r>
    </w:p>
    <w:p w14:paraId="0E2F31B2" w14:textId="77777777" w:rsidR="00ED7521" w:rsidRPr="00ED7521" w:rsidRDefault="00ED7521" w:rsidP="00ED7521">
      <w:pPr>
        <w:spacing w:line="276" w:lineRule="auto"/>
        <w:jc w:val="center"/>
        <w:rPr>
          <w:rFonts w:ascii="Palatino Linotype" w:hAnsi="Palatino Linotype" w:cs="Times New Roman"/>
          <w:b/>
          <w:bCs/>
          <w:sz w:val="20"/>
          <w:szCs w:val="20"/>
        </w:rPr>
      </w:pPr>
    </w:p>
    <w:p w14:paraId="43923023" w14:textId="77777777" w:rsidR="00ED7521" w:rsidRPr="00ED7521" w:rsidRDefault="00ED7521" w:rsidP="00ED7521">
      <w:pPr>
        <w:spacing w:line="276" w:lineRule="auto"/>
        <w:jc w:val="center"/>
        <w:rPr>
          <w:rFonts w:ascii="Palatino Linotype" w:hAnsi="Palatino Linotype" w:cs="Times New Roman"/>
          <w:sz w:val="20"/>
          <w:szCs w:val="20"/>
        </w:rPr>
      </w:pPr>
      <w:r w:rsidRPr="00ED7521">
        <w:rPr>
          <w:rFonts w:ascii="Palatino Linotype" w:hAnsi="Palatino Linotype" w:cs="Times New Roman"/>
          <w:b/>
          <w:bCs/>
          <w:sz w:val="20"/>
          <w:szCs w:val="20"/>
        </w:rPr>
        <w:t xml:space="preserve">Table 7. </w:t>
      </w:r>
      <w:r w:rsidRPr="00ED7521">
        <w:rPr>
          <w:rFonts w:ascii="Palatino Linotype" w:hAnsi="Palatino Linotype" w:cs="Times New Roman"/>
          <w:sz w:val="20"/>
          <w:szCs w:val="20"/>
        </w:rPr>
        <w:t>Hypothesis Testing Results</w:t>
      </w: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2552"/>
        <w:gridCol w:w="1842"/>
        <w:gridCol w:w="1701"/>
      </w:tblGrid>
      <w:tr w:rsidR="00ED7521" w:rsidRPr="00ED7521" w14:paraId="6748A397" w14:textId="77777777" w:rsidTr="002E1874">
        <w:trPr>
          <w:trHeight w:val="593"/>
        </w:trPr>
        <w:tc>
          <w:tcPr>
            <w:tcW w:w="2977" w:type="dxa"/>
            <w:tcBorders>
              <w:bottom w:val="single" w:sz="4" w:space="0" w:color="auto"/>
              <w:right w:val="nil"/>
            </w:tcBorders>
            <w:shd w:val="clear" w:color="auto" w:fill="D9E2F3"/>
            <w:vAlign w:val="center"/>
          </w:tcPr>
          <w:p w14:paraId="5A4D8A93" w14:textId="77777777" w:rsidR="00ED7521" w:rsidRPr="00ED7521" w:rsidRDefault="00ED7521" w:rsidP="00ED7521">
            <w:pPr>
              <w:spacing w:line="240" w:lineRule="auto"/>
              <w:jc w:val="both"/>
              <w:rPr>
                <w:rFonts w:ascii="Palatino Linotype" w:hAnsi="Palatino Linotype" w:cs="Times New Roman"/>
                <w:b/>
                <w:bCs/>
                <w:sz w:val="20"/>
                <w:szCs w:val="20"/>
              </w:rPr>
            </w:pPr>
          </w:p>
        </w:tc>
        <w:tc>
          <w:tcPr>
            <w:tcW w:w="2552" w:type="dxa"/>
            <w:tcBorders>
              <w:left w:val="nil"/>
              <w:bottom w:val="single" w:sz="4" w:space="0" w:color="auto"/>
              <w:right w:val="nil"/>
            </w:tcBorders>
            <w:shd w:val="clear" w:color="auto" w:fill="D9E2F3"/>
            <w:vAlign w:val="center"/>
          </w:tcPr>
          <w:p w14:paraId="6BCA1DC3"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 xml:space="preserve">Original Sample </w:t>
            </w:r>
            <w:r w:rsidRPr="00ED7521">
              <w:rPr>
                <w:rFonts w:ascii="Palatino Linotype" w:hAnsi="Palatino Linotype" w:cs="Times New Roman"/>
                <w:b/>
                <w:bCs/>
                <w:sz w:val="20"/>
                <w:szCs w:val="20"/>
              </w:rPr>
              <w:t>(O)</w:t>
            </w:r>
          </w:p>
        </w:tc>
        <w:tc>
          <w:tcPr>
            <w:tcW w:w="1842" w:type="dxa"/>
            <w:tcBorders>
              <w:left w:val="nil"/>
              <w:bottom w:val="single" w:sz="4" w:space="0" w:color="auto"/>
              <w:right w:val="nil"/>
            </w:tcBorders>
            <w:shd w:val="clear" w:color="auto" w:fill="D9E2F3"/>
            <w:vAlign w:val="center"/>
          </w:tcPr>
          <w:p w14:paraId="43E4C56A"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T-Statistics</w:t>
            </w:r>
          </w:p>
        </w:tc>
        <w:tc>
          <w:tcPr>
            <w:tcW w:w="1701" w:type="dxa"/>
            <w:tcBorders>
              <w:left w:val="nil"/>
              <w:bottom w:val="single" w:sz="4" w:space="0" w:color="auto"/>
            </w:tcBorders>
            <w:shd w:val="clear" w:color="auto" w:fill="D9E2F3"/>
            <w:vAlign w:val="center"/>
          </w:tcPr>
          <w:p w14:paraId="3A764BD9"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P-Values</w:t>
            </w:r>
          </w:p>
        </w:tc>
      </w:tr>
      <w:tr w:rsidR="00ED7521" w:rsidRPr="00ED7521" w14:paraId="37C97A3F" w14:textId="77777777" w:rsidTr="002E1874">
        <w:trPr>
          <w:trHeight w:val="557"/>
        </w:trPr>
        <w:tc>
          <w:tcPr>
            <w:tcW w:w="2977" w:type="dxa"/>
            <w:tcBorders>
              <w:bottom w:val="nil"/>
              <w:right w:val="nil"/>
            </w:tcBorders>
            <w:shd w:val="clear" w:color="auto" w:fill="FFFFFF"/>
            <w:vAlign w:val="center"/>
          </w:tcPr>
          <w:p w14:paraId="68B8B6F0" w14:textId="77777777" w:rsidR="00ED7521" w:rsidRPr="00ED7521" w:rsidRDefault="00ED7521" w:rsidP="00ED7521">
            <w:pPr>
              <w:spacing w:line="240" w:lineRule="auto"/>
              <w:jc w:val="both"/>
              <w:rPr>
                <w:rFonts w:ascii="Palatino Linotype" w:hAnsi="Palatino Linotype" w:cs="Times New Roman"/>
                <w:sz w:val="20"/>
                <w:szCs w:val="20"/>
                <w:lang w:val="it-IT"/>
              </w:rPr>
            </w:pPr>
            <w:r w:rsidRPr="00ED7521">
              <w:rPr>
                <w:rFonts w:ascii="Palatino Linotype" w:hAnsi="Palatino Linotype" w:cs="Times New Roman"/>
                <w:sz w:val="20"/>
                <w:szCs w:val="20"/>
              </w:rPr>
              <w:t>School Environment</w:t>
            </w:r>
            <w:r w:rsidRPr="00ED7521">
              <w:rPr>
                <w:rFonts w:ascii="Palatino Linotype" w:hAnsi="Palatino Linotype" w:cs="Times New Roman"/>
                <w:sz w:val="20"/>
                <w:szCs w:val="20"/>
                <w:lang w:val="it-IT"/>
              </w:rPr>
              <w:sym w:font="Wingdings" w:char="F0E0"/>
            </w:r>
          </w:p>
          <w:p w14:paraId="114F0249" w14:textId="77777777" w:rsidR="00ED7521" w:rsidRPr="00ED7521" w:rsidRDefault="00ED7521" w:rsidP="00ED7521">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Mental Health</w:t>
            </w:r>
          </w:p>
        </w:tc>
        <w:tc>
          <w:tcPr>
            <w:tcW w:w="2552" w:type="dxa"/>
            <w:tcBorders>
              <w:left w:val="nil"/>
              <w:bottom w:val="nil"/>
              <w:right w:val="nil"/>
            </w:tcBorders>
            <w:shd w:val="clear" w:color="auto" w:fill="auto"/>
            <w:vAlign w:val="center"/>
          </w:tcPr>
          <w:p w14:paraId="1F176FFB"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0.931</w:t>
            </w:r>
          </w:p>
        </w:tc>
        <w:tc>
          <w:tcPr>
            <w:tcW w:w="1842" w:type="dxa"/>
            <w:tcBorders>
              <w:left w:val="nil"/>
              <w:bottom w:val="nil"/>
              <w:right w:val="nil"/>
            </w:tcBorders>
            <w:shd w:val="clear" w:color="auto" w:fill="auto"/>
            <w:vAlign w:val="center"/>
          </w:tcPr>
          <w:p w14:paraId="612FB245"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79,805</w:t>
            </w:r>
          </w:p>
        </w:tc>
        <w:tc>
          <w:tcPr>
            <w:tcW w:w="1701" w:type="dxa"/>
            <w:tcBorders>
              <w:left w:val="nil"/>
              <w:bottom w:val="nil"/>
            </w:tcBorders>
            <w:shd w:val="clear" w:color="auto" w:fill="auto"/>
            <w:vAlign w:val="center"/>
          </w:tcPr>
          <w:p w14:paraId="7DD6E2D8"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0,000</w:t>
            </w:r>
          </w:p>
        </w:tc>
      </w:tr>
      <w:tr w:rsidR="00ED7521" w:rsidRPr="00ED7521" w14:paraId="2A9B544A" w14:textId="77777777" w:rsidTr="002E1874">
        <w:trPr>
          <w:trHeight w:val="481"/>
        </w:trPr>
        <w:tc>
          <w:tcPr>
            <w:tcW w:w="2977" w:type="dxa"/>
            <w:tcBorders>
              <w:top w:val="nil"/>
              <w:right w:val="nil"/>
            </w:tcBorders>
            <w:shd w:val="clear" w:color="auto" w:fill="FFFFFF"/>
            <w:vAlign w:val="center"/>
          </w:tcPr>
          <w:p w14:paraId="47638D71" w14:textId="77777777" w:rsidR="00ED7521" w:rsidRPr="00ED7521" w:rsidRDefault="00ED7521" w:rsidP="00ED7521">
            <w:pPr>
              <w:spacing w:line="240" w:lineRule="auto"/>
              <w:jc w:val="both"/>
              <w:rPr>
                <w:rFonts w:ascii="Palatino Linotype" w:hAnsi="Palatino Linotype" w:cs="Times New Roman"/>
                <w:sz w:val="20"/>
                <w:szCs w:val="20"/>
              </w:rPr>
            </w:pPr>
            <w:r w:rsidRPr="00ED7521">
              <w:rPr>
                <w:rFonts w:ascii="Palatino Linotype" w:hAnsi="Palatino Linotype" w:cs="Times New Roman"/>
                <w:sz w:val="20"/>
                <w:szCs w:val="20"/>
              </w:rPr>
              <w:t>School Environment</w:t>
            </w:r>
            <w:r w:rsidRPr="00ED7521">
              <w:rPr>
                <w:rFonts w:ascii="Palatino Linotype" w:hAnsi="Palatino Linotype" w:cs="Times New Roman"/>
                <w:sz w:val="20"/>
                <w:szCs w:val="20"/>
                <w:lang w:val="it-IT"/>
              </w:rPr>
              <w:sym w:font="Wingdings" w:char="F0E0"/>
            </w:r>
          </w:p>
          <w:p w14:paraId="5135F7A0" w14:textId="77777777" w:rsidR="00ED7521" w:rsidRPr="00ED7521" w:rsidRDefault="00ED7521" w:rsidP="00ED7521">
            <w:pPr>
              <w:spacing w:line="240" w:lineRule="auto"/>
              <w:jc w:val="both"/>
              <w:rPr>
                <w:rFonts w:ascii="Palatino Linotype" w:hAnsi="Palatino Linotype" w:cs="Times New Roman"/>
                <w:b/>
                <w:bCs/>
                <w:sz w:val="20"/>
                <w:szCs w:val="20"/>
              </w:rPr>
            </w:pPr>
            <w:r w:rsidRPr="00ED7521">
              <w:rPr>
                <w:rFonts w:ascii="Palatino Linotype" w:hAnsi="Palatino Linotype" w:cs="Times New Roman"/>
                <w:sz w:val="20"/>
                <w:szCs w:val="20"/>
              </w:rPr>
              <w:t>Post-Traumatic Growth</w:t>
            </w:r>
          </w:p>
        </w:tc>
        <w:tc>
          <w:tcPr>
            <w:tcW w:w="2552" w:type="dxa"/>
            <w:tcBorders>
              <w:top w:val="nil"/>
              <w:left w:val="nil"/>
              <w:right w:val="nil"/>
            </w:tcBorders>
            <w:shd w:val="clear" w:color="auto" w:fill="auto"/>
            <w:vAlign w:val="center"/>
          </w:tcPr>
          <w:p w14:paraId="1E698B38"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0.943</w:t>
            </w:r>
          </w:p>
        </w:tc>
        <w:tc>
          <w:tcPr>
            <w:tcW w:w="1842" w:type="dxa"/>
            <w:tcBorders>
              <w:top w:val="nil"/>
              <w:left w:val="nil"/>
              <w:right w:val="nil"/>
            </w:tcBorders>
            <w:shd w:val="clear" w:color="auto" w:fill="auto"/>
            <w:vAlign w:val="center"/>
          </w:tcPr>
          <w:p w14:paraId="520EB1DE"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112,203</w:t>
            </w:r>
          </w:p>
        </w:tc>
        <w:tc>
          <w:tcPr>
            <w:tcW w:w="1701" w:type="dxa"/>
            <w:tcBorders>
              <w:top w:val="nil"/>
              <w:left w:val="nil"/>
            </w:tcBorders>
            <w:shd w:val="clear" w:color="auto" w:fill="auto"/>
            <w:vAlign w:val="center"/>
          </w:tcPr>
          <w:p w14:paraId="18CA7947" w14:textId="77777777" w:rsidR="00ED7521" w:rsidRPr="00ED7521" w:rsidRDefault="00ED7521" w:rsidP="00ED7521">
            <w:pPr>
              <w:spacing w:line="240" w:lineRule="auto"/>
              <w:jc w:val="center"/>
              <w:rPr>
                <w:rFonts w:ascii="Palatino Linotype" w:hAnsi="Palatino Linotype" w:cs="Times New Roman"/>
                <w:sz w:val="20"/>
                <w:szCs w:val="20"/>
              </w:rPr>
            </w:pPr>
            <w:r w:rsidRPr="00ED7521">
              <w:rPr>
                <w:rFonts w:ascii="Palatino Linotype" w:hAnsi="Palatino Linotype" w:cs="Times New Roman"/>
                <w:sz w:val="20"/>
                <w:szCs w:val="20"/>
              </w:rPr>
              <w:t>0,000</w:t>
            </w:r>
          </w:p>
        </w:tc>
      </w:tr>
    </w:tbl>
    <w:p w14:paraId="23FD56E7" w14:textId="77777777" w:rsidR="00ED7521" w:rsidRPr="00ED7521" w:rsidRDefault="00ED7521" w:rsidP="00ED7521">
      <w:pPr>
        <w:spacing w:line="276" w:lineRule="auto"/>
        <w:ind w:firstLine="720"/>
        <w:jc w:val="both"/>
        <w:rPr>
          <w:rFonts w:ascii="Palatino Linotype" w:hAnsi="Palatino Linotype" w:cs="Times New Roman"/>
          <w:sz w:val="20"/>
          <w:szCs w:val="20"/>
        </w:rPr>
      </w:pPr>
    </w:p>
    <w:p w14:paraId="48FBA25A" w14:textId="77777777" w:rsidR="00ED7521" w:rsidRPr="00ED7521" w:rsidRDefault="00ED7521" w:rsidP="00ED7521">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The study conducted a hypothesis test using Smart PLS version 4 software. The analysis involved bootstrapping to obtain the T-Statistic and P-Values results. The T-statistic values were 79.805 and 112.203, with a P-Value of 0.000. Since the P-Value is smaller than 0.05, the statistical results are considered highly significant. Conversely, if the obtained results were greater than 0.05, they would be deemed unimportant or insignificant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{"citationItems":[{"id":"ITEM-1","itemData":{"DOI":"10.5005/jp-journals-11010-1026","ISSN":"2277-9019","abstract":"The probability value (p-value) is used in hypothesis testing to assist in determining if the null hypothesis should be rejected. In a practical setting, the p-value helps to determine if an experiment is conducted and then compares the outcomes to what random chance may yield. In order to do it, researchers state a “null hypothesis” that they want to disapprove. Many researchers consider the p-value to be the essential summary of statistical analysis of their research data. Although it is undeniable that p-values are a very useful method for summarizing study results, it is also undeniable that p-values are frequently misused and misunderstood. Therefore p-value must be carefully interpreted based on the study design, sample size, comparability of study groups, and appropriateness of statistical tests. The statistically significant p-value should not be the sole criterion for accepting or rejecting the conclusions of any report or publication. Proper critical appreciation of research publications is a mandatory requirement before making clinical decisions based on them","author":[{"dropping-particle":"","family":"Maheshwarappa","given":"Harish Mallapura","non-dropping-particle":"","parse-names":false,"suffix":""},{"dropping-particle":"","family":"Majumder","given":"Snehali","non-dropping-particle":"","parse-names":false,"suffix":""}],"container-title":"Indian Journal of Respiratory Care","id":"ITEM-1","issue":"1","issued":{"date-parts":[["2023"]]},"page":"1-2","title":"Interpretation of P-Value: The Correct Way!","type":"article-journal","volume":"12"},"uris":["http://www.mendeley.com/documents/?uuid=bef5c72b-85c3-4ab2-8a21-b6c330cd1d9a"]}],"mendeley":{"formattedCitation":"(Maheshwarappa &amp; Majumder, 2023)","plainTextFormattedCitation":"(Maheshwarappa &amp; Majumder, 2023)","previouslyFormattedCitation":"(Maheshwarappa &amp; Majumder, 2023)"},"properties":{"noteIndex":0},"schema":"https://github.com/citation-style-language/schema/raw/master/csl-citation.json"}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(Maheshwarappa &amp; Majumder, 2023)</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These results can be deemed valid and dependable. This hypothesis test was conducted to examine the impact of the school environment on children's mental health and propensity for traumatic growth. The results obtained were highly significant.</w:t>
      </w:r>
    </w:p>
    <w:p w14:paraId="789026A4" w14:textId="77777777" w:rsidR="00ED7521" w:rsidRPr="00ED7521" w:rsidRDefault="00ED7521" w:rsidP="00ED7521">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Hypothesis 1 posits that the school environment exerts an impact on the mental well-being of children. This finding was revealed by a Smart PLS software version 4.0 influence test, utilising the bootstrapping method on the Smart PLS feature. The results derived from the original sample table </w:t>
      </w:r>
      <w:r w:rsidRPr="00ED7521">
        <w:rPr>
          <w:rFonts w:ascii="Palatino Linotype" w:hAnsi="Palatino Linotype" w:cs="Times New Roman"/>
          <w:sz w:val="20"/>
          <w:szCs w:val="20"/>
        </w:rPr>
        <w:lastRenderedPageBreak/>
        <w:t>indicate a significant impact on health. The study found a strong positive relationship between the school environment and students' mental health, with a correlation coefficient of 0.931. The T-Statistic value of 79.805 indicates a highly significant effect, while the P-Values value of 0.000 suggests a very low probability of obtaining these results by chance. Therefore, it can be concluded that the school environment has a significant and positive impact on students' mental health.</w:t>
      </w:r>
    </w:p>
    <w:p w14:paraId="4D275A83" w14:textId="77777777" w:rsidR="00ED7521" w:rsidRPr="00ED7521" w:rsidRDefault="00ED7521" w:rsidP="00ED7521">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Hypothesis 2 posits that the school environment plays a substantial role in influencing post-traumatic growth. This analysis is conducted using Smart PLS version 4.0, which involves bootstrapping on the available features. The findings can be observed by referring to the original sample table, which shows a result of 0.943. The findings indicate a strong and significant impact of the school environment on children' </w:t>
      </w:r>
      <w:r w:rsidRPr="00741B7F">
        <w:rPr>
          <w:rFonts w:ascii="Palatino Linotype" w:hAnsi="Palatino Linotype" w:cs="Times New Roman"/>
          <w:i/>
          <w:iCs/>
          <w:sz w:val="20"/>
          <w:szCs w:val="20"/>
        </w:rPr>
        <w:t>post-traumatic growth</w:t>
      </w:r>
      <w:r w:rsidRPr="00ED7521">
        <w:rPr>
          <w:rFonts w:ascii="Palatino Linotype" w:hAnsi="Palatino Linotype" w:cs="Times New Roman"/>
          <w:sz w:val="20"/>
          <w:szCs w:val="20"/>
        </w:rPr>
        <w:t>. Additionally, the obtained T-Statistic value of 112.203 with a P-Values value of 0.000 is lower than the threshold of 0.05. Therefore, it may be inferred that the school environment has a highly beneficial function in fostering children'</w:t>
      </w:r>
      <w:r w:rsidRPr="00741B7F">
        <w:rPr>
          <w:rFonts w:ascii="Palatino Linotype" w:hAnsi="Palatino Linotype" w:cs="Times New Roman"/>
          <w:i/>
          <w:iCs/>
          <w:sz w:val="20"/>
          <w:szCs w:val="20"/>
        </w:rPr>
        <w:t xml:space="preserve"> post-traumatic growth</w:t>
      </w:r>
      <w:r w:rsidRPr="00ED7521">
        <w:rPr>
          <w:rFonts w:ascii="Palatino Linotype" w:hAnsi="Palatino Linotype" w:cs="Times New Roman"/>
          <w:sz w:val="20"/>
          <w:szCs w:val="20"/>
        </w:rPr>
        <w:t>, exerting a notable impact on their development.</w:t>
      </w:r>
    </w:p>
    <w:p w14:paraId="1A46BEDE" w14:textId="77777777" w:rsidR="00ED7521" w:rsidRPr="00ED7521" w:rsidRDefault="00ED7521" w:rsidP="00741B7F">
      <w:pPr>
        <w:pStyle w:val="Heading4"/>
      </w:pPr>
      <w:bookmarkStart w:id="6" w:name="_Hlk186023278"/>
      <w:bookmarkEnd w:id="5"/>
      <w:r w:rsidRPr="00ED7521">
        <w:t>Discussion</w:t>
      </w:r>
    </w:p>
    <w:p w14:paraId="271519A0" w14:textId="77777777" w:rsidR="00ED7521" w:rsidRPr="00ED7521" w:rsidRDefault="00ED7521" w:rsidP="00741B7F">
      <w:pPr>
        <w:pStyle w:val="BodyTextIndent2"/>
      </w:pPr>
      <w:r w:rsidRPr="00ED7521">
        <w:t xml:space="preserve">The purposes of this study </w:t>
      </w:r>
      <w:proofErr w:type="gramStart"/>
      <w:r w:rsidRPr="00ED7521">
        <w:t>was</w:t>
      </w:r>
      <w:proofErr w:type="gramEnd"/>
      <w:r w:rsidRPr="00ED7521">
        <w:t xml:space="preserve"> to axamine the impact of the school environment om students’ mental well-being and post-traumatic growth. The research, based on a sample of 210 respondents from Madrasah Aliyah Taruna Al-Qur’an, yielded significant results. Using Smart PLS for data analysis, the study is considered reliable. The findings demonstrate that the school environment influences both students’ mental health and post0traumatic growth. Hypothesis testing revealed a strong impact of the school environment on mental health (0.931) and pos-traumatic growth (0.943), with T-Statistic values of 79.805 and 112.203, respectively. The P-Values of 0.000 confirm that these results are statistically significant, as they are less than 0.05. Therefore, the research findings are considered statistically significant. </w:t>
      </w:r>
    </w:p>
    <w:p w14:paraId="6F84D3D5" w14:textId="77777777" w:rsidR="00ED7521" w:rsidRPr="00ED7521" w:rsidRDefault="00ED7521" w:rsidP="00ED7521">
      <w:pPr>
        <w:spacing w:line="276" w:lineRule="auto"/>
        <w:ind w:firstLine="720"/>
        <w:jc w:val="both"/>
        <w:rPr>
          <w:rFonts w:ascii="Palatino Linotype" w:hAnsi="Palatino Linotype" w:cs="Times New Roman"/>
          <w:sz w:val="20"/>
          <w:szCs w:val="20"/>
        </w:rPr>
      </w:pPr>
      <w:r w:rsidRPr="00ED7521">
        <w:rPr>
          <w:rFonts w:ascii="Palatino Linotype" w:hAnsi="Palatino Linotype" w:cs="Times New Roman"/>
          <w:sz w:val="20"/>
          <w:szCs w:val="20"/>
        </w:rPr>
        <w:t xml:space="preserve">An optimal school environment is essential for students’ psychological well-being.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{"citationItems":[{"id":"ITEM-1","itemData":{"DOI":"10.1016/j.ssmmh.2023.100289","ISSN":"26665603","abstract":"Introduction: Adolescence is a critical time for mental health promotion and prevention and establishing healthy behaviours. Implementing universal, school-based psychosocial interventions can improve short- and long-term health trajectories for adolescents. While these interventions may offer important opportunities for fostering skills and relationships, few school-based interventions have been developed for and tested in low- and middle-income countries (LMICs) where adolescent mental health needs may be significant and under-served. This manuscript details the development of a multi-component, universal school-based intervention, Health Action in ScHools for a Thriving Adolescent Generation (HASHTAG), for adolescents aged 12–15 years in Nepal and South Africa. Methods and results: We describe HASHTAG's development over four phases, combining methods and results as each phase was iteratively conducted between 2018 and 2021. Phase 1 included a systematic review and components analysis, building from WHO guidelines for adolescent mental health. Seven components were strongly supported by the evidence: emotional regulation, stress management, mindfulness, problem-solving, interpersonal skills, assertiveness training, and alcohol and drug education. Phase 2 encompassed site selection, theory of change development, and formative research engagements; research teams in each site engaged adolescents and key adult stakeholders to identify priorities for intervention. Stakeholders voiced preferences for external facilitators and key content and delivery for intervention sessions. These findings informed Phase 3, a draft manual of HASHTAG, including a whole-school component, called Thriving Environment in Schools, and a classroom-based, six-session component, Thrive Together. In Phase 4, participants engaged in consultative workshops to review and contextualise content by country, preparing HASHTAG for implementation in a feasibility trial. Minor adaptations were made in Nepal, including using school nurses and adjusting take-home materials; both country's workshops identified practical considerations for implementing activities. Conclusions: HASHTAG was designed around core evidence-based components to increase translatability across LMICs, while enabling country-specific tailoring to enhance feasibility. Future research will test whether this multi-component, whole-school approach can improve adolescent mental health.","author":[{"dropping-particle":"","family":"Laurenzi","given":"Christina A.","non-dropping-particle":"","parse-names":false,"suffix":""},{"dropping-particle":"","family":"Toit","given":"Stefani","non-dropping-particle":"du","parse-names":false,"suffix":""},{"dropping-particle":"","family":"Mawoyo","given":"Tatenda","non-dropping-particle":"","parse-names":false,"suffix":""},{"dropping-particle":"","family":"Luitel","given":"Nagendra P.","non-dropping-particle":"","parse-names":false,"suffix":""},{"dropping-particle":"","family":"Jordans","given":"Mark J.D.","non-dropping-particle":"","parse-names":false,"suffix":""},{"dropping-particle":"","family":"Pradhan","given":"Indira","non-dropping-particle":"","parse-names":false,"suffix":""},{"dropping-particle":"","family":"Westhuizen","given":"Claire","non-dropping-particle":"van der","parse-names":false,"suffix":""},{"dropping-particle":"","family":"Melendez-Torres","given":"G. J.","non-dropping-particle":"","parse-names":false,"suffix":""},{"dropping-particle":"","family":"Hawkins","given":"Jemma","non-dropping-particle":"","parse-names":false,"suffix":""},{"dropping-particle":"","family":"Moore","given":"Graham","non-dropping-particle":"","parse-names":false,"suffix":""},{"dropping-particle":"","family":"Evans","given":"Rhiannon","non-dropping-particle":"","parse-names":false,"suffix":""},{"dropping-particle":"","family":"Lund","given":"Crick","non-dropping-particle":"","parse-names":false,"suffix":""},{"dropping-particle":"","family":"Ross","given":"David A.","non-dropping-particle":"","parse-names":false,"suffix":""},{"dropping-particle":"","family":"Lai","given":"Joanna","non-dropping-particle":"","parse-names":false,"suffix":""},{"dropping-particle":"","family":"Servili","given":"Chiara","non-dropping-particle":"","parse-names":false,"suffix":""},{"dropping-particle":"","family":"Tomlinson","given":"Mark","non-dropping-particle":"","parse-names":false,"suffix":""},{"dropping-particle":"","family":"Skeen","given":"Sarah","non-dropping-particle":"","parse-names":false,"suffix":""}],"container-title":"SSM - Mental Health","id":"ITEM-1","issue":"July 2023","issued":{"date-parts":[["2024"]]},"page":"100289","publisher":"Elsevier Ltd","title":"Development of a school-based programme for mental health promotion and prevention among adolescents in Nepal and South Africa","type":"article-journal","volume":"5"},"uris":["http://www.mendeley.com/documents/?uuid=130cc107-65d2-4b2c-afe9-b8d39ba415db"]}],"mendeley":{"formattedCitation":"(Laurenzi et al., 2024)","manualFormatting":"Laurenzi et al. (2024)","plainTextFormattedCitation":"(Laurenzi et al., 2024)","previouslyFormattedCitation":"(Laurenzi et al., 2024)"},"properties":{"noteIndex":0},"schema":"https://github.com/citation-style-language/schema/raw/master/csl-citation.json"}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Laurenzi et al. (2024)</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studied mental health issues among adolescents in developing countries, focusing on Nepal and South Africa. Their research introduced a new approach called HASHTAG (</w:t>
      </w:r>
      <w:r w:rsidRPr="00741B7F">
        <w:rPr>
          <w:rFonts w:ascii="Palatino Linotype" w:hAnsi="Palatino Linotype" w:cs="Times New Roman"/>
          <w:i/>
          <w:iCs/>
          <w:sz w:val="20"/>
          <w:szCs w:val="20"/>
        </w:rPr>
        <w:t>Health Action in Schools for a Thriving Adolescent Generation</w:t>
      </w:r>
      <w:r w:rsidRPr="00ED7521">
        <w:rPr>
          <w:rFonts w:ascii="Palatino Linotype" w:hAnsi="Palatino Linotype" w:cs="Times New Roman"/>
          <w:sz w:val="20"/>
          <w:szCs w:val="20"/>
        </w:rPr>
        <w:t xml:space="preserve">) to improve adolescents’ mental well-being in schools. The findings showed that a positive school atmosphere leads to better social, mental, emotional, and behavioral outcomes, enhancing mental well-being, academic performance, learning satisfaction, and overall welfare for everyone in the school community. Similarly,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{"citationItems":[{"id":"ITEM-1","itemData":{"DOI":"10.1016/j.ijer.2022.101966","ISSN":"08830355","abstract":"VIP partnership is a universal school-programme designed to strengthen the social classroom climate. This quasi-experimental study examined whether the effectiveness of VIP partnership on students’ happiness, joint depression/anxiety symptoms, and loneliness was moderated by baseline level of social anxiety (no, low, and high). Participants were upper secondary students from 10 test schools (n = 1101) and seven control schools (n = 734) in Norway. Data were collected at baseline, post-test (10 weeks) and six-month follow-up. Result at post-test indicated a significant main effect of participation in VIP partnership on happiness (d = .12), and simple effects on joint depression/anxiety symptoms among students with no (d = -.30) or low (d = -.14) social anxiety at baseline. No significant effects were found for post-test loneliness or either outcome measures at six-month follow-up. A universal programme targeting social participation may not be sufficiently intensive to generate substantial and lasting improvements in adolescent mental health and loneliness.","author":[{"dropping-particle":"","family":"Morin","given":"Astrid Hoås","non-dropping-particle":"","parse-names":false,"suffix":""}],"container-title":"International Journal of Educational Research","id":"ITEM-1","issue":"October 2021","issued":{"date-parts":[["2022"]]},"page":"101966","publisher":"Elsevier Ltd","title":"Promoting positive social classroom environments to enhance students’ mental health? Effectiveness of a school-based programme in Norway","type":"article-journal","volume":"113"},"uris":["http://www.mendeley.com/documents/?uuid=bfdd339f-b628-405f-acb0-bc4f00d9926b"]}],"mendeley":{"formattedCitation":"(Morin, 2022)","manualFormatting":"Morin (2022)","plainTextFormattedCitation":"(Morin, 2022)","previouslyFormattedCitation":"(Morin, 2022)"},"properties":{"noteIndex":0},"schema":"https://github.com/citation-style-language/schema/raw/master/csl-citation.json"}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Morin (2022)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conducted research in Norway using the VIP partnership program (</w:t>
      </w:r>
      <w:r w:rsidRPr="00741B7F">
        <w:rPr>
          <w:rFonts w:ascii="Palatino Linotype" w:hAnsi="Palatino Linotype" w:cs="Times New Roman"/>
          <w:i/>
          <w:iCs/>
          <w:sz w:val="20"/>
          <w:szCs w:val="20"/>
        </w:rPr>
        <w:t>Veiledning og Informasjon om Psykisk helse I skolen</w:t>
      </w:r>
      <w:r w:rsidRPr="00ED7521">
        <w:rPr>
          <w:rFonts w:ascii="Palatino Linotype" w:hAnsi="Palatino Linotype" w:cs="Times New Roman"/>
          <w:sz w:val="20"/>
          <w:szCs w:val="20"/>
        </w:rPr>
        <w:t xml:space="preserve">) targeting mental health among high school students. The study involved approximately 23,000 participants from 133 out of 415 high schools during the 2020/2021 academic year. It aimed to address issues like loneliness and social anxiety, which negatively affect mental well-being. The study found that student engagement in the program fostered a socially secure learning environment and had a positive impact on students’ happiness and mental health. </w:t>
      </w:r>
    </w:p>
    <w:p w14:paraId="55BF81DF" w14:textId="77777777" w:rsidR="00ED7521" w:rsidRPr="00ED7521" w:rsidRDefault="00ED7521" w:rsidP="00ED7521">
      <w:pPr>
        <w:autoSpaceDE w:val="0"/>
        <w:autoSpaceDN w:val="0"/>
        <w:adjustRightInd w:val="0"/>
        <w:spacing w:after="0" w:line="276" w:lineRule="auto"/>
        <w:ind w:firstLine="709"/>
        <w:jc w:val="both"/>
        <w:rPr>
          <w:rFonts w:ascii="Palatino Linotype" w:hAnsi="Palatino Linotype" w:cs="Times New Roman"/>
          <w:sz w:val="20"/>
          <w:szCs w:val="20"/>
        </w:rPr>
      </w:pPr>
      <w:r w:rsidRPr="00ED7521">
        <w:rPr>
          <w:rFonts w:ascii="Palatino Linotype" w:hAnsi="Palatino Linotype" w:cs="Times New Roman"/>
          <w:sz w:val="20"/>
          <w:szCs w:val="20"/>
        </w:rPr>
        <w:t xml:space="preserve">Inadequate mental well-being negatively impacts a child’s psychological state and can intensify their experience of trauma.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{"citationItems":[{"id":"ITEM-1","itemData":{"DOI":"10.1111/scs.13037","ISSN":"14716712","PMID":"34709685","abstract":"Background: Many people experience psychological trauma during their lifetime, often negatively affecting their mental and physical health. Post-traumatic growth is a positive psychological change that may occur in an individual after having processed and coped with trauma. This journey, however, has not been studied enough. Aim: The purpose of this phenomenological study was to explore people's experience of suffering psychological trauma, the personal effects of the trauma and the transition from trauma to post-traumatic growth. Methods: A purposeful sample of seven women and five men, aged 34–52, were selected whose backgrounds and history of trauma varied, but who had all experienced post-traumatic growth. One to two interviews were conducted with each one, in all 14 interviews. Results: This study introduces a unique mapping of the challenging journey from trauma to post-traumatic growth through lived experiences of people who have experienced trauma as well as post-traumatic growth. Participants had different trauma experience, but their suffering shaped them all as persons and influenced their wellbeing, health and view of life. Participants described post-traumatic growth as a journey, rather than a destination. There was a prologue to their journey which some described as a hindering factor while others felt it was a good preparation for post-traumatic growth, i.e. to overcome difficulties at an early age. Participants described six main influencing factors on their post-traumatic growth, both facilitating and hindering ones. They also described the positive personal changes they had undergone when experiencing post-traumatic growth even though the epilogue also included heavy days. A new theoretical definition of post-traumatic growth was constructed from the findings. Conclusion: The results suggest that the journey to post-traumatic growth includes a recovery process and certain influencing factors that must be considered. This information has implications for professionals treating and supporting people who have suffered traumas.","author":[{"dropping-particle":"","family":"Bryngeirsdottir","given":"Hulda S.","non-dropping-particle":"","parse-names":false,"suffix":""},{"dropping-particle":"","family":"Halldorsdottir","given":"Sigridur","non-dropping-particle":"","parse-names":false,"suffix":""}],"container-title":"Scandinavian Journal of Caring Sciences","id":"ITEM-1","issue":"3","issued":{"date-parts":[["2022"]]},"page":"752-768","title":"The challenging journey from trauma to post-traumatic growth: Lived experiences of facilitating and hindering factors","type":"article-journal","volume":"36"},"uris":["http://www.mendeley.com/documents/?uuid=55190c2b-bc8c-475f-9d11-efb693abe96a"]}],"mendeley":{"formattedCitation":"(Bryngeirsdottir &amp; Halldorsdottir, 2022)","manualFormatting":"Bryngeirsdottir &amp; Halldorsdottir (2022)","plainTextFormattedCitation":"(Bryngeirsdottir &amp; Halldorsdottir, 2022)","previouslyFormattedCitation":"(Bryngeirsdottir &amp; Halldorsdottir, 2022)"},"properties":{"noteIndex":0},"schema":"https://github.com/citation-style-language/schema/raw/master/csl-citation.json"}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Bryngeirsdottir &amp; Halldorsdottir (2022)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studied 7 women and 5 </w:t>
      </w:r>
      <w:proofErr w:type="gramStart"/>
      <w:r w:rsidRPr="00ED7521">
        <w:rPr>
          <w:rFonts w:ascii="Palatino Linotype" w:hAnsi="Palatino Linotype" w:cs="Times New Roman"/>
          <w:sz w:val="20"/>
          <w:szCs w:val="20"/>
        </w:rPr>
        <w:t>man</w:t>
      </w:r>
      <w:proofErr w:type="gramEnd"/>
      <w:r w:rsidRPr="00ED7521">
        <w:rPr>
          <w:rFonts w:ascii="Palatino Linotype" w:hAnsi="Palatino Linotype" w:cs="Times New Roman"/>
          <w:sz w:val="20"/>
          <w:szCs w:val="20"/>
        </w:rPr>
        <w:t xml:space="preserve"> with various trauma circumstances, highlighting the significant challenges individuals face on their journey toward post-traumatic growth. This growth is defined as personal advencement following adversity, fostering self-awareness and a more optimistic outlook. Social support from family, peers, teachers, and </w:t>
      </w:r>
      <w:r w:rsidRPr="00ED7521">
        <w:rPr>
          <w:rFonts w:ascii="Palatino Linotype" w:hAnsi="Palatino Linotype" w:cs="Times New Roman"/>
          <w:sz w:val="20"/>
          <w:szCs w:val="20"/>
        </w:rPr>
        <w:lastRenderedPageBreak/>
        <w:t xml:space="preserve">the school environment plays a crucial role in mitigating trauma. </w:t>
      </w:r>
      <w:r w:rsidRPr="00ED7521">
        <w:rPr>
          <w:rFonts w:ascii="Palatino Linotype" w:hAnsi="Palatino Linotype" w:cs="Times New Roman"/>
          <w:sz w:val="20"/>
          <w:szCs w:val="20"/>
        </w:rPr>
        <w:fldChar w:fldCharType="begin" w:fldLock="1"/>
      </w:r>
      <w:r w:rsidRPr="00ED7521">
        <w:rPr>
          <w:rFonts w:ascii="Palatino Linotype" w:hAnsi="Palatino Linotype" w:cs="Times New Roman"/>
          <w:sz w:val="20"/>
          <w:szCs w:val="20"/>
        </w:rPr>
        <w:instrText>ADDIN CSL_CITATION {"citationItems":[{"id":"ITEM-1","itemData":{"DOI":"10.1017/gmh.2022.5","abstract":"Background. Optimising mental health literacy (MHL) at the individual and population level can be an effective mental health improvement and prevention tool. However, concepts of MHL are largely based on evidence from high-income countries. Little is known about the manifestation and role of MHL in countries where collectivist health and social cultures are dominant. Aim. This study aimed to examine the MHL of Indonesian children and young people (CYP) with experience of common mental health problems and their parents. Methods. Semi-structured interviews with 40 participants (19 CYP aged 11-15 with experience of common mental health problems and 21 parents) from three areas of Java, Indonesia. Data were analysed using framework analysis, informed by Jorm's 1997 Mental Health Literacy Framework. Results. Parents and CYP demonstrated relatively low levels of MHL defined from a conventional perspective. Religiosity and spirituality were salient in participants' accounts, particularly parents, as were narratives about personal responsibility. These beliefs appeared to contribute to a high level of self-blame for mental illness, self-reliance for symptom management , the foregrounding of support from spiritual/traditional healers and a reduced propensity to access professional help. CYP were heavily reliant on family support, but parents often felt they were not best placed to communicate with their children about mental health. Providing trusted, technology-based sources of mental health information were advocated by CYP. Conclusion. Robust efforts are needed to improve MHL in low-and middle-income countries drawing on culturally appropriate approaches to reduce stigma and optimise timely, effective help-seeking for CYP. Enhancing parental and family level literacy may be efficacious, especially when combined with mechanisms to facilitate open communication, as may the development of standalone interventions directly developed to reach younger generations. Future research may usefully establish the comparative efficacy and acceptability of these different approaches.","author":[{"dropping-particle":"","family":"Brooks","given":"Helen","non-dropping-particle":"","parse-names":false,"suffix":""},{"dropping-particle":"","family":"Prawira","given":"Benny","non-dropping-particle":"","parse-names":false,"suffix":""},{"dropping-particle":"","family":"Windfuhr","given":"Kirsten","non-dropping-particle":"","parse-names":false,"suffix":""},{"dropping-particle":"","family":"Irmansyah","given":"Irman","non-dropping-particle":"","parse-names":false,"suffix":""},{"dropping-particle":"","family":"Lovell","given":"Karina","non-dropping-particle":"","parse-names":false,"suffix":""},{"dropping-particle":"","family":"Syarif","given":"Armaji Kamaludi","non-dropping-particle":"","parse-names":false,"suffix":""},{"dropping-particle":"","family":"Dewi","given":"Suzy Yusna","non-dropping-particle":"","parse-names":false,"suffix":""},{"dropping-particle":"","family":"Pahlevi","given":"Swastika Wulan","non-dropping-particle":"","parse-names":false,"suffix":""},{"dropping-particle":"","family":"Rahayu","given":"Atik Puji","non-dropping-particle":"","parse-names":false,"suffix":""},{"dropping-particle":"","family":"Syachroni","given":"","non-dropping-particle":"","parse-names":false,"suffix":""},{"dropping-particle":"","family":"Afrilia","given":"Annisa Rizky","non-dropping-particle":"","parse-names":false,"suffix":""},{"dropping-particle":"","family":"Renwick","given":"Laoise","non-dropping-particle":"","parse-names":false,"suffix":""},{"dropping-particle":"","family":"Pedley","given":"Rebecca","non-dropping-particle":"","parse-names":false,"suffix":""},{"dropping-particle":"","family":"Salim","given":"Soraya","non-dropping-particle":"","parse-names":false,"suffix":""},{"dropping-particle":"","family":"Bee","given":"Penny","non-dropping-particle":"","parse-names":false,"suffix":""}],"container-title":"Global Mental Health","id":"ITEM-1","issued":{"date-parts":[["2022"]]},"page":"72-83","title":"Mental health literacy amongst children with common mental health problems and their parents in Java, Indonesia: a qualitative study","type":"article-journal","volume":"9"},"uris":["http://www.mendeley.com/documents/?uuid=d8a184f9-b655-48ca-a487-32856e6797f8"]}],"mendeley":{"formattedCitation":"(Brooks et al., 2022)","manualFormatting":"Brooks et al. (2022)","plainTextFormattedCitation":"(Brooks et al., 2022)","previouslyFormattedCitation":"(Brooks et al., 2022)"},"properties":{"noteIndex":0},"schema":"https://github.com/citation-style-language/schema/raw/master/csl-citation.json"}</w:instrText>
      </w:r>
      <w:r w:rsidRPr="00ED7521">
        <w:rPr>
          <w:rFonts w:ascii="Palatino Linotype" w:hAnsi="Palatino Linotype" w:cs="Times New Roman"/>
          <w:sz w:val="20"/>
          <w:szCs w:val="20"/>
        </w:rPr>
        <w:fldChar w:fldCharType="separate"/>
      </w:r>
      <w:r w:rsidRPr="00ED7521">
        <w:rPr>
          <w:rFonts w:ascii="Palatino Linotype" w:hAnsi="Palatino Linotype" w:cs="Times New Roman"/>
          <w:noProof/>
          <w:sz w:val="20"/>
          <w:szCs w:val="20"/>
        </w:rPr>
        <w:t>Brooks et al. (2022)</w:t>
      </w:r>
      <w:r w:rsidRPr="00ED7521">
        <w:rPr>
          <w:rFonts w:ascii="Palatino Linotype" w:hAnsi="Palatino Linotype" w:cs="Times New Roman"/>
          <w:sz w:val="20"/>
          <w:szCs w:val="20"/>
        </w:rPr>
        <w:fldChar w:fldCharType="end"/>
      </w:r>
      <w:r w:rsidRPr="00ED7521">
        <w:rPr>
          <w:rFonts w:ascii="Palatino Linotype" w:hAnsi="Palatino Linotype" w:cs="Times New Roman"/>
          <w:sz w:val="20"/>
          <w:szCs w:val="20"/>
        </w:rPr>
        <w:t xml:space="preserve"> identified four key factors that enhance mental well-being after trauma: educational institutions addressing mental health issues, raising awareness about mental illness and it causes, guidance from mental health professionals, and acknowledging the challenges posed by mental disorders. Aligning with these insights, the study also explored the relationship between student engagement in the school environment and </w:t>
      </w:r>
      <w:r w:rsidRPr="00ED7521">
        <w:rPr>
          <w:rFonts w:ascii="Palatino Linotype" w:hAnsi="Palatino Linotype" w:cs="Times New Roman"/>
          <w:i/>
          <w:iCs/>
          <w:sz w:val="20"/>
          <w:szCs w:val="20"/>
        </w:rPr>
        <w:t xml:space="preserve">post-traumatic growth. </w:t>
      </w:r>
    </w:p>
    <w:p w14:paraId="2EE62CA4" w14:textId="77777777" w:rsidR="00ED7521" w:rsidRPr="00ED7521" w:rsidRDefault="00ED7521" w:rsidP="00ED7521">
      <w:pPr>
        <w:autoSpaceDE w:val="0"/>
        <w:autoSpaceDN w:val="0"/>
        <w:adjustRightInd w:val="0"/>
        <w:spacing w:after="0" w:line="276" w:lineRule="auto"/>
        <w:ind w:firstLine="709"/>
        <w:jc w:val="both"/>
        <w:rPr>
          <w:rFonts w:ascii="Palatino Linotype" w:hAnsi="Palatino Linotype" w:cs="Times New Roman"/>
          <w:sz w:val="20"/>
          <w:szCs w:val="20"/>
        </w:rPr>
      </w:pPr>
      <w:r w:rsidRPr="00ED7521">
        <w:rPr>
          <w:rFonts w:ascii="Palatino Linotype" w:hAnsi="Palatino Linotype" w:cs="Times New Roman"/>
          <w:sz w:val="20"/>
          <w:szCs w:val="20"/>
        </w:rPr>
        <w:t xml:space="preserve">Questionnaires administered to student at Madrsah Aliyah Taruna Al-Qur’an revealed that approcimately 93% of students exhibited a positive outlook after overcoming trauma, supported by peers and teachers who consistently offered motivation. However, a small minority expressed skepticism about these outcomes. These findings suggest that a positive school environment significantly influences students’ post-traumatic growth by serving as a platfrom for personal development, guided by teachers and supported by friends. As such, the school environment acts as a catalyst for mental recovery and healing from trauma. </w:t>
      </w:r>
    </w:p>
    <w:bookmarkEnd w:id="6"/>
    <w:p w14:paraId="491236C1" w14:textId="77777777" w:rsidR="005B5AEC" w:rsidRPr="00ED7521" w:rsidRDefault="005B5AEC" w:rsidP="002A02C2">
      <w:pPr>
        <w:pStyle w:val="Alishlah21heading1"/>
        <w:rPr>
          <w:rFonts w:eastAsia="Arial"/>
        </w:rPr>
      </w:pPr>
      <w:r w:rsidRPr="00ED7521">
        <w:rPr>
          <w:rFonts w:eastAsia="Arial"/>
        </w:rPr>
        <w:t xml:space="preserve">CONCLUSION </w:t>
      </w:r>
    </w:p>
    <w:p w14:paraId="756BDCD6" w14:textId="77777777" w:rsidR="00ED7521" w:rsidRPr="00ED7521" w:rsidRDefault="00ED7521" w:rsidP="00ED7521">
      <w:pPr>
        <w:pStyle w:val="Alishlah21heading1"/>
        <w:numPr>
          <w:ilvl w:val="0"/>
          <w:numId w:val="0"/>
        </w:numPr>
        <w:spacing w:line="276" w:lineRule="auto"/>
        <w:ind w:firstLine="425"/>
        <w:jc w:val="both"/>
        <w:rPr>
          <w:b w:val="0"/>
          <w:bCs/>
        </w:rPr>
      </w:pPr>
      <w:r w:rsidRPr="00ED7521">
        <w:rPr>
          <w:b w:val="0"/>
          <w:bCs/>
        </w:rPr>
        <w:t xml:space="preserve">According to the conducted research, it has been demonstrated that the school environment has an impact on the mental well-being and </w:t>
      </w:r>
      <w:r w:rsidRPr="00741B7F">
        <w:rPr>
          <w:b w:val="0"/>
          <w:bCs/>
          <w:i/>
          <w:iCs/>
        </w:rPr>
        <w:t>post-traumatic growth</w:t>
      </w:r>
      <w:r w:rsidRPr="00ED7521">
        <w:rPr>
          <w:b w:val="0"/>
          <w:bCs/>
        </w:rPr>
        <w:t xml:space="preserve"> of kids. This is primarily due to the social support received from the school community, including caring friendships and helpful teachers, as well as the overall atmosphere. In addition, it is crucial for each student to possess self-awareness </w:t>
      </w:r>
      <w:proofErr w:type="gramStart"/>
      <w:r w:rsidRPr="00ED7521">
        <w:rPr>
          <w:b w:val="0"/>
          <w:bCs/>
        </w:rPr>
        <w:t>in order to</w:t>
      </w:r>
      <w:proofErr w:type="gramEnd"/>
      <w:r w:rsidRPr="00ED7521">
        <w:rPr>
          <w:b w:val="0"/>
          <w:bCs/>
        </w:rPr>
        <w:t xml:space="preserve"> effectively address the common issues that arise within the school environment and foster mutual support. Furthermore, the school's efforts in delivering education on mental health and trauma, while highlighting the adverse consequences that may arise, are of utmost significance. While schools are frequently sites of bullying, it is important to note that this does not imply that such behaviour will persist in the future. Instead, it serves as a lesson for schools to prioritise the creation of a serene and welcoming environment for their kids. The purpose of this is to fulfil educational objectives, specifically to establish schools as environments for learning rather than for student victimisation, so enabling schools to collaborate with students </w:t>
      </w:r>
      <w:proofErr w:type="gramStart"/>
      <w:r w:rsidRPr="00ED7521">
        <w:rPr>
          <w:b w:val="0"/>
          <w:bCs/>
        </w:rPr>
        <w:t>in order to</w:t>
      </w:r>
      <w:proofErr w:type="gramEnd"/>
      <w:r w:rsidRPr="00ED7521">
        <w:rPr>
          <w:b w:val="0"/>
          <w:bCs/>
        </w:rPr>
        <w:t xml:space="preserve"> proactively address and deter instances of bullying and related behaviours. </w:t>
      </w:r>
    </w:p>
    <w:p w14:paraId="202538A3" w14:textId="77777777" w:rsidR="002B31FD" w:rsidRPr="00ED7521" w:rsidRDefault="002B31FD" w:rsidP="002B31FD">
      <w:pPr>
        <w:pStyle w:val="Alishlah21heading1"/>
        <w:numPr>
          <w:ilvl w:val="0"/>
          <w:numId w:val="0"/>
        </w:numPr>
      </w:pPr>
      <w:r w:rsidRPr="00ED7521">
        <w:t>REFERENCES</w:t>
      </w:r>
    </w:p>
    <w:p w14:paraId="2D68CFC7" w14:textId="3DF41C7B"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sz w:val="20"/>
          <w:szCs w:val="20"/>
        </w:rPr>
        <w:fldChar w:fldCharType="begin" w:fldLock="1"/>
      </w:r>
      <w:r w:rsidRPr="00ED7521">
        <w:rPr>
          <w:rFonts w:ascii="Palatino Linotype" w:hAnsi="Palatino Linotype"/>
          <w:sz w:val="20"/>
          <w:szCs w:val="20"/>
        </w:rPr>
        <w:instrText xml:space="preserve">ADDIN Mendeley Bibliography CSL_BIBLIOGRAPHY </w:instrText>
      </w:r>
      <w:r w:rsidRPr="00ED7521">
        <w:rPr>
          <w:rFonts w:ascii="Palatino Linotype" w:hAnsi="Palatino Linotype"/>
          <w:sz w:val="20"/>
          <w:szCs w:val="20"/>
        </w:rPr>
        <w:fldChar w:fldCharType="separate"/>
      </w:r>
      <w:r w:rsidRPr="00ED7521">
        <w:rPr>
          <w:rFonts w:ascii="Palatino Linotype" w:hAnsi="Palatino Linotype" w:cs="Times New Roman"/>
          <w:noProof/>
          <w:sz w:val="20"/>
          <w:szCs w:val="20"/>
        </w:rPr>
        <w:t xml:space="preserve">Basu, S., &amp; Banerjee, B. (2020). Impact of environmental factors on mental health of children and adolescents: A systematic review. </w:t>
      </w:r>
      <w:r w:rsidRPr="00ED7521">
        <w:rPr>
          <w:rFonts w:ascii="Palatino Linotype" w:hAnsi="Palatino Linotype" w:cs="Times New Roman"/>
          <w:i/>
          <w:iCs/>
          <w:noProof/>
          <w:sz w:val="20"/>
          <w:szCs w:val="20"/>
        </w:rPr>
        <w:t>Children and Youth Services Review</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119</w:t>
      </w:r>
      <w:r w:rsidRPr="00ED7521">
        <w:rPr>
          <w:rFonts w:ascii="Palatino Linotype" w:hAnsi="Palatino Linotype" w:cs="Times New Roman"/>
          <w:noProof/>
          <w:sz w:val="20"/>
          <w:szCs w:val="20"/>
        </w:rPr>
        <w:t>(June). https://doi.org/10.1016/j.childyouth.2020.105515</w:t>
      </w:r>
    </w:p>
    <w:p w14:paraId="28F7E1E8"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Brooks, H., Prawira, B., Windfuhr, K., Irmansyah, I., Lovell, K., Syarif, A. K., … Bee, P. (2022). Mental health literacy amongst children with common mental health problems and their parents in Java, Indonesia: a qualitative study. </w:t>
      </w:r>
      <w:r w:rsidRPr="00ED7521">
        <w:rPr>
          <w:rFonts w:ascii="Palatino Linotype" w:hAnsi="Palatino Linotype" w:cs="Times New Roman"/>
          <w:i/>
          <w:iCs/>
          <w:noProof/>
          <w:sz w:val="20"/>
          <w:szCs w:val="20"/>
        </w:rPr>
        <w:t>Global Mental Health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9</w:t>
      </w:r>
      <w:r w:rsidRPr="00ED7521">
        <w:rPr>
          <w:rFonts w:ascii="Palatino Linotype" w:hAnsi="Palatino Linotype" w:cs="Times New Roman"/>
          <w:noProof/>
          <w:sz w:val="20"/>
          <w:szCs w:val="20"/>
        </w:rPr>
        <w:t>, 72–83. https://doi.org/10.1017/gmh.2022.5</w:t>
      </w:r>
    </w:p>
    <w:p w14:paraId="48A2483D"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Bryngeirsdottir, H. S., &amp; Halldorsdottir, S. (2022). The challenging journey from trauma to post-traumatic growth: Lived experiences of facilitating and hindering factors. </w:t>
      </w:r>
      <w:r w:rsidRPr="00ED7521">
        <w:rPr>
          <w:rFonts w:ascii="Palatino Linotype" w:hAnsi="Palatino Linotype" w:cs="Times New Roman"/>
          <w:i/>
          <w:iCs/>
          <w:noProof/>
          <w:sz w:val="20"/>
          <w:szCs w:val="20"/>
        </w:rPr>
        <w:t>Scandinavian Journal of Caring Sciences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36</w:t>
      </w:r>
      <w:r w:rsidRPr="00ED7521">
        <w:rPr>
          <w:rFonts w:ascii="Palatino Linotype" w:hAnsi="Palatino Linotype" w:cs="Times New Roman"/>
          <w:noProof/>
          <w:sz w:val="20"/>
          <w:szCs w:val="20"/>
        </w:rPr>
        <w:t>(3), 752–768. https://doi.org/10.1111/scs.13037</w:t>
      </w:r>
    </w:p>
    <w:p w14:paraId="14BA2687"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Cheung, G. W., Cooper-Thomas, H. D., Lau, R. S., &amp; Wang, L. C. (2023). Reporting reliability, convergent and discriminant validity with structural equation modeling: A review and best-practice recommendations. In </w:t>
      </w:r>
      <w:r w:rsidRPr="00ED7521">
        <w:rPr>
          <w:rFonts w:ascii="Palatino Linotype" w:hAnsi="Palatino Linotype" w:cs="Times New Roman"/>
          <w:i/>
          <w:iCs/>
          <w:noProof/>
          <w:sz w:val="20"/>
          <w:szCs w:val="20"/>
        </w:rPr>
        <w:t>Asia Pacific Journal of Management</w:t>
      </w:r>
      <w:r w:rsidRPr="00ED7521">
        <w:rPr>
          <w:rFonts w:ascii="Palatino Linotype" w:hAnsi="Palatino Linotype" w:cs="Times New Roman"/>
          <w:noProof/>
          <w:sz w:val="20"/>
          <w:szCs w:val="20"/>
        </w:rPr>
        <w:t xml:space="preserve"> (Vol. 41). Springer US. https://doi.org/10.1007/s10490-023-09871-y</w:t>
      </w:r>
    </w:p>
    <w:p w14:paraId="4464BEC4"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Efstathopoulou, L., &amp; Bungay, H. (2021). Mental health and resilience: Arts on Prescription for children </w:t>
      </w:r>
      <w:r w:rsidRPr="00ED7521">
        <w:rPr>
          <w:rFonts w:ascii="Palatino Linotype" w:hAnsi="Palatino Linotype" w:cs="Times New Roman"/>
          <w:noProof/>
          <w:sz w:val="20"/>
          <w:szCs w:val="20"/>
        </w:rPr>
        <w:lastRenderedPageBreak/>
        <w:t xml:space="preserve">and young people in a school setting. </w:t>
      </w:r>
      <w:r w:rsidRPr="00ED7521">
        <w:rPr>
          <w:rFonts w:ascii="Palatino Linotype" w:hAnsi="Palatino Linotype" w:cs="Times New Roman"/>
          <w:i/>
          <w:iCs/>
          <w:noProof/>
          <w:sz w:val="20"/>
          <w:szCs w:val="20"/>
        </w:rPr>
        <w:t>Public Health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198</w:t>
      </w:r>
      <w:r w:rsidRPr="00ED7521">
        <w:rPr>
          <w:rFonts w:ascii="Palatino Linotype" w:hAnsi="Palatino Linotype" w:cs="Times New Roman"/>
          <w:noProof/>
          <w:sz w:val="20"/>
          <w:szCs w:val="20"/>
        </w:rPr>
        <w:t>, 196–199. https://doi.org/10.1016/j.puhe.2021.07.021</w:t>
      </w:r>
    </w:p>
    <w:p w14:paraId="67F7481B"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Fondren, K., Lawson, M., Speidel, R., Mcdonnell, C. G., Valentino, K., Dame, N., &amp; States, U. (2020). Children and Youth Services Review Buffering the effects of childhood trauma within the school setting</w:t>
      </w:r>
      <w:r w:rsidRPr="00ED7521">
        <w:rPr>
          <w:rFonts w:ascii="Times New Roman" w:hAnsi="Times New Roman" w:cs="Times New Roman"/>
          <w:noProof/>
          <w:sz w:val="20"/>
          <w:szCs w:val="20"/>
        </w:rPr>
        <w:t> </w:t>
      </w:r>
      <w:r w:rsidRPr="00ED7521">
        <w:rPr>
          <w:rFonts w:ascii="Palatino Linotype" w:hAnsi="Palatino Linotype" w:cs="Times New Roman"/>
          <w:noProof/>
          <w:sz w:val="20"/>
          <w:szCs w:val="20"/>
        </w:rPr>
        <w:t xml:space="preserve">: A systematic review of trauma-informed and trauma-responsive interventions among trauma-affected youth. </w:t>
      </w:r>
      <w:r w:rsidRPr="00ED7521">
        <w:rPr>
          <w:rFonts w:ascii="Palatino Linotype" w:hAnsi="Palatino Linotype" w:cs="Times New Roman"/>
          <w:i/>
          <w:iCs/>
          <w:noProof/>
          <w:sz w:val="20"/>
          <w:szCs w:val="20"/>
        </w:rPr>
        <w:t>Children and Youth Services Review</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109</w:t>
      </w:r>
      <w:r w:rsidRPr="00ED7521">
        <w:rPr>
          <w:rFonts w:ascii="Palatino Linotype" w:hAnsi="Palatino Linotype" w:cs="Times New Roman"/>
          <w:noProof/>
          <w:sz w:val="20"/>
          <w:szCs w:val="20"/>
        </w:rPr>
        <w:t>(August 2019), 104691. https://doi.org/10.1016/j.childyouth.2019.104691</w:t>
      </w:r>
    </w:p>
    <w:p w14:paraId="14962B06"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Franklin, C. G. S., Kim, J. S., Ryan, T. N., Kelly, M. S., &amp; Montgomery, K. L. (2012). Teacher involvement in school mental health interventions: A systematic review. </w:t>
      </w:r>
      <w:r w:rsidRPr="00ED7521">
        <w:rPr>
          <w:rFonts w:ascii="Palatino Linotype" w:hAnsi="Palatino Linotype" w:cs="Times New Roman"/>
          <w:i/>
          <w:iCs/>
          <w:noProof/>
          <w:sz w:val="20"/>
          <w:szCs w:val="20"/>
        </w:rPr>
        <w:t>Children and Youth Services Review</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34</w:t>
      </w:r>
      <w:r w:rsidRPr="00ED7521">
        <w:rPr>
          <w:rFonts w:ascii="Palatino Linotype" w:hAnsi="Palatino Linotype" w:cs="Times New Roman"/>
          <w:noProof/>
          <w:sz w:val="20"/>
          <w:szCs w:val="20"/>
        </w:rPr>
        <w:t>(5), 973–982. https://doi.org/10.1016/j.childyouth.2012.01.027</w:t>
      </w:r>
    </w:p>
    <w:p w14:paraId="5FFD3847"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Gamala, J. J., &amp; Marpa, E. P. (2022). School Environment and School Heads’ Managerial Skills: Looking into their Relationships to School’s Performance. </w:t>
      </w:r>
      <w:r w:rsidRPr="00ED7521">
        <w:rPr>
          <w:rFonts w:ascii="Palatino Linotype" w:hAnsi="Palatino Linotype" w:cs="Times New Roman"/>
          <w:i/>
          <w:iCs/>
          <w:noProof/>
          <w:sz w:val="20"/>
          <w:szCs w:val="20"/>
        </w:rPr>
        <w:t>International Journal on Social and Education Sciences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4</w:t>
      </w:r>
      <w:r w:rsidRPr="00ED7521">
        <w:rPr>
          <w:rFonts w:ascii="Palatino Linotype" w:hAnsi="Palatino Linotype" w:cs="Times New Roman"/>
          <w:noProof/>
          <w:sz w:val="20"/>
          <w:szCs w:val="20"/>
        </w:rPr>
        <w:t>(2), 218–235. https://doi.org/10.46328/ijonses.285</w:t>
      </w:r>
    </w:p>
    <w:p w14:paraId="1064F75A"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Harding, S., Morris, R., Gunnell, D., Ford, T., Hollingworth, W., Tilling, K., … Brockman, R. (2019). Is teachers’ mental health and wellbeing associated with students’ mental health and wellbeing? </w:t>
      </w:r>
      <w:r w:rsidRPr="00ED7521">
        <w:rPr>
          <w:rFonts w:ascii="Palatino Linotype" w:hAnsi="Palatino Linotype" w:cs="Times New Roman"/>
          <w:i/>
          <w:iCs/>
          <w:noProof/>
          <w:sz w:val="20"/>
          <w:szCs w:val="20"/>
        </w:rPr>
        <w:t>Journal of Affective Disorders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242</w:t>
      </w:r>
      <w:r w:rsidRPr="00ED7521">
        <w:rPr>
          <w:rFonts w:ascii="Palatino Linotype" w:hAnsi="Palatino Linotype" w:cs="Times New Roman"/>
          <w:noProof/>
          <w:sz w:val="20"/>
          <w:szCs w:val="20"/>
        </w:rPr>
        <w:t>, 180–187.</w:t>
      </w:r>
    </w:p>
    <w:p w14:paraId="0C71FF55"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Henson, C., Truchot, D., &amp; Canevello, A. (2022). </w:t>
      </w:r>
      <w:r w:rsidRPr="00ED7521">
        <w:rPr>
          <w:rFonts w:ascii="Palatino Linotype" w:hAnsi="Palatino Linotype" w:cs="Times New Roman"/>
          <w:i/>
          <w:iCs/>
          <w:noProof/>
          <w:sz w:val="20"/>
          <w:szCs w:val="20"/>
        </w:rPr>
        <w:t>Factors That Hinder Posttraumatic Growth: A Systematic Review Les facteurs qui entravent la croissance post-traumatique</w:t>
      </w:r>
      <w:r w:rsidRPr="00ED7521">
        <w:rPr>
          <w:rFonts w:ascii="Times New Roman" w:hAnsi="Times New Roman" w:cs="Times New Roman"/>
          <w:i/>
          <w:iCs/>
          <w:noProof/>
          <w:sz w:val="20"/>
          <w:szCs w:val="20"/>
        </w:rPr>
        <w:t> </w:t>
      </w:r>
      <w:r w:rsidRPr="00ED7521">
        <w:rPr>
          <w:rFonts w:ascii="Palatino Linotype" w:hAnsi="Palatino Linotype" w:cs="Times New Roman"/>
          <w:i/>
          <w:iCs/>
          <w:noProof/>
          <w:sz w:val="20"/>
          <w:szCs w:val="20"/>
        </w:rPr>
        <w:t>: Une revue systématique</w:t>
      </w:r>
      <w:r w:rsidRPr="00ED7521">
        <w:rPr>
          <w:rFonts w:ascii="Palatino Linotype" w:hAnsi="Palatino Linotype" w:cs="Times New Roman"/>
          <w:noProof/>
          <w:sz w:val="20"/>
          <w:szCs w:val="20"/>
        </w:rPr>
        <w:t>.</w:t>
      </w:r>
    </w:p>
    <w:p w14:paraId="0C5D05DF"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Hidayati, H. N., Hayat, B., &amp; Rahayu, W. (2021). Assessment of the Validity and Reliability of Mental Health Instruments of High School Student in Indonesia. </w:t>
      </w:r>
      <w:r w:rsidRPr="00ED7521">
        <w:rPr>
          <w:rFonts w:ascii="Palatino Linotype" w:hAnsi="Palatino Linotype" w:cs="Times New Roman"/>
          <w:i/>
          <w:iCs/>
          <w:noProof/>
          <w:sz w:val="20"/>
          <w:szCs w:val="20"/>
        </w:rPr>
        <w:t>European Journal of Educational Research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w:t>
      </w:r>
      <w:r w:rsidRPr="00ED7521">
        <w:rPr>
          <w:rFonts w:ascii="Palatino Linotype" w:hAnsi="Palatino Linotype" w:cs="Times New Roman"/>
          <w:noProof/>
          <w:sz w:val="20"/>
          <w:szCs w:val="20"/>
        </w:rPr>
        <w:t>(2), 729–742.</w:t>
      </w:r>
    </w:p>
    <w:p w14:paraId="67B6F302"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Hsieh, L., Liao, W., &amp; Liu, E. (2024). Computers in Human Behavior</w:t>
      </w:r>
      <w:r w:rsidRPr="00ED7521">
        <w:rPr>
          <w:rFonts w:ascii="Times New Roman" w:hAnsi="Times New Roman" w:cs="Times New Roman"/>
          <w:noProof/>
          <w:sz w:val="20"/>
          <w:szCs w:val="20"/>
        </w:rPr>
        <w:t> </w:t>
      </w:r>
      <w:r w:rsidRPr="00ED7521">
        <w:rPr>
          <w:rFonts w:ascii="Palatino Linotype" w:hAnsi="Palatino Linotype" w:cs="Times New Roman"/>
          <w:noProof/>
          <w:sz w:val="20"/>
          <w:szCs w:val="20"/>
        </w:rPr>
        <w:t xml:space="preserve">: Artificial Humans Feasibility assessment of using ChatGPT for training case conceptualization skills in psychological counseling. </w:t>
      </w:r>
      <w:r w:rsidRPr="00ED7521">
        <w:rPr>
          <w:rFonts w:ascii="Palatino Linotype" w:hAnsi="Palatino Linotype" w:cs="Times New Roman"/>
          <w:i/>
          <w:iCs/>
          <w:noProof/>
          <w:sz w:val="20"/>
          <w:szCs w:val="20"/>
        </w:rPr>
        <w:t>Computers in Human Behavior: Artificial Humans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2</w:t>
      </w:r>
      <w:r w:rsidRPr="00ED7521">
        <w:rPr>
          <w:rFonts w:ascii="Palatino Linotype" w:hAnsi="Palatino Linotype" w:cs="Times New Roman"/>
          <w:noProof/>
          <w:sz w:val="20"/>
          <w:szCs w:val="20"/>
        </w:rPr>
        <w:t>(2), 100083. https://doi.org/10.1016/j.chbah.2024.100083</w:t>
      </w:r>
    </w:p>
    <w:p w14:paraId="70957A00"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Juanamasta, I. G., Aungsuroch, Y., Fisher, M. L., Nuryani, S. N. A., &amp; Ayuningsih, N. N. (2023). Translation and validation study of the Indonesian version of the practice environment scale of the nursing work index. </w:t>
      </w:r>
      <w:r w:rsidRPr="00ED7521">
        <w:rPr>
          <w:rFonts w:ascii="Palatino Linotype" w:hAnsi="Palatino Linotype" w:cs="Times New Roman"/>
          <w:i/>
          <w:iCs/>
          <w:noProof/>
          <w:sz w:val="20"/>
          <w:szCs w:val="20"/>
        </w:rPr>
        <w:t>International Journal of Nursing Sciences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w:t>
      </w:r>
      <w:r w:rsidRPr="00ED7521">
        <w:rPr>
          <w:rFonts w:ascii="Palatino Linotype" w:hAnsi="Palatino Linotype" w:cs="Times New Roman"/>
          <w:noProof/>
          <w:sz w:val="20"/>
          <w:szCs w:val="20"/>
        </w:rPr>
        <w:t>(4), 511–517. https://doi.org/10.1016/j.ijnss.2023.09.018</w:t>
      </w:r>
    </w:p>
    <w:p w14:paraId="31764FE1"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Laurenzi, C. A., du Toit, S., Mawoyo, T., Luitel, N. P., Jordans, M. J. D., Pradhan, I., … Skeen, S. (2024). Development of a school-based programme for mental health promotion and prevention among adolescents in Nepal and South Africa. </w:t>
      </w:r>
      <w:r w:rsidRPr="00ED7521">
        <w:rPr>
          <w:rFonts w:ascii="Palatino Linotype" w:hAnsi="Palatino Linotype" w:cs="Times New Roman"/>
          <w:i/>
          <w:iCs/>
          <w:noProof/>
          <w:sz w:val="20"/>
          <w:szCs w:val="20"/>
        </w:rPr>
        <w:t>SSM - Mental Health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5</w:t>
      </w:r>
      <w:r w:rsidRPr="00ED7521">
        <w:rPr>
          <w:rFonts w:ascii="Palatino Linotype" w:hAnsi="Palatino Linotype" w:cs="Times New Roman"/>
          <w:noProof/>
          <w:sz w:val="20"/>
          <w:szCs w:val="20"/>
        </w:rPr>
        <w:t>(July 2023), 100289. https://doi.org/10.1016/j.ssmmh.2023.100289</w:t>
      </w:r>
    </w:p>
    <w:p w14:paraId="22E34A93"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Liu, S., Chen, H., Xu, D., Liu, Y., Han, P., Jiang, J., &amp; Zhuang, Y. (2024). Post-traumatic growth experiences of emergency and critical care nurses after the COVID-19 pandemic: A qualitative meta-synthesis. </w:t>
      </w:r>
      <w:r w:rsidRPr="00ED7521">
        <w:rPr>
          <w:rFonts w:ascii="Palatino Linotype" w:hAnsi="Palatino Linotype" w:cs="Times New Roman"/>
          <w:i/>
          <w:iCs/>
          <w:noProof/>
          <w:sz w:val="20"/>
          <w:szCs w:val="20"/>
        </w:rPr>
        <w:t>Heliyon</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w:t>
      </w:r>
      <w:r w:rsidRPr="00ED7521">
        <w:rPr>
          <w:rFonts w:ascii="Palatino Linotype" w:hAnsi="Palatino Linotype" w:cs="Times New Roman"/>
          <w:noProof/>
          <w:sz w:val="20"/>
          <w:szCs w:val="20"/>
        </w:rPr>
        <w:t>(12), e32796. https://doi.org/10.1016/j.heliyon.2024.e32796</w:t>
      </w:r>
    </w:p>
    <w:p w14:paraId="04B0A918"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Maheshwarappa, H. M., &amp; Majumder, S. (2023). Interpretation of P-Value: The Correct Way! </w:t>
      </w:r>
      <w:r w:rsidRPr="00ED7521">
        <w:rPr>
          <w:rFonts w:ascii="Palatino Linotype" w:hAnsi="Palatino Linotype" w:cs="Times New Roman"/>
          <w:i/>
          <w:iCs/>
          <w:noProof/>
          <w:sz w:val="20"/>
          <w:szCs w:val="20"/>
        </w:rPr>
        <w:t>Indian Journal of Respiratory Care</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12</w:t>
      </w:r>
      <w:r w:rsidRPr="00ED7521">
        <w:rPr>
          <w:rFonts w:ascii="Palatino Linotype" w:hAnsi="Palatino Linotype" w:cs="Times New Roman"/>
          <w:noProof/>
          <w:sz w:val="20"/>
          <w:szCs w:val="20"/>
        </w:rPr>
        <w:t>(1), 1–2. https://doi.org/10.5005/jp-journals-11010-1026</w:t>
      </w:r>
    </w:p>
    <w:p w14:paraId="0853C055"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Mahoney, J. L., Weissberg, R. P., Greenberg, M. T., Dusenbury, L., Jagers, R. J., Niemi, K., … Yoder, N. (2021). Systemic Social and Emotional Learning: Promoting Educational Success for All Preschool to High School Students. </w:t>
      </w:r>
      <w:r w:rsidRPr="00ED7521">
        <w:rPr>
          <w:rFonts w:ascii="Palatino Linotype" w:hAnsi="Palatino Linotype" w:cs="Times New Roman"/>
          <w:i/>
          <w:iCs/>
          <w:noProof/>
          <w:sz w:val="20"/>
          <w:szCs w:val="20"/>
        </w:rPr>
        <w:t>American Psychologist</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76</w:t>
      </w:r>
      <w:r w:rsidRPr="00ED7521">
        <w:rPr>
          <w:rFonts w:ascii="Palatino Linotype" w:hAnsi="Palatino Linotype" w:cs="Times New Roman"/>
          <w:noProof/>
          <w:sz w:val="20"/>
          <w:szCs w:val="20"/>
        </w:rPr>
        <w:t>(7), 1128–1142. https://doi.org/10.1037/amp0000701</w:t>
      </w:r>
    </w:p>
    <w:p w14:paraId="100642B7"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Morin, A. H. (2022). Promoting positive social classroom environments to enhance students’ mental health? Effectiveness of a school-based programme in Norway. </w:t>
      </w:r>
      <w:r w:rsidRPr="00ED7521">
        <w:rPr>
          <w:rFonts w:ascii="Palatino Linotype" w:hAnsi="Palatino Linotype" w:cs="Times New Roman"/>
          <w:i/>
          <w:iCs/>
          <w:noProof/>
          <w:sz w:val="20"/>
          <w:szCs w:val="20"/>
        </w:rPr>
        <w:t>International Journal of Educational Research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113</w:t>
      </w:r>
      <w:r w:rsidRPr="00ED7521">
        <w:rPr>
          <w:rFonts w:ascii="Palatino Linotype" w:hAnsi="Palatino Linotype" w:cs="Times New Roman"/>
          <w:noProof/>
          <w:sz w:val="20"/>
          <w:szCs w:val="20"/>
        </w:rPr>
        <w:t>(October 2021), 101966. https://doi.org/10.1016/j.ijer.2022.101966</w:t>
      </w:r>
    </w:p>
    <w:p w14:paraId="5B3A250B"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Nasti, C., Sangiuliano Intra, F., Palmiero, M., &amp; Brighi, A. (2023). The relationship between personality and bullying among primary school children: the mediation role of trait emotion intelligence and empathy. </w:t>
      </w:r>
      <w:r w:rsidRPr="00ED7521">
        <w:rPr>
          <w:rFonts w:ascii="Palatino Linotype" w:hAnsi="Palatino Linotype" w:cs="Times New Roman"/>
          <w:i/>
          <w:iCs/>
          <w:noProof/>
          <w:sz w:val="20"/>
          <w:szCs w:val="20"/>
        </w:rPr>
        <w:t>International Journal of Clinical and Health Psychology</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23</w:t>
      </w:r>
      <w:r w:rsidRPr="00ED7521">
        <w:rPr>
          <w:rFonts w:ascii="Palatino Linotype" w:hAnsi="Palatino Linotype" w:cs="Times New Roman"/>
          <w:noProof/>
          <w:sz w:val="20"/>
          <w:szCs w:val="20"/>
        </w:rPr>
        <w:t>(2), 100359. https://doi.org/10.1016/j.ijchp.2022.100359</w:t>
      </w:r>
    </w:p>
    <w:p w14:paraId="60AC0A89"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Nisa, I. H. (2022). The Role Of The School Environment On Student Learning Success, A Descriptive </w:t>
      </w:r>
      <w:r w:rsidRPr="00ED7521">
        <w:rPr>
          <w:rFonts w:ascii="Palatino Linotype" w:hAnsi="Palatino Linotype" w:cs="Times New Roman"/>
          <w:noProof/>
          <w:sz w:val="20"/>
          <w:szCs w:val="20"/>
        </w:rPr>
        <w:lastRenderedPageBreak/>
        <w:t xml:space="preserve">Study at MTS Dzunnuraini. </w:t>
      </w:r>
      <w:r w:rsidRPr="00ED7521">
        <w:rPr>
          <w:rFonts w:ascii="Palatino Linotype" w:hAnsi="Palatino Linotype" w:cs="Times New Roman"/>
          <w:i/>
          <w:iCs/>
          <w:noProof/>
          <w:sz w:val="20"/>
          <w:szCs w:val="20"/>
        </w:rPr>
        <w:t>TARQIYATUNA: Jurnal Pendidikan Agama Islam Dan Madrasah Ibtidaiyah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w:t>
      </w:r>
      <w:r w:rsidRPr="00ED7521">
        <w:rPr>
          <w:rFonts w:ascii="Palatino Linotype" w:hAnsi="Palatino Linotype" w:cs="Times New Roman"/>
          <w:noProof/>
          <w:sz w:val="20"/>
          <w:szCs w:val="20"/>
        </w:rPr>
        <w:t>(1), 24–29. https://doi.org/10.36769/tarqiyatuna.v1i1.190</w:t>
      </w:r>
    </w:p>
    <w:p w14:paraId="431D070E"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Noboru, T., Amalia, E., Hernandez, P. M. R., Nurbaiti, L., Affarah, W. S., Nonaka, D., … Kobayashi, J. (2021). School‐based education to prevent bullying in high schools in Indonesia. </w:t>
      </w:r>
      <w:r w:rsidRPr="00ED7521">
        <w:rPr>
          <w:rFonts w:ascii="Palatino Linotype" w:hAnsi="Palatino Linotype" w:cs="Times New Roman"/>
          <w:i/>
          <w:iCs/>
          <w:noProof/>
          <w:sz w:val="20"/>
          <w:szCs w:val="20"/>
        </w:rPr>
        <w:t>Pediatrics International</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63</w:t>
      </w:r>
      <w:r w:rsidRPr="00ED7521">
        <w:rPr>
          <w:rFonts w:ascii="Palatino Linotype" w:hAnsi="Palatino Linotype" w:cs="Times New Roman"/>
          <w:noProof/>
          <w:sz w:val="20"/>
          <w:szCs w:val="20"/>
        </w:rPr>
        <w:t>(4), 459–468.</w:t>
      </w:r>
    </w:p>
    <w:p w14:paraId="4BA48365"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Noor, S., Tajik, O., &amp; Golzar, J. (2022). Simple Random Sampling. </w:t>
      </w:r>
      <w:r w:rsidRPr="00ED7521">
        <w:rPr>
          <w:rFonts w:ascii="Palatino Linotype" w:hAnsi="Palatino Linotype" w:cs="Times New Roman"/>
          <w:i/>
          <w:iCs/>
          <w:noProof/>
          <w:sz w:val="20"/>
          <w:szCs w:val="20"/>
        </w:rPr>
        <w:t>International Journal of Education &amp; Language Studies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w:t>
      </w:r>
      <w:r w:rsidRPr="00ED7521">
        <w:rPr>
          <w:rFonts w:ascii="Palatino Linotype" w:hAnsi="Palatino Linotype" w:cs="Times New Roman"/>
          <w:noProof/>
          <w:sz w:val="20"/>
          <w:szCs w:val="20"/>
        </w:rPr>
        <w:t>(November), 78–82.</w:t>
      </w:r>
    </w:p>
    <w:p w14:paraId="01519555"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Samdal, O., Wold, B., &amp; Bronis, M. (1999). Relationship between students’ perceptions of school environment, their satisfaction with school and perceived academic achievement: An international study. </w:t>
      </w:r>
      <w:r w:rsidRPr="00ED7521">
        <w:rPr>
          <w:rFonts w:ascii="Palatino Linotype" w:hAnsi="Palatino Linotype" w:cs="Times New Roman"/>
          <w:i/>
          <w:iCs/>
          <w:noProof/>
          <w:sz w:val="20"/>
          <w:szCs w:val="20"/>
        </w:rPr>
        <w:t>School Effectiveness and School Improvement</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w:t>
      </w:r>
      <w:r w:rsidRPr="00ED7521">
        <w:rPr>
          <w:rFonts w:ascii="Palatino Linotype" w:hAnsi="Palatino Linotype" w:cs="Times New Roman"/>
          <w:noProof/>
          <w:sz w:val="20"/>
          <w:szCs w:val="20"/>
        </w:rPr>
        <w:t>(3), 296–320. https://doi.org/10.1076/sesi.10.3.296.3502</w:t>
      </w:r>
    </w:p>
    <w:p w14:paraId="31DA96FA"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Siedlecki, S. L. (2020). Understanding Descriptive Research Designs and Methods. </w:t>
      </w:r>
      <w:r w:rsidRPr="00ED7521">
        <w:rPr>
          <w:rFonts w:ascii="Palatino Linotype" w:hAnsi="Palatino Linotype" w:cs="Times New Roman"/>
          <w:i/>
          <w:iCs/>
          <w:noProof/>
          <w:sz w:val="20"/>
          <w:szCs w:val="20"/>
        </w:rPr>
        <w:t>Clinical Nurse Specialist</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34</w:t>
      </w:r>
      <w:r w:rsidRPr="00ED7521">
        <w:rPr>
          <w:rFonts w:ascii="Palatino Linotype" w:hAnsi="Palatino Linotype" w:cs="Times New Roman"/>
          <w:noProof/>
          <w:sz w:val="20"/>
          <w:szCs w:val="20"/>
        </w:rPr>
        <w:t>(1), 8–12. https://doi.org/10.1097/NUR.0000000000000493</w:t>
      </w:r>
    </w:p>
    <w:p w14:paraId="29DEB809"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Solmi, M., Radua, J., Olivola, M., Croce, E., Soardo, L., Salazar de Pablo, G., … Fusar-Poli, P. (2022). Age at onset of mental disorders worldwide: large-scale meta-analysis of 192 epidemiological studies. </w:t>
      </w:r>
      <w:r w:rsidRPr="00ED7521">
        <w:rPr>
          <w:rFonts w:ascii="Palatino Linotype" w:hAnsi="Palatino Linotype" w:cs="Times New Roman"/>
          <w:i/>
          <w:iCs/>
          <w:noProof/>
          <w:sz w:val="20"/>
          <w:szCs w:val="20"/>
        </w:rPr>
        <w:t>Molecular Psychiatry</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27</w:t>
      </w:r>
      <w:r w:rsidRPr="00ED7521">
        <w:rPr>
          <w:rFonts w:ascii="Palatino Linotype" w:hAnsi="Palatino Linotype" w:cs="Times New Roman"/>
          <w:noProof/>
          <w:sz w:val="20"/>
          <w:szCs w:val="20"/>
        </w:rPr>
        <w:t>(1), 281–295. https://doi.org/10.1038/s41380-021-01161-7</w:t>
      </w:r>
    </w:p>
    <w:p w14:paraId="6046ED9F"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Trinidad, A. C., &amp; Protacio-De Castro, E. (2020). The institutionalization of mental health and psychosocial support in emergencies in Indonesia. </w:t>
      </w:r>
      <w:r w:rsidRPr="00ED7521">
        <w:rPr>
          <w:rFonts w:ascii="Palatino Linotype" w:hAnsi="Palatino Linotype" w:cs="Times New Roman"/>
          <w:i/>
          <w:iCs/>
          <w:noProof/>
          <w:sz w:val="20"/>
          <w:szCs w:val="20"/>
        </w:rPr>
        <w:t>International Journal of Disaster Risk Reduction</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51</w:t>
      </w:r>
      <w:r w:rsidRPr="00ED7521">
        <w:rPr>
          <w:rFonts w:ascii="Palatino Linotype" w:hAnsi="Palatino Linotype" w:cs="Times New Roman"/>
          <w:noProof/>
          <w:sz w:val="20"/>
          <w:szCs w:val="20"/>
        </w:rPr>
        <w:t>(October), 101918. https://doi.org/10.1016/j.ijdrr.2020.101918</w:t>
      </w:r>
    </w:p>
    <w:p w14:paraId="1C16E5BC"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Unicef Indonesia. (2024). Central Java’s Adolescents on the Path to Mental Health. Retrieved January 16, 2024, from Unicef for every child website: https://www.unicef.org/indonesia/stories/resilience-blooms-central-javas-adolescents-path-mental-health#:~:text=The 2022 National Adolescent Mental,thought about ending their lives.</w:t>
      </w:r>
    </w:p>
    <w:p w14:paraId="35782DEC"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Wallwey, C., &amp; Kajfez, R. L. (2023). Quantitative research artifacts as qualitative data collection techniques in a mixed methods research study. </w:t>
      </w:r>
      <w:r w:rsidRPr="00ED7521">
        <w:rPr>
          <w:rFonts w:ascii="Palatino Linotype" w:hAnsi="Palatino Linotype" w:cs="Times New Roman"/>
          <w:i/>
          <w:iCs/>
          <w:noProof/>
          <w:sz w:val="20"/>
          <w:szCs w:val="20"/>
        </w:rPr>
        <w:t>Methods in Psychology</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8</w:t>
      </w:r>
      <w:r w:rsidRPr="00ED7521">
        <w:rPr>
          <w:rFonts w:ascii="Palatino Linotype" w:hAnsi="Palatino Linotype" w:cs="Times New Roman"/>
          <w:noProof/>
          <w:sz w:val="20"/>
          <w:szCs w:val="20"/>
        </w:rPr>
        <w:t>(February), 100115. https://doi.org/10.1016/j.metip.2023.100115</w:t>
      </w:r>
    </w:p>
    <w:p w14:paraId="5E867B4B"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Wang, H., Jia, R., Zhang, M., &amp; Fan, W. (2024). The influence of stress on mental health among Chinese college students: The moderating role of psychological suzhi. </w:t>
      </w:r>
      <w:r w:rsidRPr="00ED7521">
        <w:rPr>
          <w:rFonts w:ascii="Palatino Linotype" w:hAnsi="Palatino Linotype" w:cs="Times New Roman"/>
          <w:i/>
          <w:iCs/>
          <w:noProof/>
          <w:sz w:val="20"/>
          <w:szCs w:val="20"/>
        </w:rPr>
        <w:t>Heliyon</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10</w:t>
      </w:r>
      <w:r w:rsidRPr="00ED7521">
        <w:rPr>
          <w:rFonts w:ascii="Palatino Linotype" w:hAnsi="Palatino Linotype" w:cs="Times New Roman"/>
          <w:noProof/>
          <w:sz w:val="20"/>
          <w:szCs w:val="20"/>
        </w:rPr>
        <w:t>(5), e26699. https://doi.org/10.1016/j.heliyon.2024.e26699</w:t>
      </w:r>
    </w:p>
    <w:p w14:paraId="6834CDCD"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Wang, N., Chung, M. C., &amp; Wang, Y. (2020). The relationship between posttraumatic stress disorder, trauma centrality, posttraumatic growth and psychiatric co-morbidity among Chinese adolescents. </w:t>
      </w:r>
      <w:r w:rsidRPr="00ED7521">
        <w:rPr>
          <w:rFonts w:ascii="Palatino Linotype" w:hAnsi="Palatino Linotype" w:cs="Times New Roman"/>
          <w:i/>
          <w:iCs/>
          <w:noProof/>
          <w:sz w:val="20"/>
          <w:szCs w:val="20"/>
        </w:rPr>
        <w:t>Asian Journal of Psychiatry</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49</w:t>
      </w:r>
      <w:r w:rsidRPr="00ED7521">
        <w:rPr>
          <w:rFonts w:ascii="Palatino Linotype" w:hAnsi="Palatino Linotype" w:cs="Times New Roman"/>
          <w:noProof/>
          <w:sz w:val="20"/>
          <w:szCs w:val="20"/>
        </w:rPr>
        <w:t>(January), 101940. https://doi.org/10.1016/j.ajp.2020.101940</w:t>
      </w:r>
    </w:p>
    <w:p w14:paraId="4CC81E58"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Wangchuk, K., &amp; Dendup, T. (2023). School Principals’ perceptions on the conducive learning environment and their current practices: An Exploratory Study at Trashigang District, Bhutan. </w:t>
      </w:r>
      <w:r w:rsidRPr="00ED7521">
        <w:rPr>
          <w:rFonts w:ascii="Palatino Linotype" w:hAnsi="Palatino Linotype" w:cs="Times New Roman"/>
          <w:i/>
          <w:iCs/>
          <w:noProof/>
          <w:sz w:val="20"/>
          <w:szCs w:val="20"/>
        </w:rPr>
        <w:t>Asia Social Issues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16</w:t>
      </w:r>
      <w:r w:rsidRPr="00ED7521">
        <w:rPr>
          <w:rFonts w:ascii="Palatino Linotype" w:hAnsi="Palatino Linotype" w:cs="Times New Roman"/>
          <w:noProof/>
          <w:sz w:val="20"/>
          <w:szCs w:val="20"/>
        </w:rPr>
        <w:t>(5), e258491. https://doi.org/10.48048/asi.2023.258491</w:t>
      </w:r>
    </w:p>
    <w:p w14:paraId="3440ECE3"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Weinrib, A. Z., Rothrock, N. E., Johnsen, E. L., &amp; Lutgendorf, S. K. (2006). </w:t>
      </w:r>
      <w:r w:rsidRPr="00ED7521">
        <w:rPr>
          <w:rFonts w:ascii="Palatino Linotype" w:hAnsi="Palatino Linotype" w:cs="Times New Roman"/>
          <w:i/>
          <w:iCs/>
          <w:noProof/>
          <w:sz w:val="20"/>
          <w:szCs w:val="20"/>
        </w:rPr>
        <w:t>The Assessment and Validity of Stress-Related Growth in a Community-Based Sample</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74</w:t>
      </w:r>
      <w:r w:rsidRPr="00ED7521">
        <w:rPr>
          <w:rFonts w:ascii="Palatino Linotype" w:hAnsi="Palatino Linotype" w:cs="Times New Roman"/>
          <w:noProof/>
          <w:sz w:val="20"/>
          <w:szCs w:val="20"/>
        </w:rPr>
        <w:t>(5), 851–858. https://doi.org/10.1037/0022-006X.74.5.851</w:t>
      </w:r>
    </w:p>
    <w:p w14:paraId="39CC8EEA"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Wen, K., McGrath, M., Acarturk, C., Ilkkursun, Z., Fuhr, D. C., Sondorp, E., … Roberts, B. (2020). Post-traumatic growth and its predictors among Syrian refugees in Istanbul: A mental health population survey. </w:t>
      </w:r>
      <w:r w:rsidRPr="00ED7521">
        <w:rPr>
          <w:rFonts w:ascii="Palatino Linotype" w:hAnsi="Palatino Linotype" w:cs="Times New Roman"/>
          <w:i/>
          <w:iCs/>
          <w:noProof/>
          <w:sz w:val="20"/>
          <w:szCs w:val="20"/>
        </w:rPr>
        <w:t>Journal of Migration and Health</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w:t>
      </w:r>
      <w:r w:rsidRPr="00ED7521">
        <w:rPr>
          <w:rFonts w:ascii="Palatino Linotype" w:hAnsi="Palatino Linotype" w:cs="Times New Roman"/>
          <w:noProof/>
          <w:sz w:val="20"/>
          <w:szCs w:val="20"/>
        </w:rPr>
        <w:t>–</w:t>
      </w:r>
      <w:r w:rsidRPr="00ED7521">
        <w:rPr>
          <w:rFonts w:ascii="Palatino Linotype" w:hAnsi="Palatino Linotype" w:cs="Times New Roman"/>
          <w:i/>
          <w:iCs/>
          <w:noProof/>
          <w:sz w:val="20"/>
          <w:szCs w:val="20"/>
        </w:rPr>
        <w:t>2</w:t>
      </w:r>
      <w:r w:rsidRPr="00ED7521">
        <w:rPr>
          <w:rFonts w:ascii="Palatino Linotype" w:hAnsi="Palatino Linotype" w:cs="Times New Roman"/>
          <w:noProof/>
          <w:sz w:val="20"/>
          <w:szCs w:val="20"/>
        </w:rPr>
        <w:t>(November), 100010. https://doi.org/10.1016/j.jmh.2020.100010</w:t>
      </w:r>
    </w:p>
    <w:p w14:paraId="779387AA"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cs="Times New Roman"/>
          <w:noProof/>
          <w:sz w:val="20"/>
          <w:szCs w:val="20"/>
        </w:rPr>
      </w:pPr>
      <w:r w:rsidRPr="00ED7521">
        <w:rPr>
          <w:rFonts w:ascii="Palatino Linotype" w:hAnsi="Palatino Linotype" w:cs="Times New Roman"/>
          <w:noProof/>
          <w:sz w:val="20"/>
          <w:szCs w:val="20"/>
        </w:rPr>
        <w:t xml:space="preserve">Yang, C., Chan, M. K., &amp; Ma, T. L. (2020). School-wide social emotional learning (SEL) and bullying victimization: Moderating role of school climate in elementary, middle, and high schools. </w:t>
      </w:r>
      <w:r w:rsidRPr="00ED7521">
        <w:rPr>
          <w:rFonts w:ascii="Palatino Linotype" w:hAnsi="Palatino Linotype" w:cs="Times New Roman"/>
          <w:i/>
          <w:iCs/>
          <w:noProof/>
          <w:sz w:val="20"/>
          <w:szCs w:val="20"/>
        </w:rPr>
        <w:t>Journal of School Psychology</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82</w:t>
      </w:r>
      <w:r w:rsidRPr="00ED7521">
        <w:rPr>
          <w:rFonts w:ascii="Palatino Linotype" w:hAnsi="Palatino Linotype" w:cs="Times New Roman"/>
          <w:noProof/>
          <w:sz w:val="20"/>
          <w:szCs w:val="20"/>
        </w:rPr>
        <w:t>(August), 49–69. https://doi.org/10.1016/j.jsp.2020.08.002</w:t>
      </w:r>
    </w:p>
    <w:p w14:paraId="71C86ABC" w14:textId="77777777" w:rsidR="00ED7521" w:rsidRPr="00ED7521" w:rsidRDefault="00ED7521" w:rsidP="00741B7F">
      <w:pPr>
        <w:widowControl w:val="0"/>
        <w:autoSpaceDE w:val="0"/>
        <w:autoSpaceDN w:val="0"/>
        <w:adjustRightInd w:val="0"/>
        <w:spacing w:after="0" w:line="240" w:lineRule="atLeast"/>
        <w:ind w:left="720" w:hanging="720"/>
        <w:jc w:val="both"/>
        <w:rPr>
          <w:rFonts w:ascii="Palatino Linotype" w:hAnsi="Palatino Linotype"/>
          <w:noProof/>
          <w:sz w:val="20"/>
          <w:szCs w:val="20"/>
        </w:rPr>
      </w:pPr>
      <w:r w:rsidRPr="00ED7521">
        <w:rPr>
          <w:rFonts w:ascii="Palatino Linotype" w:hAnsi="Palatino Linotype" w:cs="Times New Roman"/>
          <w:noProof/>
          <w:sz w:val="20"/>
          <w:szCs w:val="20"/>
        </w:rPr>
        <w:t xml:space="preserve">Yusoff, A. S. M., Peng, F. S., Razak, F. Z. A., &amp; Mustafa, W. A. (2020). Discriminant Validity Assessment of Religious Teacher Acceptance: The Use of HTMT Criterion. </w:t>
      </w:r>
      <w:r w:rsidRPr="00ED7521">
        <w:rPr>
          <w:rFonts w:ascii="Palatino Linotype" w:hAnsi="Palatino Linotype" w:cs="Times New Roman"/>
          <w:i/>
          <w:iCs/>
          <w:noProof/>
          <w:sz w:val="20"/>
          <w:szCs w:val="20"/>
        </w:rPr>
        <w:t>Journal of Physics: Conference Series</w:t>
      </w:r>
      <w:r w:rsidRPr="00ED7521">
        <w:rPr>
          <w:rFonts w:ascii="Palatino Linotype" w:hAnsi="Palatino Linotype" w:cs="Times New Roman"/>
          <w:noProof/>
          <w:sz w:val="20"/>
          <w:szCs w:val="20"/>
        </w:rPr>
        <w:t xml:space="preserve">, </w:t>
      </w:r>
      <w:r w:rsidRPr="00ED7521">
        <w:rPr>
          <w:rFonts w:ascii="Palatino Linotype" w:hAnsi="Palatino Linotype" w:cs="Times New Roman"/>
          <w:i/>
          <w:iCs/>
          <w:noProof/>
          <w:sz w:val="20"/>
          <w:szCs w:val="20"/>
        </w:rPr>
        <w:t>1529</w:t>
      </w:r>
      <w:r w:rsidRPr="00ED7521">
        <w:rPr>
          <w:rFonts w:ascii="Palatino Linotype" w:hAnsi="Palatino Linotype" w:cs="Times New Roman"/>
          <w:noProof/>
          <w:sz w:val="20"/>
          <w:szCs w:val="20"/>
        </w:rPr>
        <w:t>(4). https://doi.org/10.1088/1742-6596/1529/4/042045</w:t>
      </w:r>
    </w:p>
    <w:p w14:paraId="59DA7FA9" w14:textId="41ADA733" w:rsidR="00143989" w:rsidRPr="00ED7521" w:rsidRDefault="00ED7521" w:rsidP="00741B7F">
      <w:pPr>
        <w:pStyle w:val="Alishlah71References"/>
        <w:ind w:left="720" w:hanging="720"/>
      </w:pPr>
      <w:r w:rsidRPr="00ED7521">
        <w:fldChar w:fldCharType="end"/>
      </w:r>
    </w:p>
    <w:sectPr w:rsidR="00143989" w:rsidRPr="00ED7521"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8FC7" w14:textId="77777777" w:rsidR="00FD03A7" w:rsidRDefault="00FD03A7" w:rsidP="008E64A2">
      <w:pPr>
        <w:spacing w:after="0" w:line="240" w:lineRule="auto"/>
      </w:pPr>
      <w:r>
        <w:separator/>
      </w:r>
    </w:p>
    <w:p w14:paraId="5BEE8AD3" w14:textId="77777777" w:rsidR="00FD03A7" w:rsidRDefault="00FD03A7"/>
  </w:endnote>
  <w:endnote w:type="continuationSeparator" w:id="0">
    <w:p w14:paraId="577F8033" w14:textId="77777777" w:rsidR="00FD03A7" w:rsidRDefault="00FD03A7" w:rsidP="008E64A2">
      <w:pPr>
        <w:spacing w:after="0" w:line="240" w:lineRule="auto"/>
      </w:pPr>
      <w:r>
        <w:continuationSeparator/>
      </w:r>
    </w:p>
    <w:p w14:paraId="51660050" w14:textId="77777777" w:rsidR="00FD03A7" w:rsidRDefault="00FD0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AA66"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5DF0"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CE08" w14:textId="77777777" w:rsidR="00FD03A7" w:rsidRDefault="00FD03A7" w:rsidP="008E64A2">
      <w:pPr>
        <w:spacing w:after="0" w:line="240" w:lineRule="auto"/>
      </w:pPr>
      <w:r>
        <w:separator/>
      </w:r>
    </w:p>
    <w:p w14:paraId="54C3D9FA" w14:textId="77777777" w:rsidR="00FD03A7" w:rsidRDefault="00FD03A7"/>
  </w:footnote>
  <w:footnote w:type="continuationSeparator" w:id="0">
    <w:p w14:paraId="035B32A3" w14:textId="77777777" w:rsidR="00FD03A7" w:rsidRDefault="00FD03A7" w:rsidP="008E64A2">
      <w:pPr>
        <w:spacing w:after="0" w:line="240" w:lineRule="auto"/>
      </w:pPr>
      <w:r>
        <w:continuationSeparator/>
      </w:r>
    </w:p>
    <w:p w14:paraId="5CB2399B" w14:textId="77777777" w:rsidR="00FD03A7" w:rsidRDefault="00FD0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B340"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C6EBD82" wp14:editId="2F68EF62">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042BC"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 xml:space="preserve">Al-Ishlah: Jurnal </w:t>
    </w:r>
    <w:proofErr w:type="gramStart"/>
    <w:r w:rsidRPr="0048254D">
      <w:rPr>
        <w:rFonts w:ascii="Palatino Linotype" w:hAnsi="Palatino Linotype"/>
        <w:i/>
        <w:sz w:val="16"/>
      </w:rPr>
      <w:t>Pendidikan</w:t>
    </w:r>
    <w:r>
      <w:rPr>
        <w:rFonts w:ascii="Palatino Linotype" w:hAnsi="Palatino Linotype"/>
        <w:i/>
        <w:sz w:val="16"/>
      </w:rPr>
      <w:t>,Vol.</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665B6F8C" w14:textId="77777777" w:rsidR="00950CF3" w:rsidRDefault="00950C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B269" w14:textId="77777777" w:rsidR="001C18FA" w:rsidRPr="00FA3F1A" w:rsidRDefault="001C18FA" w:rsidP="0048254D">
    <w:pPr>
      <w:pStyle w:val="Header"/>
      <w:ind w:right="45"/>
      <w:rPr>
        <w:rFonts w:ascii="Palatino Linotype" w:hAnsi="Palatino Linotype"/>
        <w:b/>
        <w:sz w:val="20"/>
        <w:lang w:val="nl-NL"/>
      </w:rPr>
    </w:pPr>
    <w:bookmarkStart w:id="7" w:name="_Hlk97159129"/>
    <w:r w:rsidRPr="00FA3F1A">
      <w:rPr>
        <w:rFonts w:ascii="Palatino Linotype" w:hAnsi="Palatino Linotype"/>
        <w:b/>
        <w:sz w:val="20"/>
        <w:lang w:val="nl-NL"/>
      </w:rPr>
      <w:t>Al-Ishlah: Jurnal Pendidikan</w:t>
    </w:r>
  </w:p>
  <w:p w14:paraId="05533AF8" w14:textId="77777777" w:rsidR="001C18FA" w:rsidRPr="00FA3F1A" w:rsidRDefault="001C18FA" w:rsidP="0048254D">
    <w:pPr>
      <w:tabs>
        <w:tab w:val="left" w:pos="3675"/>
      </w:tabs>
      <w:spacing w:after="0" w:line="240" w:lineRule="auto"/>
      <w:ind w:right="45"/>
      <w:rPr>
        <w:rFonts w:ascii="Palatino Linotype" w:eastAsia="Times New Roman" w:hAnsi="Palatino Linotype" w:cs="Times New Roman"/>
        <w:sz w:val="18"/>
        <w:szCs w:val="18"/>
        <w:lang w:val="nl-NL"/>
      </w:rPr>
    </w:pPr>
    <w:r w:rsidRPr="00FA3F1A">
      <w:rPr>
        <w:rFonts w:ascii="Palatino Linotype" w:eastAsia="Times New Roman" w:hAnsi="Palatino Linotype" w:cs="Times New Roman"/>
        <w:sz w:val="18"/>
        <w:szCs w:val="18"/>
        <w:lang w:val="nl-NL"/>
      </w:rPr>
      <w:t xml:space="preserve">Vol.14, 1 (April, 2022), pp. </w:t>
    </w:r>
    <w:r w:rsidR="001914CF" w:rsidRPr="00FA3F1A">
      <w:rPr>
        <w:rFonts w:ascii="Palatino Linotype" w:eastAsia="Times New Roman" w:hAnsi="Palatino Linotype" w:cs="Times New Roman"/>
        <w:sz w:val="18"/>
        <w:szCs w:val="18"/>
        <w:lang w:val="nl-NL"/>
      </w:rPr>
      <w:t>61-70</w:t>
    </w:r>
  </w:p>
  <w:p w14:paraId="6509E0E2"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7"/>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7B43D32" wp14:editId="089C82A8">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2E6DA"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5CE13C6"/>
    <w:multiLevelType w:val="hybridMultilevel"/>
    <w:tmpl w:val="50CAC7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9C746C"/>
    <w:multiLevelType w:val="hybridMultilevel"/>
    <w:tmpl w:val="23DE4B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00383100">
    <w:abstractNumId w:val="10"/>
  </w:num>
  <w:num w:numId="2" w16cid:durableId="1937404268">
    <w:abstractNumId w:val="11"/>
  </w:num>
  <w:num w:numId="3" w16cid:durableId="2080013281">
    <w:abstractNumId w:val="6"/>
  </w:num>
  <w:num w:numId="4" w16cid:durableId="1475024859">
    <w:abstractNumId w:val="5"/>
  </w:num>
  <w:num w:numId="5" w16cid:durableId="771243398">
    <w:abstractNumId w:val="15"/>
  </w:num>
  <w:num w:numId="6" w16cid:durableId="1936667728">
    <w:abstractNumId w:val="18"/>
  </w:num>
  <w:num w:numId="7" w16cid:durableId="1030689258">
    <w:abstractNumId w:val="1"/>
  </w:num>
  <w:num w:numId="8" w16cid:durableId="696929216">
    <w:abstractNumId w:val="17"/>
  </w:num>
  <w:num w:numId="9" w16cid:durableId="2052923940">
    <w:abstractNumId w:val="8"/>
  </w:num>
  <w:num w:numId="10" w16cid:durableId="1016232311">
    <w:abstractNumId w:val="16"/>
  </w:num>
  <w:num w:numId="11" w16cid:durableId="317536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235760">
    <w:abstractNumId w:val="19"/>
  </w:num>
  <w:num w:numId="13" w16cid:durableId="1268003888">
    <w:abstractNumId w:val="2"/>
  </w:num>
  <w:num w:numId="14" w16cid:durableId="276907596">
    <w:abstractNumId w:val="12"/>
  </w:num>
  <w:num w:numId="15" w16cid:durableId="421224142">
    <w:abstractNumId w:val="13"/>
  </w:num>
  <w:num w:numId="16" w16cid:durableId="565188534">
    <w:abstractNumId w:val="0"/>
  </w:num>
  <w:num w:numId="17" w16cid:durableId="990450646">
    <w:abstractNumId w:val="4"/>
  </w:num>
  <w:num w:numId="18" w16cid:durableId="1136071425">
    <w:abstractNumId w:val="7"/>
  </w:num>
  <w:num w:numId="19" w16cid:durableId="1835951750">
    <w:abstractNumId w:val="14"/>
  </w:num>
  <w:num w:numId="20" w16cid:durableId="39960045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6456D0"/>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358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D70"/>
    <w:rsid w:val="005A0E25"/>
    <w:rsid w:val="005A317A"/>
    <w:rsid w:val="005A7A9C"/>
    <w:rsid w:val="005B0D7F"/>
    <w:rsid w:val="005B4643"/>
    <w:rsid w:val="005B5AEC"/>
    <w:rsid w:val="005C4902"/>
    <w:rsid w:val="005C7EC7"/>
    <w:rsid w:val="005D00BE"/>
    <w:rsid w:val="005D18A2"/>
    <w:rsid w:val="005E1D41"/>
    <w:rsid w:val="0061136D"/>
    <w:rsid w:val="00617741"/>
    <w:rsid w:val="00626D7A"/>
    <w:rsid w:val="00630559"/>
    <w:rsid w:val="006405DC"/>
    <w:rsid w:val="00642A67"/>
    <w:rsid w:val="006456D0"/>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1B7F"/>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50CF3"/>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43AC"/>
    <w:rsid w:val="00AE7180"/>
    <w:rsid w:val="00AF2F8D"/>
    <w:rsid w:val="00AF6218"/>
    <w:rsid w:val="00B00874"/>
    <w:rsid w:val="00B029BB"/>
    <w:rsid w:val="00B03D8F"/>
    <w:rsid w:val="00B04201"/>
    <w:rsid w:val="00B127E9"/>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0FCB"/>
    <w:rsid w:val="00BE398A"/>
    <w:rsid w:val="00BF0A78"/>
    <w:rsid w:val="00BF21AD"/>
    <w:rsid w:val="00BF2297"/>
    <w:rsid w:val="00BF4139"/>
    <w:rsid w:val="00BF4472"/>
    <w:rsid w:val="00BF6007"/>
    <w:rsid w:val="00C1416D"/>
    <w:rsid w:val="00C21EFA"/>
    <w:rsid w:val="00C361A9"/>
    <w:rsid w:val="00C36799"/>
    <w:rsid w:val="00C37B1B"/>
    <w:rsid w:val="00C4224C"/>
    <w:rsid w:val="00C46026"/>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D7521"/>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3F1A"/>
    <w:rsid w:val="00FA43FF"/>
    <w:rsid w:val="00FA57C1"/>
    <w:rsid w:val="00FC00CE"/>
    <w:rsid w:val="00FD03A7"/>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FAD40"/>
  <w15:chartTrackingRefBased/>
  <w15:docId w15:val="{779F42E2-01F8-4CCB-8274-FF254A2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1B7F"/>
    <w:pPr>
      <w:keepNext/>
      <w:spacing w:line="276" w:lineRule="auto"/>
      <w:jc w:val="both"/>
      <w:outlineLvl w:val="3"/>
    </w:pPr>
    <w:rPr>
      <w:rFonts w:ascii="Palatino Linotype" w:hAnsi="Palatino Linotype"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BAB III,Body Text Char1,Char Char2,Char Char21,Normal1,Normal2,normal,Normal3,Colorful List - Accent 11,List Paragraph1,Normal11,Normal4,Normal5,Normal6,Normal7,Normal8,Normal9,Normal10,Normal12,Normal13,Normal14,Normal15"/>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BAB III Char,Body Text Char1 Char,Char Char2 Char,Char Char21 Char,Normal1 Char,Normal2 Char,normal Char,Normal3 Char,Colorful List - Accent 11 Char,List Paragraph1 Char,Normal11 Char,Normal4 Char,Normal5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odyTextIndent">
    <w:name w:val="Body Text Indent"/>
    <w:basedOn w:val="Normal"/>
    <w:link w:val="BodyTextIndentChar"/>
    <w:uiPriority w:val="99"/>
    <w:unhideWhenUsed/>
    <w:rsid w:val="00C46026"/>
    <w:pPr>
      <w:spacing w:after="120"/>
      <w:ind w:left="283"/>
    </w:pPr>
  </w:style>
  <w:style w:type="character" w:customStyle="1" w:styleId="BodyTextIndentChar">
    <w:name w:val="Body Text Indent Char"/>
    <w:basedOn w:val="DefaultParagraphFont"/>
    <w:link w:val="BodyTextIndent"/>
    <w:uiPriority w:val="99"/>
    <w:rsid w:val="00C46026"/>
  </w:style>
  <w:style w:type="paragraph" w:styleId="BodyText2">
    <w:name w:val="Body Text 2"/>
    <w:basedOn w:val="Normal"/>
    <w:link w:val="BodyText2Char"/>
    <w:uiPriority w:val="99"/>
    <w:semiHidden/>
    <w:unhideWhenUsed/>
    <w:rsid w:val="00B127E9"/>
    <w:pPr>
      <w:spacing w:after="120" w:line="480" w:lineRule="auto"/>
    </w:pPr>
  </w:style>
  <w:style w:type="character" w:customStyle="1" w:styleId="BodyText2Char">
    <w:name w:val="Body Text 2 Char"/>
    <w:basedOn w:val="DefaultParagraphFont"/>
    <w:link w:val="BodyText2"/>
    <w:uiPriority w:val="99"/>
    <w:semiHidden/>
    <w:rsid w:val="00B127E9"/>
  </w:style>
  <w:style w:type="paragraph" w:styleId="BodyTextIndent2">
    <w:name w:val="Body Text Indent 2"/>
    <w:basedOn w:val="Normal"/>
    <w:link w:val="BodyTextIndent2Char"/>
    <w:uiPriority w:val="99"/>
    <w:unhideWhenUsed/>
    <w:rsid w:val="00741B7F"/>
    <w:pPr>
      <w:spacing w:line="276" w:lineRule="auto"/>
      <w:ind w:firstLine="720"/>
      <w:jc w:val="both"/>
    </w:pPr>
    <w:rPr>
      <w:rFonts w:ascii="Palatino Linotype" w:hAnsi="Palatino Linotype" w:cs="Times New Roman"/>
      <w:sz w:val="20"/>
      <w:szCs w:val="20"/>
    </w:rPr>
  </w:style>
  <w:style w:type="character" w:customStyle="1" w:styleId="BodyTextIndent2Char">
    <w:name w:val="Body Text Indent 2 Char"/>
    <w:basedOn w:val="DefaultParagraphFont"/>
    <w:link w:val="BodyTextIndent2"/>
    <w:uiPriority w:val="99"/>
    <w:rsid w:val="00741B7F"/>
    <w:rPr>
      <w:rFonts w:ascii="Palatino Linotype" w:hAnsi="Palatino Linotype" w:cs="Times New Roman"/>
      <w:sz w:val="20"/>
      <w:szCs w:val="20"/>
    </w:rPr>
  </w:style>
  <w:style w:type="character" w:customStyle="1" w:styleId="Heading4Char">
    <w:name w:val="Heading 4 Char"/>
    <w:basedOn w:val="DefaultParagraphFont"/>
    <w:link w:val="Heading4"/>
    <w:uiPriority w:val="9"/>
    <w:rsid w:val="00741B7F"/>
    <w:rPr>
      <w:rFonts w:ascii="Palatino Linotype" w:hAnsi="Palatino Linotyp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hoirunnisa.fai22@mail.umy.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hoirunnisa.fai22@mail.umy.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nc-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damfajarshodiq@fai.umy.ac.i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TotalTime>
  <Pages>13</Pages>
  <Words>19477</Words>
  <Characters>111020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maezhuhriya khoirunnisa</cp:lastModifiedBy>
  <cp:revision>2</cp:revision>
  <cp:lastPrinted>2022-03-12T14:54:00Z</cp:lastPrinted>
  <dcterms:created xsi:type="dcterms:W3CDTF">2025-01-10T07:58:00Z</dcterms:created>
  <dcterms:modified xsi:type="dcterms:W3CDTF">2025-01-10T07:58:00Z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5a5a27b6-98cd-3531-893e-954d3867cf60</vt:lpwstr>
  </property>
  <property fmtid="{D5CDD505-2E9C-101B-9397-08002B2CF9AE}" pid="24" name="Mendeley Citation Style_1">
    <vt:lpwstr>http://www.zotero.org/styles/apa-6th-edition</vt:lpwstr>
  </property>
</Properties>
</file>