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D28C9" w14:textId="54ECD88D" w:rsidR="00834514" w:rsidRPr="00834514" w:rsidRDefault="00834514" w:rsidP="00834514">
      <w:pPr>
        <w:pStyle w:val="Alishlah12title"/>
      </w:pPr>
      <w:r w:rsidRPr="00834514">
        <w:t>Transformational Teacher (Guru Penggerak) Program to Improve Students' Religious Practices</w:t>
      </w:r>
    </w:p>
    <w:p w14:paraId="64B3E7F9" w14:textId="6B040873" w:rsidR="00BE398A" w:rsidRPr="007E6AA6" w:rsidRDefault="00834514" w:rsidP="002C57D4">
      <w:pPr>
        <w:pStyle w:val="Alishlah13authornames"/>
        <w:rPr>
          <w:vertAlign w:val="superscript"/>
          <w:lang w:val="en-GB"/>
        </w:rPr>
      </w:pPr>
      <w:r>
        <w:rPr>
          <w:lang w:val="en-GB"/>
        </w:rPr>
        <w:t>Muhamad Mansur</w:t>
      </w:r>
      <w:r w:rsidR="007E6AA6">
        <w:rPr>
          <w:vertAlign w:val="superscript"/>
          <w:lang w:val="en-GB"/>
        </w:rPr>
        <w:t>1</w:t>
      </w:r>
      <w:r w:rsidR="007E6AA6" w:rsidRPr="007E6AA6">
        <w:rPr>
          <w:lang w:val="en-GB"/>
        </w:rPr>
        <w:t xml:space="preserve">, </w:t>
      </w:r>
      <w:r>
        <w:rPr>
          <w:lang w:val="en-GB"/>
        </w:rPr>
        <w:t>Fahrurrozi</w:t>
      </w:r>
      <w:r w:rsidR="007E6AA6">
        <w:rPr>
          <w:vertAlign w:val="superscript"/>
          <w:lang w:val="en-GB"/>
        </w:rPr>
        <w:t>2</w:t>
      </w:r>
      <w:r w:rsidRPr="007E6AA6">
        <w:rPr>
          <w:lang w:val="en-GB"/>
        </w:rPr>
        <w:t xml:space="preserve">, </w:t>
      </w:r>
      <w:r>
        <w:rPr>
          <w:lang w:val="en-GB"/>
        </w:rPr>
        <w:t>Mohammad Iwan Fitriani</w:t>
      </w:r>
      <w:r>
        <w:rPr>
          <w:vertAlign w:val="superscript"/>
          <w:lang w:val="en-GB"/>
        </w:rPr>
        <w:t>3</w:t>
      </w:r>
      <w:r w:rsidRPr="007E6AA6">
        <w:rPr>
          <w:lang w:val="en-GB"/>
        </w:rPr>
        <w:t xml:space="preserve">, </w:t>
      </w:r>
      <w:r>
        <w:rPr>
          <w:lang w:val="en-GB"/>
        </w:rPr>
        <w:t>Yusuf</w:t>
      </w:r>
      <w:r>
        <w:rPr>
          <w:vertAlign w:val="superscript"/>
          <w:lang w:val="en-GB"/>
        </w:rPr>
        <w:t>4</w:t>
      </w:r>
    </w:p>
    <w:p w14:paraId="64D71CA3" w14:textId="7BBD595D"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834514">
        <w:rPr>
          <w:color w:val="auto"/>
          <w:lang w:val="en-GB"/>
        </w:rPr>
        <w:t xml:space="preserve">Universitas Islam Negeri </w:t>
      </w:r>
      <w:proofErr w:type="spellStart"/>
      <w:r w:rsidR="00834514">
        <w:rPr>
          <w:color w:val="auto"/>
          <w:lang w:val="en-GB"/>
        </w:rPr>
        <w:t>Mataram</w:t>
      </w:r>
      <w:proofErr w:type="spellEnd"/>
      <w:r w:rsidR="00834514">
        <w:rPr>
          <w:color w:val="auto"/>
          <w:lang w:val="en-GB"/>
        </w:rPr>
        <w:t>, Indonesia</w:t>
      </w:r>
      <w:r w:rsidR="002B31FD" w:rsidRPr="002B31FD">
        <w:rPr>
          <w:color w:val="auto"/>
          <w:lang w:val="en-GB"/>
        </w:rPr>
        <w:t xml:space="preserve">; </w:t>
      </w:r>
      <w:r w:rsidR="00834514">
        <w:rPr>
          <w:color w:val="auto"/>
          <w:lang w:val="en-GB"/>
        </w:rPr>
        <w:t>muhamadmansur18@gmail</w:t>
      </w:r>
      <w:r w:rsidR="002B31FD" w:rsidRPr="002B31FD">
        <w:rPr>
          <w:color w:val="auto"/>
          <w:lang w:val="en-GB"/>
        </w:rPr>
        <w:t>.com</w:t>
      </w:r>
    </w:p>
    <w:p w14:paraId="2B72899C" w14:textId="6CBC500B"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34514">
        <w:rPr>
          <w:color w:val="auto"/>
          <w:lang w:val="en-GB"/>
        </w:rPr>
        <w:t xml:space="preserve">Universitas Islam Negeri </w:t>
      </w:r>
      <w:proofErr w:type="spellStart"/>
      <w:r w:rsidR="00834514">
        <w:rPr>
          <w:color w:val="auto"/>
          <w:lang w:val="en-GB"/>
        </w:rPr>
        <w:t>Mataram</w:t>
      </w:r>
      <w:proofErr w:type="spellEnd"/>
      <w:r w:rsidR="00834514">
        <w:rPr>
          <w:color w:val="auto"/>
          <w:lang w:val="en-GB"/>
        </w:rPr>
        <w:t>, Indonesia</w:t>
      </w:r>
      <w:r w:rsidR="002B31FD" w:rsidRPr="002B31FD">
        <w:rPr>
          <w:color w:val="auto"/>
          <w:lang w:val="en-GB"/>
        </w:rPr>
        <w:t xml:space="preserve">; </w:t>
      </w:r>
      <w:r w:rsidR="00300DB2">
        <w:rPr>
          <w:color w:val="auto"/>
          <w:lang w:val="en-GB"/>
        </w:rPr>
        <w:t>fahrurrozi</w:t>
      </w:r>
      <w:r w:rsidR="003E5528">
        <w:rPr>
          <w:color w:val="auto"/>
          <w:lang w:val="en-GB"/>
        </w:rPr>
        <w:t>@gmail.com</w:t>
      </w:r>
    </w:p>
    <w:p w14:paraId="6B6D478F" w14:textId="1601822C" w:rsidR="00834514" w:rsidRDefault="00834514" w:rsidP="00834514">
      <w:pPr>
        <w:pStyle w:val="Alishlah16affiliation"/>
        <w:rPr>
          <w:color w:val="auto"/>
          <w:lang w:val="en-GB"/>
        </w:rPr>
      </w:pPr>
      <w:r>
        <w:rPr>
          <w:color w:val="auto"/>
          <w:vertAlign w:val="superscript"/>
          <w:lang w:val="en-GB"/>
        </w:rPr>
        <w:t>3</w:t>
      </w:r>
      <w:r w:rsidRPr="00A75CB1">
        <w:rPr>
          <w:color w:val="auto"/>
          <w:lang w:val="en-GB"/>
        </w:rPr>
        <w:tab/>
      </w:r>
      <w:r>
        <w:rPr>
          <w:color w:val="auto"/>
          <w:lang w:val="en-GB"/>
        </w:rPr>
        <w:t xml:space="preserve">Universitas Islam Negeri </w:t>
      </w:r>
      <w:proofErr w:type="spellStart"/>
      <w:r>
        <w:rPr>
          <w:color w:val="auto"/>
          <w:lang w:val="en-GB"/>
        </w:rPr>
        <w:t>Mataram</w:t>
      </w:r>
      <w:proofErr w:type="spellEnd"/>
      <w:r>
        <w:rPr>
          <w:color w:val="auto"/>
          <w:lang w:val="en-GB"/>
        </w:rPr>
        <w:t>, Indonesia</w:t>
      </w:r>
      <w:r w:rsidRPr="002B31FD">
        <w:rPr>
          <w:color w:val="auto"/>
          <w:lang w:val="en-GB"/>
        </w:rPr>
        <w:t xml:space="preserve">; </w:t>
      </w:r>
      <w:r w:rsidR="003E5528">
        <w:rPr>
          <w:color w:val="auto"/>
          <w:lang w:val="en-GB"/>
        </w:rPr>
        <w:t>moh.iwanfitriani@gmail</w:t>
      </w:r>
      <w:r w:rsidRPr="002B31FD">
        <w:rPr>
          <w:color w:val="auto"/>
          <w:lang w:val="en-GB"/>
        </w:rPr>
        <w:t>.com</w:t>
      </w:r>
    </w:p>
    <w:p w14:paraId="5A5F1B7B" w14:textId="0CFEF72F" w:rsidR="00834514" w:rsidRDefault="00834514" w:rsidP="00834514">
      <w:pPr>
        <w:pStyle w:val="Alishlah16affiliation"/>
        <w:rPr>
          <w:color w:val="auto"/>
          <w:lang w:val="en-GB"/>
        </w:rPr>
      </w:pPr>
      <w:r>
        <w:rPr>
          <w:color w:val="auto"/>
          <w:vertAlign w:val="superscript"/>
          <w:lang w:val="en-GB"/>
        </w:rPr>
        <w:t>4</w:t>
      </w:r>
      <w:r w:rsidRPr="00A75CB1">
        <w:rPr>
          <w:color w:val="auto"/>
          <w:lang w:val="en-GB"/>
        </w:rPr>
        <w:tab/>
      </w:r>
      <w:r>
        <w:rPr>
          <w:color w:val="auto"/>
          <w:lang w:val="en-GB"/>
        </w:rPr>
        <w:t xml:space="preserve">Universitas Islam Negeri </w:t>
      </w:r>
      <w:proofErr w:type="spellStart"/>
      <w:r>
        <w:rPr>
          <w:color w:val="auto"/>
          <w:lang w:val="en-GB"/>
        </w:rPr>
        <w:t>Mataram</w:t>
      </w:r>
      <w:proofErr w:type="spellEnd"/>
      <w:r>
        <w:rPr>
          <w:color w:val="auto"/>
          <w:lang w:val="en-GB"/>
        </w:rPr>
        <w:t>, Indonesia</w:t>
      </w:r>
      <w:r w:rsidRPr="002B31FD">
        <w:rPr>
          <w:color w:val="auto"/>
          <w:lang w:val="en-GB"/>
        </w:rPr>
        <w:t xml:space="preserve">; </w:t>
      </w:r>
      <w:r w:rsidR="003E5528">
        <w:rPr>
          <w:color w:val="auto"/>
          <w:lang w:val="en-GB"/>
        </w:rPr>
        <w:t>yusuf12@g</w:t>
      </w:r>
      <w:r w:rsidRPr="002B31FD">
        <w:rPr>
          <w:color w:val="auto"/>
          <w:lang w:val="en-GB"/>
        </w:rPr>
        <w:t>mail.com</w:t>
      </w:r>
    </w:p>
    <w:p w14:paraId="6415EAD4"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048F6BCF" w14:textId="77777777" w:rsidTr="0048254D">
        <w:trPr>
          <w:jc w:val="center"/>
        </w:trPr>
        <w:tc>
          <w:tcPr>
            <w:tcW w:w="2787" w:type="dxa"/>
            <w:tcBorders>
              <w:top w:val="double" w:sz="4" w:space="0" w:color="auto"/>
              <w:left w:val="nil"/>
              <w:bottom w:val="single" w:sz="4" w:space="0" w:color="auto"/>
              <w:right w:val="nil"/>
            </w:tcBorders>
          </w:tcPr>
          <w:p w14:paraId="37DEB9F5"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690B7E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8EC1932"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C544305" w14:textId="77777777" w:rsidTr="0048254D">
        <w:trPr>
          <w:trHeight w:val="1268"/>
          <w:jc w:val="center"/>
        </w:trPr>
        <w:tc>
          <w:tcPr>
            <w:tcW w:w="2787" w:type="dxa"/>
            <w:tcBorders>
              <w:top w:val="single" w:sz="4" w:space="0" w:color="auto"/>
              <w:left w:val="nil"/>
              <w:bottom w:val="single" w:sz="4" w:space="0" w:color="auto"/>
              <w:right w:val="nil"/>
            </w:tcBorders>
          </w:tcPr>
          <w:p w14:paraId="0D27931C"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2434169" w14:textId="793B739B" w:rsidR="002B31FD" w:rsidRDefault="002A2E6A" w:rsidP="00290481">
            <w:pPr>
              <w:pStyle w:val="Alishlah18keywords"/>
            </w:pPr>
            <w:r w:rsidRPr="002A2E6A">
              <w:t>Transformational Teacher Program</w:t>
            </w:r>
            <w:r w:rsidR="002B31FD" w:rsidRPr="002B31FD">
              <w:t xml:space="preserve">; </w:t>
            </w:r>
          </w:p>
          <w:p w14:paraId="29312161" w14:textId="419BC22D" w:rsidR="002B31FD" w:rsidRDefault="002A2E6A" w:rsidP="00290481">
            <w:pPr>
              <w:pStyle w:val="Alishlah18keywords"/>
            </w:pPr>
            <w:r w:rsidRPr="002A2E6A">
              <w:t>Student Religious Practice</w:t>
            </w:r>
            <w:r w:rsidR="002B31FD" w:rsidRPr="002B31FD">
              <w:t xml:space="preserve">; </w:t>
            </w:r>
          </w:p>
          <w:p w14:paraId="2231FFA2" w14:textId="77777777" w:rsidR="002A2E6A" w:rsidRDefault="002A2E6A" w:rsidP="00290481">
            <w:pPr>
              <w:pStyle w:val="Alishlah18keywords"/>
            </w:pPr>
            <w:r w:rsidRPr="002A2E6A">
              <w:t>Spiritual Development</w:t>
            </w:r>
            <w:r>
              <w:t>;</w:t>
            </w:r>
          </w:p>
          <w:p w14:paraId="5CDA3D9C" w14:textId="040BD24B" w:rsidR="002B31FD" w:rsidRDefault="002A2E6A" w:rsidP="00290481">
            <w:pPr>
              <w:pStyle w:val="Alishlah18keywords"/>
            </w:pPr>
            <w:r w:rsidRPr="002A2E6A">
              <w:t>Program Evaluation</w:t>
            </w:r>
            <w:r w:rsidR="002B31FD" w:rsidRPr="002B31FD">
              <w:t xml:space="preserve"> </w:t>
            </w:r>
          </w:p>
          <w:p w14:paraId="3B7A6C6E" w14:textId="77777777" w:rsidR="002B31FD" w:rsidRDefault="002B31FD" w:rsidP="00290481">
            <w:pPr>
              <w:pStyle w:val="Alishlah18keywords"/>
            </w:pPr>
          </w:p>
          <w:p w14:paraId="74DC9EB7" w14:textId="77777777" w:rsidR="0048254D" w:rsidRPr="0048254D" w:rsidRDefault="0048254D" w:rsidP="002A2E6A">
            <w:pPr>
              <w:pStyle w:val="Alishlah18keywords"/>
            </w:pPr>
          </w:p>
        </w:tc>
        <w:tc>
          <w:tcPr>
            <w:tcW w:w="282" w:type="dxa"/>
            <w:vMerge w:val="restart"/>
            <w:tcBorders>
              <w:top w:val="nil"/>
              <w:left w:val="nil"/>
              <w:bottom w:val="nil"/>
              <w:right w:val="nil"/>
            </w:tcBorders>
          </w:tcPr>
          <w:p w14:paraId="4EC1CD4A"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7BED5EA1" w14:textId="0AAB267A" w:rsidR="0048254D" w:rsidRPr="00E45249" w:rsidRDefault="002A2E6A" w:rsidP="00E45249">
            <w:pPr>
              <w:pStyle w:val="Alishlah17abstract"/>
            </w:pPr>
            <w:r w:rsidRPr="002A2E6A">
              <w:t xml:space="preserve">This study aims to examine the influence of the Transformational Teacher (Guru Penggerak) Program on the religious practices of junior high school students in Central Lombok Regency. The method used is a quantitative method with a survey approach. The data was taken using a questionnaire technique that was distributed to 426 junior high school students in Central Lombok. Data analysis was carried out using Smart PLS factor analysis version 4.0 to see the influence of independent variables on dependent variables. The results of the study show that the </w:t>
            </w:r>
            <w:r w:rsidR="008576A8">
              <w:t>Transformational</w:t>
            </w:r>
            <w:r w:rsidRPr="002A2E6A">
              <w:t xml:space="preserve"> Teacher Program on students' religious practices with a probability of p &lt; 0.05 and a t-statistical value exceeding 1.96. The results obtained show that the contribution of the Transformational Teacher (Guru Penggerak) Program is 10.7%.  The conclusion of this study confirms that</w:t>
            </w:r>
            <w:r>
              <w:t xml:space="preserve"> </w:t>
            </w:r>
            <w:r w:rsidRPr="002A2E6A">
              <w:t>the Transformational Teacher (Guru Penggerak) Program has a positive effect on students' religious practices. Although it has a small but significant impact on students' religious practices, which contributes to strengthening social solidarity and shaping students' religious character, it is in line with religious teachings on unity and togetherness among the faithful</w:t>
            </w:r>
            <w:r w:rsidR="002B31FD" w:rsidRPr="002B31FD">
              <w:t>.</w:t>
            </w:r>
          </w:p>
        </w:tc>
      </w:tr>
      <w:tr w:rsidR="0048254D" w:rsidRPr="0048254D" w14:paraId="3856DFE0"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79BEC76"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3CB35F3" w14:textId="77777777" w:rsidR="0048254D" w:rsidRPr="006A6719" w:rsidRDefault="0048254D" w:rsidP="00E45249">
            <w:pPr>
              <w:pStyle w:val="Alishlah14history"/>
            </w:pPr>
            <w:r w:rsidRPr="006A6719">
              <w:t xml:space="preserve">Received </w:t>
            </w:r>
            <w:r w:rsidR="00FA43FF" w:rsidRPr="00FA43FF">
              <w:t>2021-08-14</w:t>
            </w:r>
          </w:p>
          <w:p w14:paraId="45E15EE7"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7202A386"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A484330"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1467DD9"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6120C89" w14:textId="77777777" w:rsidTr="0048254D">
        <w:trPr>
          <w:trHeight w:val="70"/>
          <w:jc w:val="center"/>
        </w:trPr>
        <w:tc>
          <w:tcPr>
            <w:tcW w:w="2787" w:type="dxa"/>
            <w:vMerge/>
            <w:tcBorders>
              <w:top w:val="single" w:sz="4" w:space="0" w:color="auto"/>
              <w:left w:val="nil"/>
              <w:bottom w:val="single" w:sz="4" w:space="0" w:color="auto"/>
              <w:right w:val="nil"/>
            </w:tcBorders>
          </w:tcPr>
          <w:p w14:paraId="77D75988"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B92A959"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477876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5891A27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ECF95E1" wp14:editId="4CB5A05F">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DA63D1F" w14:textId="77777777" w:rsidTr="0048254D">
        <w:trPr>
          <w:jc w:val="center"/>
        </w:trPr>
        <w:tc>
          <w:tcPr>
            <w:tcW w:w="8845" w:type="dxa"/>
            <w:gridSpan w:val="3"/>
            <w:tcBorders>
              <w:top w:val="nil"/>
              <w:left w:val="nil"/>
              <w:bottom w:val="double" w:sz="4" w:space="0" w:color="auto"/>
              <w:right w:val="nil"/>
            </w:tcBorders>
          </w:tcPr>
          <w:p w14:paraId="5D77E026"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5ADEFFB9" w14:textId="77777777" w:rsidR="00457015" w:rsidRDefault="002B31FD" w:rsidP="00E45249">
            <w:pPr>
              <w:pStyle w:val="Alishlah2authorcorrespondence"/>
            </w:pPr>
            <w:r w:rsidRPr="002B31FD">
              <w:t>First name Last name</w:t>
            </w:r>
            <w:r w:rsidR="00457015" w:rsidRPr="00457015">
              <w:t xml:space="preserve"> </w:t>
            </w:r>
          </w:p>
          <w:p w14:paraId="380547F4" w14:textId="77777777" w:rsidR="0048254D" w:rsidRPr="0048254D" w:rsidRDefault="002B31FD" w:rsidP="00E45249">
            <w:pPr>
              <w:pStyle w:val="Alishlah2authorcorrespondence"/>
            </w:pPr>
            <w:r w:rsidRPr="002B31FD">
              <w:rPr>
                <w:color w:val="auto"/>
                <w:lang w:val="en-GB"/>
              </w:rPr>
              <w:t>Affiliation 1; e-mail@e-mail.com</w:t>
            </w:r>
          </w:p>
        </w:tc>
      </w:tr>
    </w:tbl>
    <w:p w14:paraId="2D83B42A" w14:textId="77777777" w:rsidR="008E64A2" w:rsidRPr="00A75CB1" w:rsidRDefault="0048254D" w:rsidP="00A10E86">
      <w:pPr>
        <w:pStyle w:val="Alishlah21heading1"/>
        <w:rPr>
          <w:lang w:val="en-GB"/>
        </w:rPr>
      </w:pPr>
      <w:r w:rsidRPr="00A75CB1">
        <w:rPr>
          <w:lang w:val="en-GB"/>
        </w:rPr>
        <w:t>INTRODUCTION</w:t>
      </w:r>
    </w:p>
    <w:p w14:paraId="30A38A4C" w14:textId="0DA277FC" w:rsidR="005B5AEC" w:rsidRDefault="002A2E6A" w:rsidP="005B5AEC">
      <w:pPr>
        <w:pStyle w:val="Alishlah31text"/>
        <w:rPr>
          <w:rFonts w:eastAsia="SimSun"/>
          <w:spacing w:val="-2"/>
          <w:lang w:val="en-ID" w:eastAsia="zh-CN"/>
        </w:rPr>
      </w:pPr>
      <w:r w:rsidRPr="002A2E6A">
        <w:rPr>
          <w:spacing w:val="-2"/>
        </w:rPr>
        <w:t>The Transformational Teacher (Guru Penggerak) Program aims to create a holistic and comprehensive learning environment for students, not only in terms of academic ability but also in strengthening religious character and practice (</w:t>
      </w:r>
      <w:proofErr w:type="spellStart"/>
      <w:r w:rsidRPr="002A2E6A">
        <w:rPr>
          <w:spacing w:val="-2"/>
        </w:rPr>
        <w:t>Rahmadi</w:t>
      </w:r>
      <w:proofErr w:type="spellEnd"/>
      <w:r w:rsidRPr="002A2E6A">
        <w:rPr>
          <w:spacing w:val="-2"/>
        </w:rPr>
        <w:t xml:space="preserve"> &amp; </w:t>
      </w:r>
      <w:proofErr w:type="spellStart"/>
      <w:r w:rsidRPr="002A2E6A">
        <w:rPr>
          <w:spacing w:val="-2"/>
        </w:rPr>
        <w:t>Pancarania</w:t>
      </w:r>
      <w:proofErr w:type="spellEnd"/>
      <w:r w:rsidRPr="002A2E6A">
        <w:rPr>
          <w:spacing w:val="-2"/>
        </w:rPr>
        <w:t>, 2020). Guru Penggerak designs programs that provide active learning experiences for students, such as routine religious activities, discussions of moral values, and daily worship habits at school (Al-</w:t>
      </w:r>
      <w:proofErr w:type="spellStart"/>
      <w:r w:rsidRPr="002A2E6A">
        <w:rPr>
          <w:spacing w:val="-2"/>
        </w:rPr>
        <w:t>Disis</w:t>
      </w:r>
      <w:proofErr w:type="spellEnd"/>
      <w:r w:rsidRPr="002A2E6A">
        <w:rPr>
          <w:spacing w:val="-2"/>
        </w:rPr>
        <w:t xml:space="preserve"> &amp; </w:t>
      </w:r>
      <w:proofErr w:type="spellStart"/>
      <w:r w:rsidRPr="002A2E6A">
        <w:rPr>
          <w:spacing w:val="-2"/>
        </w:rPr>
        <w:t>Rawadieh</w:t>
      </w:r>
      <w:proofErr w:type="spellEnd"/>
      <w:r w:rsidRPr="002A2E6A">
        <w:rPr>
          <w:spacing w:val="-2"/>
        </w:rPr>
        <w:t xml:space="preserve">, 2020). Through </w:t>
      </w:r>
      <w:r w:rsidRPr="002A2E6A">
        <w:rPr>
          <w:spacing w:val="-2"/>
        </w:rPr>
        <w:lastRenderedPageBreak/>
        <w:t>this approach, students not only acquire religious knowledge theoretically but also engage directly in religious practices that strengthen their faith and character (</w:t>
      </w:r>
      <w:proofErr w:type="spellStart"/>
      <w:r w:rsidRPr="002A2E6A">
        <w:rPr>
          <w:spacing w:val="-2"/>
        </w:rPr>
        <w:t>Nurbaiti</w:t>
      </w:r>
      <w:proofErr w:type="spellEnd"/>
      <w:r w:rsidRPr="002A2E6A">
        <w:rPr>
          <w:spacing w:val="-2"/>
        </w:rPr>
        <w:t xml:space="preserve"> et al., 2020)</w:t>
      </w:r>
      <w:r w:rsidR="002B31FD" w:rsidRPr="00FF03FB">
        <w:rPr>
          <w:rFonts w:eastAsia="SimSun"/>
          <w:spacing w:val="-2"/>
          <w:lang w:val="en-ID" w:eastAsia="zh-CN"/>
        </w:rPr>
        <w:t>.</w:t>
      </w:r>
    </w:p>
    <w:p w14:paraId="2CE1B2C6" w14:textId="248D83BD" w:rsidR="002A2E6A" w:rsidRDefault="002A2E6A" w:rsidP="005B5AEC">
      <w:pPr>
        <w:pStyle w:val="Alishlah31text"/>
        <w:rPr>
          <w:rFonts w:eastAsia="SimSun"/>
          <w:spacing w:val="-2"/>
          <w:lang w:val="en-ID" w:eastAsia="zh-CN"/>
        </w:rPr>
      </w:pPr>
      <w:r w:rsidRPr="002A2E6A">
        <w:rPr>
          <w:rFonts w:eastAsia="SimSun"/>
          <w:spacing w:val="-2"/>
          <w:lang w:val="en-ID" w:eastAsia="zh-CN"/>
        </w:rPr>
        <w:t xml:space="preserve">Through programs that </w:t>
      </w:r>
      <w:proofErr w:type="spellStart"/>
      <w:r w:rsidRPr="002A2E6A">
        <w:rPr>
          <w:rFonts w:eastAsia="SimSun"/>
          <w:spacing w:val="-2"/>
          <w:lang w:val="en-ID" w:eastAsia="zh-CN"/>
        </w:rPr>
        <w:t>favor</w:t>
      </w:r>
      <w:proofErr w:type="spellEnd"/>
      <w:r w:rsidRPr="002A2E6A">
        <w:rPr>
          <w:rFonts w:eastAsia="SimSun"/>
          <w:spacing w:val="-2"/>
          <w:lang w:val="en-ID" w:eastAsia="zh-CN"/>
        </w:rPr>
        <w:t xml:space="preserve"> students, </w:t>
      </w:r>
      <w:r w:rsidR="008576A8">
        <w:rPr>
          <w:rFonts w:eastAsia="SimSun"/>
          <w:spacing w:val="-2"/>
          <w:lang w:val="en-ID" w:eastAsia="zh-CN"/>
        </w:rPr>
        <w:t>Transformational</w:t>
      </w:r>
      <w:r w:rsidRPr="002A2E6A">
        <w:rPr>
          <w:rFonts w:eastAsia="SimSun"/>
          <w:spacing w:val="-2"/>
          <w:lang w:val="en-ID" w:eastAsia="zh-CN"/>
        </w:rPr>
        <w:t xml:space="preserve"> teachers can carry out their roles as: (1) Becoming a learning leader, (2) Becoming a coach for other teachers, (3) Encouraging collaboration between teachers, (4) Realizing student </w:t>
      </w:r>
      <w:r w:rsidRPr="002A2E6A">
        <w:rPr>
          <w:spacing w:val="-2"/>
        </w:rPr>
        <w:t>leadership</w:t>
      </w:r>
      <w:r w:rsidRPr="002A2E6A">
        <w:rPr>
          <w:rFonts w:eastAsia="SimSun"/>
          <w:spacing w:val="-2"/>
          <w:lang w:val="en-ID" w:eastAsia="zh-CN"/>
        </w:rPr>
        <w:t xml:space="preserve">, (5) Mobilizing the community of practitioners (Darma, 2022). The presence of this program from Guru Penggerak has a positive impact by accustoming students to participate in various religious activities, such as congregational worship, morning spiritual activities, reading prayers together, and short student speeches that are carried out regularly (Arlina et al., 2024). This program creates a school atmosphere that supports the formation of religious attitudes and positive </w:t>
      </w:r>
      <w:proofErr w:type="spellStart"/>
      <w:r w:rsidRPr="002A2E6A">
        <w:rPr>
          <w:rFonts w:eastAsia="SimSun"/>
          <w:spacing w:val="-2"/>
          <w:lang w:val="en-ID" w:eastAsia="zh-CN"/>
        </w:rPr>
        <w:t>behaviors</w:t>
      </w:r>
      <w:proofErr w:type="spellEnd"/>
      <w:r w:rsidRPr="002A2E6A">
        <w:rPr>
          <w:rFonts w:eastAsia="SimSun"/>
          <w:spacing w:val="-2"/>
          <w:lang w:val="en-ID" w:eastAsia="zh-CN"/>
        </w:rPr>
        <w:t xml:space="preserve"> in students (Zulkarnain &amp; Haq, 2020). With a systematic program, students can more easily understand, appreciate, and practice religious values in their daily lives, both in the school environment and at home (</w:t>
      </w:r>
      <w:proofErr w:type="spellStart"/>
      <w:r w:rsidRPr="002A2E6A">
        <w:rPr>
          <w:rFonts w:eastAsia="SimSun"/>
          <w:spacing w:val="-2"/>
          <w:lang w:val="en-ID" w:eastAsia="zh-CN"/>
        </w:rPr>
        <w:t>Alfarikh</w:t>
      </w:r>
      <w:proofErr w:type="spellEnd"/>
      <w:r w:rsidRPr="002A2E6A">
        <w:rPr>
          <w:rFonts w:eastAsia="SimSun"/>
          <w:spacing w:val="-2"/>
          <w:lang w:val="en-ID" w:eastAsia="zh-CN"/>
        </w:rPr>
        <w:t xml:space="preserve"> et al., 2021)</w:t>
      </w:r>
      <w:r>
        <w:rPr>
          <w:rFonts w:eastAsia="SimSun"/>
          <w:spacing w:val="-2"/>
          <w:lang w:val="en-ID" w:eastAsia="zh-CN"/>
        </w:rPr>
        <w:t>.</w:t>
      </w:r>
    </w:p>
    <w:p w14:paraId="31FC69A0" w14:textId="5D10873F" w:rsidR="002A2E6A" w:rsidRDefault="002A2E6A" w:rsidP="005B5AEC">
      <w:pPr>
        <w:pStyle w:val="Alishlah31text"/>
        <w:rPr>
          <w:rFonts w:eastAsia="SimSun"/>
          <w:spacing w:val="-2"/>
          <w:lang w:val="en-ID" w:eastAsia="zh-CN"/>
        </w:rPr>
      </w:pPr>
      <w:r w:rsidRPr="002A2E6A">
        <w:rPr>
          <w:rFonts w:eastAsia="SimSun"/>
          <w:spacing w:val="-2"/>
          <w:lang w:val="en-ID" w:eastAsia="zh-CN"/>
        </w:rPr>
        <w:t>However, several obstacles are faced in the implementation of this program, especially related to limited time and resources. Not all schools have full support in terms of facilities or accompanying personnel to carry out intensive religious activities. Some teachers also find it difficult to motivate students to participate in these activities consistently, especially for students who are not used to religious activities outside of school (</w:t>
      </w:r>
      <w:proofErr w:type="spellStart"/>
      <w:r w:rsidRPr="002A2E6A">
        <w:rPr>
          <w:rFonts w:eastAsia="SimSun"/>
          <w:spacing w:val="-2"/>
          <w:lang w:val="en-ID" w:eastAsia="zh-CN"/>
        </w:rPr>
        <w:t>Rahmadi</w:t>
      </w:r>
      <w:proofErr w:type="spellEnd"/>
      <w:r w:rsidRPr="002A2E6A">
        <w:rPr>
          <w:rFonts w:eastAsia="SimSun"/>
          <w:spacing w:val="-2"/>
          <w:lang w:val="en-ID" w:eastAsia="zh-CN"/>
        </w:rPr>
        <w:t xml:space="preserve"> &amp; </w:t>
      </w:r>
      <w:proofErr w:type="spellStart"/>
      <w:r w:rsidRPr="002A2E6A">
        <w:rPr>
          <w:rFonts w:eastAsia="SimSun"/>
          <w:spacing w:val="-2"/>
          <w:lang w:val="en-ID" w:eastAsia="zh-CN"/>
        </w:rPr>
        <w:t>Pancarania</w:t>
      </w:r>
      <w:proofErr w:type="spellEnd"/>
      <w:r w:rsidRPr="002A2E6A">
        <w:rPr>
          <w:rFonts w:eastAsia="SimSun"/>
          <w:spacing w:val="-2"/>
          <w:lang w:val="en-ID" w:eastAsia="zh-CN"/>
        </w:rPr>
        <w:t>, 2020)</w:t>
      </w:r>
      <w:r>
        <w:rPr>
          <w:rFonts w:eastAsia="SimSun"/>
          <w:spacing w:val="-2"/>
          <w:lang w:val="en-ID" w:eastAsia="zh-CN"/>
        </w:rPr>
        <w:t>.</w:t>
      </w:r>
    </w:p>
    <w:p w14:paraId="5E217100" w14:textId="63183818" w:rsidR="002A2E6A" w:rsidRDefault="002A2E6A" w:rsidP="005B5AEC">
      <w:pPr>
        <w:pStyle w:val="Alishlah31text"/>
        <w:rPr>
          <w:rFonts w:eastAsia="SimSun"/>
          <w:spacing w:val="-2"/>
          <w:lang w:val="en-ID" w:eastAsia="zh-CN"/>
        </w:rPr>
      </w:pPr>
      <w:r w:rsidRPr="002A2E6A">
        <w:rPr>
          <w:rFonts w:eastAsia="SimSun"/>
          <w:spacing w:val="-2"/>
          <w:lang w:val="en-ID" w:eastAsia="zh-CN"/>
        </w:rPr>
        <w:t>In addition, there are obstacles in terms of program continuity and supervision. Programs created by Guru Penggerak sometimes lack regular evaluation, making their effectiveness in the long term difficult to measure (Ye et al., 2024). As a result, although the program has had a good initial impact, there are still challenges to maintain its positive impact on students' religious practices in a sustainable manner (Kusuma et al., 2022)</w:t>
      </w:r>
      <w:r>
        <w:rPr>
          <w:rFonts w:eastAsia="SimSun"/>
          <w:spacing w:val="-2"/>
          <w:lang w:val="en-ID" w:eastAsia="zh-CN"/>
        </w:rPr>
        <w:t>.</w:t>
      </w:r>
    </w:p>
    <w:p w14:paraId="332CDB6B" w14:textId="7E47C47D" w:rsidR="002A2E6A" w:rsidRDefault="002A2E6A" w:rsidP="005B5AEC">
      <w:pPr>
        <w:pStyle w:val="Alishlah31text"/>
        <w:rPr>
          <w:rFonts w:eastAsia="SimSun"/>
          <w:spacing w:val="-2"/>
          <w:lang w:val="en-ID" w:eastAsia="zh-CN"/>
        </w:rPr>
      </w:pPr>
      <w:r w:rsidRPr="002A2E6A">
        <w:rPr>
          <w:rFonts w:eastAsia="SimSun"/>
          <w:spacing w:val="-2"/>
          <w:lang w:val="en-ID" w:eastAsia="zh-CN"/>
        </w:rPr>
        <w:t xml:space="preserve">As a solution, collaborative efforts are needed between </w:t>
      </w:r>
      <w:r w:rsidR="008576A8">
        <w:rPr>
          <w:rFonts w:eastAsia="SimSun"/>
          <w:spacing w:val="-2"/>
          <w:lang w:val="en-ID" w:eastAsia="zh-CN"/>
        </w:rPr>
        <w:t>Transformational</w:t>
      </w:r>
      <w:r w:rsidRPr="002A2E6A">
        <w:rPr>
          <w:rFonts w:eastAsia="SimSun"/>
          <w:spacing w:val="-2"/>
          <w:lang w:val="en-ID" w:eastAsia="zh-CN"/>
        </w:rPr>
        <w:t xml:space="preserve"> Teachers, the school, and parents to support the smooth running of this program (</w:t>
      </w:r>
      <w:proofErr w:type="spellStart"/>
      <w:r w:rsidRPr="002A2E6A">
        <w:rPr>
          <w:rFonts w:eastAsia="SimSun"/>
          <w:spacing w:val="-2"/>
          <w:lang w:val="en-ID" w:eastAsia="zh-CN"/>
        </w:rPr>
        <w:t>Apriono</w:t>
      </w:r>
      <w:proofErr w:type="spellEnd"/>
      <w:r w:rsidRPr="002A2E6A">
        <w:rPr>
          <w:rFonts w:eastAsia="SimSun"/>
          <w:spacing w:val="-2"/>
          <w:lang w:val="en-ID" w:eastAsia="zh-CN"/>
        </w:rPr>
        <w:t>, 2013). Additional training for teachers in designing attractive religious programs and increased facility support from schools can help strengthen program implementation (</w:t>
      </w:r>
      <w:proofErr w:type="spellStart"/>
      <w:r w:rsidRPr="002A2E6A">
        <w:rPr>
          <w:rFonts w:eastAsia="SimSun"/>
          <w:spacing w:val="-2"/>
          <w:lang w:val="en-ID" w:eastAsia="zh-CN"/>
        </w:rPr>
        <w:t>Manalu</w:t>
      </w:r>
      <w:proofErr w:type="spellEnd"/>
      <w:r w:rsidRPr="002A2E6A">
        <w:rPr>
          <w:rFonts w:eastAsia="SimSun"/>
          <w:spacing w:val="-2"/>
          <w:lang w:val="en-ID" w:eastAsia="zh-CN"/>
        </w:rPr>
        <w:t>, 2022). In addition, it is also important to hold regular supervision and evaluation so that the program can continue to develop according to the needs of students (Cortes et al., 2024)</w:t>
      </w:r>
      <w:r>
        <w:rPr>
          <w:rFonts w:eastAsia="SimSun"/>
          <w:spacing w:val="-2"/>
          <w:lang w:val="en-ID" w:eastAsia="zh-CN"/>
        </w:rPr>
        <w:t>.</w:t>
      </w:r>
    </w:p>
    <w:p w14:paraId="50854DF3" w14:textId="09C7C85E" w:rsidR="002A2E6A" w:rsidRDefault="002A2E6A" w:rsidP="005B5AEC">
      <w:pPr>
        <w:pStyle w:val="Alishlah31text"/>
        <w:rPr>
          <w:rFonts w:eastAsia="SimSun"/>
          <w:spacing w:val="-2"/>
          <w:lang w:val="en-ID" w:eastAsia="zh-CN"/>
        </w:rPr>
      </w:pPr>
      <w:r w:rsidRPr="002A2E6A">
        <w:rPr>
          <w:rFonts w:eastAsia="SimSun"/>
          <w:spacing w:val="-2"/>
          <w:lang w:val="en-ID" w:eastAsia="zh-CN"/>
        </w:rPr>
        <w:t xml:space="preserve">The purpose of this study is to highlight the importance of programs designed by </w:t>
      </w:r>
      <w:r w:rsidR="008576A8">
        <w:rPr>
          <w:rFonts w:eastAsia="SimSun"/>
          <w:spacing w:val="-2"/>
          <w:lang w:val="en-ID" w:eastAsia="zh-CN"/>
        </w:rPr>
        <w:t>Transformational</w:t>
      </w:r>
      <w:r w:rsidRPr="002A2E6A">
        <w:rPr>
          <w:rFonts w:eastAsia="SimSun"/>
          <w:spacing w:val="-2"/>
          <w:lang w:val="en-ID" w:eastAsia="zh-CN"/>
        </w:rPr>
        <w:t xml:space="preserve"> Teachers in improving students' religious practices and identifying obstacles that need to be overcome so that the impact can be felt optimally and sustainably</w:t>
      </w:r>
    </w:p>
    <w:p w14:paraId="6D8044C0" w14:textId="77777777" w:rsidR="005B5AEC" w:rsidRPr="00723B12" w:rsidRDefault="005B5AEC" w:rsidP="00DF106B">
      <w:pPr>
        <w:pStyle w:val="Alishlah21heading1"/>
        <w:spacing w:before="120"/>
        <w:rPr>
          <w:rFonts w:eastAsia="Arial"/>
        </w:rPr>
      </w:pPr>
      <w:r w:rsidRPr="00723B12">
        <w:rPr>
          <w:rFonts w:eastAsia="Arial"/>
        </w:rPr>
        <w:t xml:space="preserve">METHODS </w:t>
      </w:r>
    </w:p>
    <w:p w14:paraId="6CDA7455" w14:textId="54D1DAEC" w:rsidR="005B5AEC" w:rsidRDefault="006223BA" w:rsidP="002B31FD">
      <w:pPr>
        <w:pStyle w:val="Alishlah31text"/>
      </w:pPr>
      <w:r w:rsidRPr="006223BA">
        <w:rPr>
          <w:rFonts w:eastAsia="SimSun"/>
          <w:spacing w:val="-2"/>
          <w:lang w:val="en-ID" w:eastAsia="zh-CN"/>
        </w:rPr>
        <w:t xml:space="preserve">This study uses a quantitative approach to examine the influence of programs designed by Guru Penggerak on students' religious practices. The quantitative approach was chosen because it is able to provide objective results and allows testing of relationships between variables that can be measured statistically (Agung, 2018). The research was carried out from October 2023 to August 2024. The population of this study is all students who participate in programs created by </w:t>
      </w:r>
      <w:r w:rsidR="008576A8">
        <w:rPr>
          <w:rFonts w:eastAsia="SimSun"/>
          <w:spacing w:val="-2"/>
          <w:lang w:val="en-ID" w:eastAsia="zh-CN"/>
        </w:rPr>
        <w:t>Transformational</w:t>
      </w:r>
      <w:r w:rsidRPr="006223BA">
        <w:rPr>
          <w:rFonts w:eastAsia="SimSun"/>
          <w:spacing w:val="-2"/>
          <w:lang w:val="en-ID" w:eastAsia="zh-CN"/>
        </w:rPr>
        <w:t xml:space="preserve"> Teachers in several schools, with a sample of 426 students who are selected representatively. The main instrument used is a questionnaire or questionnaire designed to measure students' perception of the implementation of the Guru Penggerak program and its impact on their religious practice. This questionnaire is compiled on a Likert scale of 1-5, which allows for the measurement of students' intensity and perception of the program in a structured manner (</w:t>
      </w:r>
      <w:proofErr w:type="spellStart"/>
      <w:r w:rsidRPr="006223BA">
        <w:rPr>
          <w:rFonts w:eastAsia="SimSun"/>
          <w:spacing w:val="-2"/>
          <w:lang w:val="en-ID" w:eastAsia="zh-CN"/>
        </w:rPr>
        <w:t>Junianto</w:t>
      </w:r>
      <w:proofErr w:type="spellEnd"/>
      <w:r w:rsidRPr="006223BA">
        <w:rPr>
          <w:rFonts w:eastAsia="SimSun"/>
          <w:spacing w:val="-2"/>
          <w:lang w:val="en-ID" w:eastAsia="zh-CN"/>
        </w:rPr>
        <w:t xml:space="preserve"> et al., 2020)</w:t>
      </w:r>
      <w:r w:rsidR="002B31FD" w:rsidRPr="008E64A2">
        <w:t>.</w:t>
      </w:r>
    </w:p>
    <w:p w14:paraId="0B95826E" w14:textId="5186D290" w:rsidR="006223BA" w:rsidRDefault="006223BA" w:rsidP="002B31FD">
      <w:pPr>
        <w:pStyle w:val="Alishlah31text"/>
      </w:pPr>
      <w:r w:rsidRPr="006223BA">
        <w:t>Data was collected by distributing questionnaires to students who were respondents. Data analysis was carried out using Smart Partial Least Squares (</w:t>
      </w:r>
      <w:proofErr w:type="spellStart"/>
      <w:r w:rsidRPr="006223BA">
        <w:t>SmartPLS</w:t>
      </w:r>
      <w:proofErr w:type="spellEnd"/>
      <w:r w:rsidRPr="006223BA">
        <w:t xml:space="preserve">) software version 4.0 (Hair et al., 2019a), because it is able to analyze measurement models and structural models simultaneously and is suitable for data that is not always normally distributed. The analysis steps include validity and reliability tests using confirmatory factor analysis to check the validity of the construct and reliability of each questionnaire item, structural model analysis to test hypotheses and determine the influence of </w:t>
      </w:r>
      <w:r w:rsidRPr="006223BA">
        <w:lastRenderedPageBreak/>
        <w:t xml:space="preserve">the Teacher </w:t>
      </w:r>
      <w:r w:rsidR="008576A8">
        <w:t>Transformational</w:t>
      </w:r>
      <w:r w:rsidRPr="006223BA">
        <w:t xml:space="preserve"> program on students' religious practices, and bootstrapping to test the significance of the influence between the variables analyzed</w:t>
      </w:r>
      <w:r>
        <w:t>.</w:t>
      </w:r>
    </w:p>
    <w:p w14:paraId="13ADC104" w14:textId="1F499E90" w:rsidR="005B5AEC" w:rsidRDefault="005B5AEC" w:rsidP="00DF106B">
      <w:pPr>
        <w:pStyle w:val="Alishlah21heading1"/>
        <w:spacing w:before="120"/>
        <w:rPr>
          <w:rFonts w:eastAsia="Arial"/>
        </w:rPr>
      </w:pPr>
      <w:r>
        <w:rPr>
          <w:rFonts w:eastAsia="Arial"/>
        </w:rPr>
        <w:t xml:space="preserve">FINDINGS </w:t>
      </w:r>
      <w:r w:rsidRPr="00723B12">
        <w:rPr>
          <w:rFonts w:eastAsia="Arial"/>
        </w:rPr>
        <w:t>AND DISCUSSION</w:t>
      </w:r>
    </w:p>
    <w:p w14:paraId="35C488D7" w14:textId="1B546706" w:rsidR="00777FC2" w:rsidRPr="004841C5" w:rsidRDefault="00777FC2" w:rsidP="00DF106B">
      <w:pPr>
        <w:pStyle w:val="Alishlah22heading2"/>
        <w:spacing w:before="120"/>
      </w:pPr>
      <w:r>
        <w:t>3</w:t>
      </w:r>
      <w:r w:rsidRPr="004841C5">
        <w:t xml:space="preserve">.1. </w:t>
      </w:r>
      <w:r w:rsidRPr="00777FC2">
        <w:t>Respondent Characteristics by Gender and Class</w:t>
      </w:r>
    </w:p>
    <w:p w14:paraId="0BD26BBB" w14:textId="6A76FE51" w:rsidR="002B31FD" w:rsidRDefault="00777FC2" w:rsidP="002B31FD">
      <w:pPr>
        <w:pStyle w:val="Alishlah31text"/>
      </w:pPr>
      <w:r w:rsidRPr="00777FC2">
        <w:t>Of the total respondents, as many as 426 data were successfully collected, the characteristics of the respondents were obtained based on gender as shown in the following table</w:t>
      </w:r>
      <w:r w:rsidR="002B31FD" w:rsidRPr="004841C5">
        <w:t>.</w:t>
      </w:r>
      <w:r w:rsidR="002B31FD">
        <w:t xml:space="preserve"> </w:t>
      </w:r>
    </w:p>
    <w:p w14:paraId="48F46A59" w14:textId="77777777" w:rsidR="00777FC2" w:rsidRPr="00777FC2" w:rsidRDefault="00777FC2" w:rsidP="00DF106B">
      <w:pPr>
        <w:pStyle w:val="Alishlah41tablecaption"/>
        <w:spacing w:before="120"/>
      </w:pPr>
      <w:r w:rsidRPr="00777FC2">
        <w:t xml:space="preserve">Tabel 1. </w:t>
      </w:r>
      <w:r w:rsidRPr="00777FC2">
        <w:rPr>
          <w:b w:val="0"/>
          <w:bCs w:val="0"/>
        </w:rPr>
        <w:t>Respondent data by gender</w:t>
      </w:r>
    </w:p>
    <w:tbl>
      <w:tblPr>
        <w:tblW w:w="5733" w:type="dxa"/>
        <w:tblInd w:w="127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60"/>
        <w:gridCol w:w="851"/>
        <w:gridCol w:w="1134"/>
        <w:gridCol w:w="1480"/>
      </w:tblGrid>
      <w:tr w:rsidR="00777FC2" w:rsidRPr="009C31A8" w14:paraId="4F708ED1" w14:textId="77777777" w:rsidTr="004E6A15">
        <w:trPr>
          <w:cantSplit/>
        </w:trPr>
        <w:tc>
          <w:tcPr>
            <w:tcW w:w="1108" w:type="dxa"/>
            <w:shd w:val="clear" w:color="auto" w:fill="auto"/>
            <w:vAlign w:val="bottom"/>
          </w:tcPr>
          <w:p w14:paraId="63A0B7B7" w14:textId="77777777" w:rsidR="00777FC2" w:rsidRPr="009C31A8" w:rsidRDefault="00777FC2" w:rsidP="004E6A15">
            <w:pPr>
              <w:autoSpaceDE w:val="0"/>
              <w:autoSpaceDN w:val="0"/>
              <w:adjustRightInd w:val="0"/>
              <w:spacing w:after="0" w:line="276" w:lineRule="auto"/>
              <w:rPr>
                <w:rFonts w:ascii="Palatino Linotype" w:hAnsi="Palatino Linotype" w:cs="Times New Roman"/>
                <w:b/>
                <w:bCs/>
                <w:sz w:val="20"/>
                <w:szCs w:val="20"/>
              </w:rPr>
            </w:pPr>
          </w:p>
        </w:tc>
        <w:tc>
          <w:tcPr>
            <w:tcW w:w="1160" w:type="dxa"/>
            <w:shd w:val="clear" w:color="auto" w:fill="auto"/>
            <w:vAlign w:val="center"/>
          </w:tcPr>
          <w:p w14:paraId="27B4CA17" w14:textId="77777777" w:rsidR="00777FC2" w:rsidRPr="009C31A8" w:rsidRDefault="00777FC2" w:rsidP="004E6A15">
            <w:pPr>
              <w:autoSpaceDE w:val="0"/>
              <w:autoSpaceDN w:val="0"/>
              <w:adjustRightInd w:val="0"/>
              <w:spacing w:after="0" w:line="276" w:lineRule="auto"/>
              <w:ind w:left="60" w:right="60"/>
              <w:jc w:val="center"/>
              <w:rPr>
                <w:rFonts w:ascii="Palatino Linotype" w:hAnsi="Palatino Linotype" w:cs="Arial"/>
                <w:b/>
                <w:bCs/>
                <w:sz w:val="20"/>
                <w:szCs w:val="20"/>
              </w:rPr>
            </w:pPr>
            <w:r w:rsidRPr="009C31A8">
              <w:rPr>
                <w:rFonts w:ascii="Palatino Linotype" w:hAnsi="Palatino Linotype" w:cs="Arial"/>
                <w:b/>
                <w:bCs/>
                <w:sz w:val="20"/>
                <w:szCs w:val="20"/>
              </w:rPr>
              <w:t>Frequency</w:t>
            </w:r>
          </w:p>
        </w:tc>
        <w:tc>
          <w:tcPr>
            <w:tcW w:w="851" w:type="dxa"/>
            <w:shd w:val="clear" w:color="auto" w:fill="auto"/>
            <w:vAlign w:val="center"/>
          </w:tcPr>
          <w:p w14:paraId="5DB98954" w14:textId="77777777" w:rsidR="00777FC2" w:rsidRPr="009C31A8" w:rsidRDefault="00777FC2" w:rsidP="004E6A15">
            <w:pPr>
              <w:autoSpaceDE w:val="0"/>
              <w:autoSpaceDN w:val="0"/>
              <w:adjustRightInd w:val="0"/>
              <w:spacing w:after="0" w:line="276" w:lineRule="auto"/>
              <w:ind w:left="60" w:right="60"/>
              <w:jc w:val="center"/>
              <w:rPr>
                <w:rFonts w:ascii="Palatino Linotype" w:hAnsi="Palatino Linotype" w:cs="Arial"/>
                <w:b/>
                <w:bCs/>
                <w:sz w:val="20"/>
                <w:szCs w:val="20"/>
              </w:rPr>
            </w:pPr>
            <w:r w:rsidRPr="009C31A8">
              <w:rPr>
                <w:rFonts w:ascii="Palatino Linotype" w:hAnsi="Palatino Linotype" w:cs="Arial"/>
                <w:b/>
                <w:bCs/>
                <w:sz w:val="20"/>
                <w:szCs w:val="20"/>
              </w:rPr>
              <w:t>Percent</w:t>
            </w:r>
          </w:p>
        </w:tc>
        <w:tc>
          <w:tcPr>
            <w:tcW w:w="1134" w:type="dxa"/>
            <w:shd w:val="clear" w:color="auto" w:fill="auto"/>
            <w:vAlign w:val="center"/>
          </w:tcPr>
          <w:p w14:paraId="31D64577" w14:textId="77777777" w:rsidR="00777FC2" w:rsidRPr="009C31A8" w:rsidRDefault="00777FC2" w:rsidP="004E6A15">
            <w:pPr>
              <w:autoSpaceDE w:val="0"/>
              <w:autoSpaceDN w:val="0"/>
              <w:adjustRightInd w:val="0"/>
              <w:spacing w:after="0" w:line="276" w:lineRule="auto"/>
              <w:ind w:left="60" w:right="60"/>
              <w:jc w:val="center"/>
              <w:rPr>
                <w:rFonts w:ascii="Palatino Linotype" w:hAnsi="Palatino Linotype" w:cs="Arial"/>
                <w:b/>
                <w:bCs/>
                <w:sz w:val="20"/>
                <w:szCs w:val="20"/>
              </w:rPr>
            </w:pPr>
            <w:r w:rsidRPr="009C31A8">
              <w:rPr>
                <w:rFonts w:ascii="Palatino Linotype" w:hAnsi="Palatino Linotype" w:cs="Arial"/>
                <w:b/>
                <w:bCs/>
                <w:sz w:val="20"/>
                <w:szCs w:val="20"/>
              </w:rPr>
              <w:t>Valid Percent</w:t>
            </w:r>
          </w:p>
        </w:tc>
        <w:tc>
          <w:tcPr>
            <w:tcW w:w="1480" w:type="dxa"/>
            <w:shd w:val="clear" w:color="auto" w:fill="auto"/>
            <w:vAlign w:val="center"/>
          </w:tcPr>
          <w:p w14:paraId="0433B9EE" w14:textId="77777777" w:rsidR="00777FC2" w:rsidRPr="009C31A8" w:rsidRDefault="00777FC2" w:rsidP="004E6A15">
            <w:pPr>
              <w:autoSpaceDE w:val="0"/>
              <w:autoSpaceDN w:val="0"/>
              <w:adjustRightInd w:val="0"/>
              <w:spacing w:after="0" w:line="276" w:lineRule="auto"/>
              <w:ind w:left="60" w:right="60"/>
              <w:jc w:val="center"/>
              <w:rPr>
                <w:rFonts w:ascii="Palatino Linotype" w:hAnsi="Palatino Linotype" w:cs="Arial"/>
                <w:b/>
                <w:bCs/>
                <w:sz w:val="20"/>
                <w:szCs w:val="20"/>
              </w:rPr>
            </w:pPr>
            <w:r w:rsidRPr="009C31A8">
              <w:rPr>
                <w:rFonts w:ascii="Palatino Linotype" w:hAnsi="Palatino Linotype" w:cs="Arial"/>
                <w:b/>
                <w:bCs/>
                <w:sz w:val="20"/>
                <w:szCs w:val="20"/>
              </w:rPr>
              <w:t>Cumulative Percent</w:t>
            </w:r>
          </w:p>
        </w:tc>
      </w:tr>
      <w:tr w:rsidR="00777FC2" w:rsidRPr="00777FC2" w14:paraId="78B862F2" w14:textId="77777777" w:rsidTr="004E6A15">
        <w:trPr>
          <w:cantSplit/>
        </w:trPr>
        <w:tc>
          <w:tcPr>
            <w:tcW w:w="1108" w:type="dxa"/>
            <w:shd w:val="clear" w:color="auto" w:fill="auto"/>
          </w:tcPr>
          <w:p w14:paraId="2C23B9F9" w14:textId="2069BD07" w:rsidR="00777FC2" w:rsidRPr="00777FC2" w:rsidRDefault="00777FC2" w:rsidP="004E6A15">
            <w:pPr>
              <w:tabs>
                <w:tab w:val="left" w:pos="1087"/>
              </w:tabs>
              <w:autoSpaceDE w:val="0"/>
              <w:autoSpaceDN w:val="0"/>
              <w:adjustRightInd w:val="0"/>
              <w:spacing w:after="0" w:line="276" w:lineRule="auto"/>
              <w:ind w:left="60" w:right="60"/>
              <w:rPr>
                <w:rFonts w:ascii="Palatino Linotype" w:hAnsi="Palatino Linotype" w:cs="Arial"/>
                <w:sz w:val="20"/>
                <w:szCs w:val="20"/>
              </w:rPr>
            </w:pPr>
            <w:r w:rsidRPr="00777FC2">
              <w:rPr>
                <w:rFonts w:ascii="Palatino Linotype" w:hAnsi="Palatino Linotype" w:cs="Arial"/>
                <w:sz w:val="20"/>
                <w:szCs w:val="20"/>
                <w:lang w:val="en-US"/>
              </w:rPr>
              <w:t>Male</w:t>
            </w:r>
            <w:r w:rsidRPr="00777FC2">
              <w:rPr>
                <w:rFonts w:ascii="Palatino Linotype" w:hAnsi="Palatino Linotype" w:cs="Arial"/>
                <w:sz w:val="20"/>
                <w:szCs w:val="20"/>
              </w:rPr>
              <w:tab/>
            </w:r>
          </w:p>
        </w:tc>
        <w:tc>
          <w:tcPr>
            <w:tcW w:w="1160" w:type="dxa"/>
            <w:shd w:val="clear" w:color="auto" w:fill="auto"/>
          </w:tcPr>
          <w:p w14:paraId="71A25B52"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152</w:t>
            </w:r>
          </w:p>
        </w:tc>
        <w:tc>
          <w:tcPr>
            <w:tcW w:w="851" w:type="dxa"/>
            <w:shd w:val="clear" w:color="auto" w:fill="auto"/>
          </w:tcPr>
          <w:p w14:paraId="7C965F22"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35.7</w:t>
            </w:r>
          </w:p>
        </w:tc>
        <w:tc>
          <w:tcPr>
            <w:tcW w:w="1134" w:type="dxa"/>
            <w:shd w:val="clear" w:color="auto" w:fill="auto"/>
          </w:tcPr>
          <w:p w14:paraId="2FCC8F6B"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35.7</w:t>
            </w:r>
          </w:p>
        </w:tc>
        <w:tc>
          <w:tcPr>
            <w:tcW w:w="1480" w:type="dxa"/>
            <w:shd w:val="clear" w:color="auto" w:fill="auto"/>
          </w:tcPr>
          <w:p w14:paraId="55A6BD48" w14:textId="77777777" w:rsidR="00777FC2" w:rsidRPr="00777FC2" w:rsidRDefault="00777FC2" w:rsidP="004E6A15">
            <w:pPr>
              <w:tabs>
                <w:tab w:val="center" w:pos="735"/>
                <w:tab w:val="right" w:pos="1410"/>
              </w:tabs>
              <w:autoSpaceDE w:val="0"/>
              <w:autoSpaceDN w:val="0"/>
              <w:adjustRightInd w:val="0"/>
              <w:spacing w:after="0" w:line="276" w:lineRule="auto"/>
              <w:ind w:left="60" w:right="60"/>
              <w:rPr>
                <w:rFonts w:ascii="Palatino Linotype" w:hAnsi="Palatino Linotype" w:cs="Arial"/>
                <w:sz w:val="20"/>
                <w:szCs w:val="20"/>
              </w:rPr>
            </w:pPr>
            <w:r w:rsidRPr="00777FC2">
              <w:rPr>
                <w:rFonts w:ascii="Palatino Linotype" w:hAnsi="Palatino Linotype" w:cs="Arial"/>
                <w:sz w:val="20"/>
                <w:szCs w:val="20"/>
              </w:rPr>
              <w:tab/>
            </w:r>
            <w:r w:rsidRPr="00777FC2">
              <w:rPr>
                <w:rFonts w:ascii="Palatino Linotype" w:hAnsi="Palatino Linotype" w:cs="Arial"/>
                <w:sz w:val="20"/>
                <w:szCs w:val="20"/>
              </w:rPr>
              <w:tab/>
              <w:t>35.7</w:t>
            </w:r>
          </w:p>
        </w:tc>
      </w:tr>
      <w:tr w:rsidR="00777FC2" w:rsidRPr="00777FC2" w14:paraId="4E3D81C6" w14:textId="77777777" w:rsidTr="004E6A15">
        <w:trPr>
          <w:cantSplit/>
        </w:trPr>
        <w:tc>
          <w:tcPr>
            <w:tcW w:w="1108" w:type="dxa"/>
            <w:shd w:val="clear" w:color="auto" w:fill="auto"/>
          </w:tcPr>
          <w:p w14:paraId="54B8DE6A" w14:textId="277BDB8C" w:rsidR="00777FC2" w:rsidRPr="00777FC2" w:rsidRDefault="00777FC2" w:rsidP="004E6A15">
            <w:pPr>
              <w:autoSpaceDE w:val="0"/>
              <w:autoSpaceDN w:val="0"/>
              <w:adjustRightInd w:val="0"/>
              <w:spacing w:after="0" w:line="276" w:lineRule="auto"/>
              <w:ind w:left="60" w:right="60"/>
              <w:rPr>
                <w:rFonts w:ascii="Palatino Linotype" w:hAnsi="Palatino Linotype" w:cs="Arial"/>
                <w:sz w:val="20"/>
                <w:szCs w:val="20"/>
                <w:lang w:val="en-US"/>
              </w:rPr>
            </w:pPr>
            <w:r w:rsidRPr="00777FC2">
              <w:rPr>
                <w:rFonts w:ascii="Palatino Linotype" w:hAnsi="Palatino Linotype" w:cs="Arial"/>
                <w:sz w:val="20"/>
                <w:szCs w:val="20"/>
                <w:lang w:val="en-US"/>
              </w:rPr>
              <w:t>Female</w:t>
            </w:r>
          </w:p>
        </w:tc>
        <w:tc>
          <w:tcPr>
            <w:tcW w:w="1160" w:type="dxa"/>
            <w:shd w:val="clear" w:color="auto" w:fill="auto"/>
          </w:tcPr>
          <w:p w14:paraId="53397621"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274</w:t>
            </w:r>
          </w:p>
        </w:tc>
        <w:tc>
          <w:tcPr>
            <w:tcW w:w="851" w:type="dxa"/>
            <w:shd w:val="clear" w:color="auto" w:fill="auto"/>
          </w:tcPr>
          <w:p w14:paraId="5E759FDC"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64.3</w:t>
            </w:r>
          </w:p>
        </w:tc>
        <w:tc>
          <w:tcPr>
            <w:tcW w:w="1134" w:type="dxa"/>
            <w:shd w:val="clear" w:color="auto" w:fill="auto"/>
          </w:tcPr>
          <w:p w14:paraId="6182ACE3"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64.3</w:t>
            </w:r>
          </w:p>
        </w:tc>
        <w:tc>
          <w:tcPr>
            <w:tcW w:w="1480" w:type="dxa"/>
            <w:shd w:val="clear" w:color="auto" w:fill="auto"/>
          </w:tcPr>
          <w:p w14:paraId="6D2F64DE"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100.0</w:t>
            </w:r>
          </w:p>
        </w:tc>
      </w:tr>
      <w:tr w:rsidR="00777FC2" w:rsidRPr="00777FC2" w14:paraId="30B928DF" w14:textId="77777777" w:rsidTr="004E6A15">
        <w:trPr>
          <w:cantSplit/>
        </w:trPr>
        <w:tc>
          <w:tcPr>
            <w:tcW w:w="1108" w:type="dxa"/>
            <w:shd w:val="clear" w:color="auto" w:fill="auto"/>
          </w:tcPr>
          <w:p w14:paraId="28A85CC7" w14:textId="77777777" w:rsidR="00777FC2" w:rsidRPr="00777FC2" w:rsidRDefault="00777FC2" w:rsidP="004E6A15">
            <w:pPr>
              <w:autoSpaceDE w:val="0"/>
              <w:autoSpaceDN w:val="0"/>
              <w:adjustRightInd w:val="0"/>
              <w:spacing w:after="0" w:line="276" w:lineRule="auto"/>
              <w:ind w:left="60" w:right="60"/>
              <w:rPr>
                <w:rFonts w:ascii="Palatino Linotype" w:hAnsi="Palatino Linotype" w:cs="Arial"/>
                <w:sz w:val="20"/>
                <w:szCs w:val="20"/>
              </w:rPr>
            </w:pPr>
            <w:r w:rsidRPr="00777FC2">
              <w:rPr>
                <w:rFonts w:ascii="Palatino Linotype" w:hAnsi="Palatino Linotype" w:cs="Arial"/>
                <w:sz w:val="20"/>
                <w:szCs w:val="20"/>
              </w:rPr>
              <w:t>Total</w:t>
            </w:r>
          </w:p>
        </w:tc>
        <w:tc>
          <w:tcPr>
            <w:tcW w:w="1160" w:type="dxa"/>
            <w:shd w:val="clear" w:color="auto" w:fill="auto"/>
          </w:tcPr>
          <w:p w14:paraId="5DFBFB95"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426</w:t>
            </w:r>
          </w:p>
        </w:tc>
        <w:tc>
          <w:tcPr>
            <w:tcW w:w="851" w:type="dxa"/>
            <w:shd w:val="clear" w:color="auto" w:fill="auto"/>
          </w:tcPr>
          <w:p w14:paraId="26EF734C"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100.0</w:t>
            </w:r>
          </w:p>
        </w:tc>
        <w:tc>
          <w:tcPr>
            <w:tcW w:w="1134" w:type="dxa"/>
            <w:shd w:val="clear" w:color="auto" w:fill="auto"/>
          </w:tcPr>
          <w:p w14:paraId="4B27013A" w14:textId="77777777" w:rsidR="00777FC2" w:rsidRPr="00777FC2" w:rsidRDefault="00777FC2" w:rsidP="004E6A15">
            <w:pPr>
              <w:autoSpaceDE w:val="0"/>
              <w:autoSpaceDN w:val="0"/>
              <w:adjustRightInd w:val="0"/>
              <w:spacing w:after="0" w:line="276" w:lineRule="auto"/>
              <w:ind w:left="60" w:right="60"/>
              <w:jc w:val="right"/>
              <w:rPr>
                <w:rFonts w:ascii="Palatino Linotype" w:hAnsi="Palatino Linotype" w:cs="Arial"/>
                <w:sz w:val="20"/>
                <w:szCs w:val="20"/>
              </w:rPr>
            </w:pPr>
            <w:r w:rsidRPr="00777FC2">
              <w:rPr>
                <w:rFonts w:ascii="Palatino Linotype" w:hAnsi="Palatino Linotype" w:cs="Arial"/>
                <w:sz w:val="20"/>
                <w:szCs w:val="20"/>
              </w:rPr>
              <w:t>100.0</w:t>
            </w:r>
          </w:p>
        </w:tc>
        <w:tc>
          <w:tcPr>
            <w:tcW w:w="1480" w:type="dxa"/>
            <w:shd w:val="clear" w:color="auto" w:fill="auto"/>
            <w:vAlign w:val="center"/>
          </w:tcPr>
          <w:p w14:paraId="3266E703" w14:textId="77777777" w:rsidR="00777FC2" w:rsidRPr="00777FC2" w:rsidRDefault="00777FC2" w:rsidP="004E6A15">
            <w:pPr>
              <w:autoSpaceDE w:val="0"/>
              <w:autoSpaceDN w:val="0"/>
              <w:adjustRightInd w:val="0"/>
              <w:spacing w:after="0" w:line="276" w:lineRule="auto"/>
              <w:rPr>
                <w:rFonts w:ascii="Palatino Linotype" w:hAnsi="Palatino Linotype" w:cs="Times New Roman"/>
                <w:sz w:val="20"/>
                <w:szCs w:val="20"/>
              </w:rPr>
            </w:pPr>
          </w:p>
        </w:tc>
      </w:tr>
    </w:tbl>
    <w:p w14:paraId="5D51C512" w14:textId="540E96E9" w:rsidR="00777FC2" w:rsidRDefault="00777FC2" w:rsidP="00777FC2">
      <w:pPr>
        <w:pStyle w:val="Alishlah31text"/>
      </w:pPr>
      <w:r w:rsidRPr="00777FC2">
        <w:t>Based on the table above, the characteristics of respondents by gender show that out of a total of 426 respondents, there are female respondents who are more dominant than male respondents in this study.</w:t>
      </w:r>
    </w:p>
    <w:p w14:paraId="1AAC0AE1" w14:textId="77777777" w:rsidR="00777FC2" w:rsidRPr="00516A51" w:rsidRDefault="00777FC2" w:rsidP="00DF106B">
      <w:pPr>
        <w:pStyle w:val="Alishlah41tablecaption"/>
        <w:spacing w:before="0"/>
        <w:rPr>
          <w:rFonts w:ascii="Garamond" w:eastAsia="Times New Roman" w:hAnsi="Garamond"/>
          <w:lang w:val="en-ID"/>
        </w:rPr>
      </w:pPr>
      <w:r w:rsidRPr="00777FC2">
        <w:t>Tabel 2</w:t>
      </w:r>
      <w:r w:rsidRPr="00777FC2">
        <w:rPr>
          <w:b w:val="0"/>
          <w:bCs w:val="0"/>
        </w:rPr>
        <w:t>. Respondent data based on class</w:t>
      </w:r>
    </w:p>
    <w:tbl>
      <w:tblPr>
        <w:tblW w:w="5739" w:type="dxa"/>
        <w:tblInd w:w="127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19"/>
        <w:gridCol w:w="1191"/>
        <w:gridCol w:w="850"/>
        <w:gridCol w:w="993"/>
        <w:gridCol w:w="1486"/>
      </w:tblGrid>
      <w:tr w:rsidR="004E6A15" w:rsidRPr="009C31A8" w14:paraId="7147A014" w14:textId="77777777" w:rsidTr="004E6A15">
        <w:trPr>
          <w:cantSplit/>
        </w:trPr>
        <w:tc>
          <w:tcPr>
            <w:tcW w:w="1219" w:type="dxa"/>
            <w:shd w:val="clear" w:color="auto" w:fill="auto"/>
            <w:vAlign w:val="bottom"/>
          </w:tcPr>
          <w:p w14:paraId="552A1AB3" w14:textId="77777777" w:rsidR="00777FC2" w:rsidRPr="009C31A8" w:rsidRDefault="00777FC2" w:rsidP="00F31367">
            <w:pPr>
              <w:autoSpaceDE w:val="0"/>
              <w:autoSpaceDN w:val="0"/>
              <w:adjustRightInd w:val="0"/>
              <w:spacing w:after="0" w:line="240" w:lineRule="auto"/>
              <w:rPr>
                <w:rFonts w:ascii="Palatino Linotype" w:hAnsi="Palatino Linotype" w:cs="Times New Roman"/>
                <w:b/>
                <w:bCs/>
                <w:sz w:val="20"/>
                <w:szCs w:val="20"/>
              </w:rPr>
            </w:pPr>
          </w:p>
        </w:tc>
        <w:tc>
          <w:tcPr>
            <w:tcW w:w="1191" w:type="dxa"/>
            <w:shd w:val="clear" w:color="auto" w:fill="auto"/>
            <w:vAlign w:val="center"/>
          </w:tcPr>
          <w:p w14:paraId="4B4F3160" w14:textId="77777777" w:rsidR="00777FC2" w:rsidRPr="009C31A8" w:rsidRDefault="00777FC2" w:rsidP="00F31367">
            <w:pPr>
              <w:autoSpaceDE w:val="0"/>
              <w:autoSpaceDN w:val="0"/>
              <w:adjustRightInd w:val="0"/>
              <w:spacing w:after="0" w:line="320" w:lineRule="atLeast"/>
              <w:ind w:left="60" w:right="60"/>
              <w:jc w:val="center"/>
              <w:rPr>
                <w:rFonts w:ascii="Palatino Linotype" w:hAnsi="Palatino Linotype" w:cs="Arial"/>
                <w:b/>
                <w:bCs/>
                <w:sz w:val="20"/>
                <w:szCs w:val="20"/>
              </w:rPr>
            </w:pPr>
            <w:r w:rsidRPr="009C31A8">
              <w:rPr>
                <w:rFonts w:ascii="Palatino Linotype" w:hAnsi="Palatino Linotype" w:cs="Arial"/>
                <w:b/>
                <w:bCs/>
                <w:sz w:val="20"/>
                <w:szCs w:val="20"/>
              </w:rPr>
              <w:t>Frequency</w:t>
            </w:r>
          </w:p>
        </w:tc>
        <w:tc>
          <w:tcPr>
            <w:tcW w:w="850" w:type="dxa"/>
            <w:shd w:val="clear" w:color="auto" w:fill="auto"/>
            <w:vAlign w:val="center"/>
          </w:tcPr>
          <w:p w14:paraId="3825FC61" w14:textId="77777777" w:rsidR="00777FC2" w:rsidRPr="009C31A8" w:rsidRDefault="00777FC2" w:rsidP="00F31367">
            <w:pPr>
              <w:autoSpaceDE w:val="0"/>
              <w:autoSpaceDN w:val="0"/>
              <w:adjustRightInd w:val="0"/>
              <w:spacing w:after="0" w:line="320" w:lineRule="atLeast"/>
              <w:ind w:left="60" w:right="60"/>
              <w:jc w:val="center"/>
              <w:rPr>
                <w:rFonts w:ascii="Palatino Linotype" w:hAnsi="Palatino Linotype" w:cs="Arial"/>
                <w:b/>
                <w:bCs/>
                <w:sz w:val="20"/>
                <w:szCs w:val="20"/>
              </w:rPr>
            </w:pPr>
            <w:r w:rsidRPr="009C31A8">
              <w:rPr>
                <w:rFonts w:ascii="Palatino Linotype" w:hAnsi="Palatino Linotype" w:cs="Arial"/>
                <w:b/>
                <w:bCs/>
                <w:sz w:val="20"/>
                <w:szCs w:val="20"/>
              </w:rPr>
              <w:t>Percent</w:t>
            </w:r>
          </w:p>
        </w:tc>
        <w:tc>
          <w:tcPr>
            <w:tcW w:w="993" w:type="dxa"/>
            <w:shd w:val="clear" w:color="auto" w:fill="auto"/>
            <w:vAlign w:val="center"/>
          </w:tcPr>
          <w:p w14:paraId="244FDA2D" w14:textId="77777777" w:rsidR="00777FC2" w:rsidRPr="009C31A8" w:rsidRDefault="00777FC2" w:rsidP="00F31367">
            <w:pPr>
              <w:autoSpaceDE w:val="0"/>
              <w:autoSpaceDN w:val="0"/>
              <w:adjustRightInd w:val="0"/>
              <w:spacing w:after="0" w:line="320" w:lineRule="atLeast"/>
              <w:ind w:left="60" w:right="60"/>
              <w:jc w:val="center"/>
              <w:rPr>
                <w:rFonts w:ascii="Palatino Linotype" w:hAnsi="Palatino Linotype" w:cs="Arial"/>
                <w:b/>
                <w:bCs/>
                <w:sz w:val="20"/>
                <w:szCs w:val="20"/>
              </w:rPr>
            </w:pPr>
            <w:r w:rsidRPr="009C31A8">
              <w:rPr>
                <w:rFonts w:ascii="Palatino Linotype" w:hAnsi="Palatino Linotype" w:cs="Arial"/>
                <w:b/>
                <w:bCs/>
                <w:sz w:val="20"/>
                <w:szCs w:val="20"/>
              </w:rPr>
              <w:t>Valid Percent</w:t>
            </w:r>
          </w:p>
        </w:tc>
        <w:tc>
          <w:tcPr>
            <w:tcW w:w="1486" w:type="dxa"/>
            <w:shd w:val="clear" w:color="auto" w:fill="auto"/>
            <w:vAlign w:val="center"/>
          </w:tcPr>
          <w:p w14:paraId="2671A805" w14:textId="77777777" w:rsidR="00777FC2" w:rsidRPr="009C31A8" w:rsidRDefault="00777FC2" w:rsidP="00F31367">
            <w:pPr>
              <w:autoSpaceDE w:val="0"/>
              <w:autoSpaceDN w:val="0"/>
              <w:adjustRightInd w:val="0"/>
              <w:spacing w:after="0" w:line="320" w:lineRule="atLeast"/>
              <w:ind w:left="60" w:right="60"/>
              <w:jc w:val="center"/>
              <w:rPr>
                <w:rFonts w:ascii="Palatino Linotype" w:hAnsi="Palatino Linotype" w:cs="Arial"/>
                <w:b/>
                <w:bCs/>
                <w:sz w:val="20"/>
                <w:szCs w:val="20"/>
              </w:rPr>
            </w:pPr>
            <w:r w:rsidRPr="009C31A8">
              <w:rPr>
                <w:rFonts w:ascii="Palatino Linotype" w:hAnsi="Palatino Linotype" w:cs="Arial"/>
                <w:b/>
                <w:bCs/>
                <w:sz w:val="20"/>
                <w:szCs w:val="20"/>
              </w:rPr>
              <w:t>Cumulative Percent</w:t>
            </w:r>
          </w:p>
        </w:tc>
      </w:tr>
      <w:tr w:rsidR="004E6A15" w:rsidRPr="004E6A15" w14:paraId="3CD1DE13" w14:textId="77777777" w:rsidTr="004E6A15">
        <w:trPr>
          <w:cantSplit/>
        </w:trPr>
        <w:tc>
          <w:tcPr>
            <w:tcW w:w="1219" w:type="dxa"/>
            <w:shd w:val="clear" w:color="auto" w:fill="auto"/>
          </w:tcPr>
          <w:p w14:paraId="63D51E6B" w14:textId="5EACEEBA" w:rsidR="00777FC2" w:rsidRPr="004E6A15" w:rsidRDefault="00777FC2" w:rsidP="00F31367">
            <w:pPr>
              <w:autoSpaceDE w:val="0"/>
              <w:autoSpaceDN w:val="0"/>
              <w:adjustRightInd w:val="0"/>
              <w:spacing w:after="0" w:line="320" w:lineRule="atLeast"/>
              <w:ind w:left="60" w:right="60"/>
              <w:rPr>
                <w:rFonts w:ascii="Palatino Linotype" w:hAnsi="Palatino Linotype" w:cs="Arial"/>
                <w:sz w:val="20"/>
                <w:szCs w:val="20"/>
              </w:rPr>
            </w:pPr>
            <w:r w:rsidRPr="004E6A15">
              <w:rPr>
                <w:rFonts w:ascii="Palatino Linotype" w:hAnsi="Palatino Linotype" w:cs="Arial"/>
                <w:sz w:val="20"/>
                <w:szCs w:val="20"/>
                <w:lang w:val="en-US"/>
              </w:rPr>
              <w:t>Grade</w:t>
            </w:r>
            <w:r w:rsidRPr="004E6A15">
              <w:rPr>
                <w:rFonts w:ascii="Palatino Linotype" w:hAnsi="Palatino Linotype" w:cs="Arial"/>
                <w:sz w:val="20"/>
                <w:szCs w:val="20"/>
              </w:rPr>
              <w:t xml:space="preserve"> 8</w:t>
            </w:r>
          </w:p>
        </w:tc>
        <w:tc>
          <w:tcPr>
            <w:tcW w:w="1191" w:type="dxa"/>
            <w:shd w:val="clear" w:color="auto" w:fill="auto"/>
          </w:tcPr>
          <w:p w14:paraId="01FCD228"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225</w:t>
            </w:r>
          </w:p>
        </w:tc>
        <w:tc>
          <w:tcPr>
            <w:tcW w:w="850" w:type="dxa"/>
            <w:shd w:val="clear" w:color="auto" w:fill="auto"/>
          </w:tcPr>
          <w:p w14:paraId="5B16EF7E"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52.8</w:t>
            </w:r>
          </w:p>
        </w:tc>
        <w:tc>
          <w:tcPr>
            <w:tcW w:w="993" w:type="dxa"/>
            <w:shd w:val="clear" w:color="auto" w:fill="auto"/>
          </w:tcPr>
          <w:p w14:paraId="19EEA000"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52.8</w:t>
            </w:r>
          </w:p>
        </w:tc>
        <w:tc>
          <w:tcPr>
            <w:tcW w:w="1486" w:type="dxa"/>
            <w:shd w:val="clear" w:color="auto" w:fill="auto"/>
          </w:tcPr>
          <w:p w14:paraId="727CE7B4"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52.8</w:t>
            </w:r>
          </w:p>
        </w:tc>
      </w:tr>
      <w:tr w:rsidR="004E6A15" w:rsidRPr="004E6A15" w14:paraId="34F88DA7" w14:textId="77777777" w:rsidTr="004E6A15">
        <w:trPr>
          <w:cantSplit/>
        </w:trPr>
        <w:tc>
          <w:tcPr>
            <w:tcW w:w="1219" w:type="dxa"/>
            <w:shd w:val="clear" w:color="auto" w:fill="auto"/>
          </w:tcPr>
          <w:p w14:paraId="5A415824" w14:textId="7FDD2DC1" w:rsidR="00777FC2" w:rsidRPr="004E6A15" w:rsidRDefault="00777FC2" w:rsidP="00F31367">
            <w:pPr>
              <w:autoSpaceDE w:val="0"/>
              <w:autoSpaceDN w:val="0"/>
              <w:adjustRightInd w:val="0"/>
              <w:spacing w:after="0" w:line="320" w:lineRule="atLeast"/>
              <w:ind w:left="60" w:right="60"/>
              <w:rPr>
                <w:rFonts w:ascii="Palatino Linotype" w:hAnsi="Palatino Linotype" w:cs="Arial"/>
                <w:sz w:val="20"/>
                <w:szCs w:val="20"/>
              </w:rPr>
            </w:pPr>
            <w:r w:rsidRPr="004E6A15">
              <w:rPr>
                <w:rFonts w:ascii="Palatino Linotype" w:hAnsi="Palatino Linotype" w:cs="Arial"/>
                <w:sz w:val="20"/>
                <w:szCs w:val="20"/>
                <w:lang w:val="en-US"/>
              </w:rPr>
              <w:t>Grade</w:t>
            </w:r>
            <w:r w:rsidRPr="004E6A15">
              <w:rPr>
                <w:rFonts w:ascii="Palatino Linotype" w:hAnsi="Palatino Linotype" w:cs="Arial"/>
                <w:sz w:val="20"/>
                <w:szCs w:val="20"/>
              </w:rPr>
              <w:t xml:space="preserve"> 9</w:t>
            </w:r>
          </w:p>
        </w:tc>
        <w:tc>
          <w:tcPr>
            <w:tcW w:w="1191" w:type="dxa"/>
            <w:shd w:val="clear" w:color="auto" w:fill="auto"/>
          </w:tcPr>
          <w:p w14:paraId="17DF43BC"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201</w:t>
            </w:r>
          </w:p>
        </w:tc>
        <w:tc>
          <w:tcPr>
            <w:tcW w:w="850" w:type="dxa"/>
            <w:shd w:val="clear" w:color="auto" w:fill="auto"/>
          </w:tcPr>
          <w:p w14:paraId="6B3630ED"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47.2</w:t>
            </w:r>
          </w:p>
        </w:tc>
        <w:tc>
          <w:tcPr>
            <w:tcW w:w="993" w:type="dxa"/>
            <w:shd w:val="clear" w:color="auto" w:fill="auto"/>
          </w:tcPr>
          <w:p w14:paraId="18FFE5B1"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47.2</w:t>
            </w:r>
          </w:p>
        </w:tc>
        <w:tc>
          <w:tcPr>
            <w:tcW w:w="1486" w:type="dxa"/>
            <w:shd w:val="clear" w:color="auto" w:fill="auto"/>
          </w:tcPr>
          <w:p w14:paraId="2C1B78DD"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100.0</w:t>
            </w:r>
          </w:p>
        </w:tc>
      </w:tr>
      <w:tr w:rsidR="004E6A15" w:rsidRPr="004E6A15" w14:paraId="502C1604" w14:textId="77777777" w:rsidTr="004E6A15">
        <w:trPr>
          <w:cantSplit/>
        </w:trPr>
        <w:tc>
          <w:tcPr>
            <w:tcW w:w="1219" w:type="dxa"/>
            <w:shd w:val="clear" w:color="auto" w:fill="auto"/>
          </w:tcPr>
          <w:p w14:paraId="3E5F1191" w14:textId="77777777" w:rsidR="00777FC2" w:rsidRPr="004E6A15" w:rsidRDefault="00777FC2" w:rsidP="00F31367">
            <w:pPr>
              <w:autoSpaceDE w:val="0"/>
              <w:autoSpaceDN w:val="0"/>
              <w:adjustRightInd w:val="0"/>
              <w:spacing w:after="0" w:line="320" w:lineRule="atLeast"/>
              <w:ind w:left="60" w:right="60"/>
              <w:rPr>
                <w:rFonts w:ascii="Palatino Linotype" w:hAnsi="Palatino Linotype" w:cs="Arial"/>
                <w:sz w:val="20"/>
                <w:szCs w:val="20"/>
              </w:rPr>
            </w:pPr>
            <w:r w:rsidRPr="004E6A15">
              <w:rPr>
                <w:rFonts w:ascii="Palatino Linotype" w:hAnsi="Palatino Linotype" w:cs="Arial"/>
                <w:sz w:val="20"/>
                <w:szCs w:val="20"/>
              </w:rPr>
              <w:t>Total</w:t>
            </w:r>
          </w:p>
        </w:tc>
        <w:tc>
          <w:tcPr>
            <w:tcW w:w="1191" w:type="dxa"/>
            <w:shd w:val="clear" w:color="auto" w:fill="auto"/>
          </w:tcPr>
          <w:p w14:paraId="6031AF9B"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426</w:t>
            </w:r>
          </w:p>
        </w:tc>
        <w:tc>
          <w:tcPr>
            <w:tcW w:w="850" w:type="dxa"/>
            <w:shd w:val="clear" w:color="auto" w:fill="auto"/>
          </w:tcPr>
          <w:p w14:paraId="6D2AB588"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100.0</w:t>
            </w:r>
          </w:p>
        </w:tc>
        <w:tc>
          <w:tcPr>
            <w:tcW w:w="993" w:type="dxa"/>
            <w:shd w:val="clear" w:color="auto" w:fill="auto"/>
          </w:tcPr>
          <w:p w14:paraId="1A8315A6" w14:textId="77777777" w:rsidR="00777FC2" w:rsidRPr="004E6A15" w:rsidRDefault="00777FC2" w:rsidP="00F31367">
            <w:pPr>
              <w:autoSpaceDE w:val="0"/>
              <w:autoSpaceDN w:val="0"/>
              <w:adjustRightInd w:val="0"/>
              <w:spacing w:after="0" w:line="320" w:lineRule="atLeast"/>
              <w:ind w:left="60" w:right="60"/>
              <w:jc w:val="right"/>
              <w:rPr>
                <w:rFonts w:ascii="Palatino Linotype" w:hAnsi="Palatino Linotype" w:cs="Arial"/>
                <w:sz w:val="20"/>
                <w:szCs w:val="20"/>
              </w:rPr>
            </w:pPr>
            <w:r w:rsidRPr="004E6A15">
              <w:rPr>
                <w:rFonts w:ascii="Palatino Linotype" w:hAnsi="Palatino Linotype" w:cs="Arial"/>
                <w:sz w:val="20"/>
                <w:szCs w:val="20"/>
              </w:rPr>
              <w:t>100.0</w:t>
            </w:r>
          </w:p>
        </w:tc>
        <w:tc>
          <w:tcPr>
            <w:tcW w:w="1486" w:type="dxa"/>
            <w:shd w:val="clear" w:color="auto" w:fill="auto"/>
            <w:vAlign w:val="center"/>
          </w:tcPr>
          <w:p w14:paraId="31E242DE" w14:textId="77777777" w:rsidR="00777FC2" w:rsidRPr="004E6A15" w:rsidRDefault="00777FC2" w:rsidP="00F31367">
            <w:pPr>
              <w:autoSpaceDE w:val="0"/>
              <w:autoSpaceDN w:val="0"/>
              <w:adjustRightInd w:val="0"/>
              <w:spacing w:after="0" w:line="240" w:lineRule="auto"/>
              <w:rPr>
                <w:rFonts w:ascii="Palatino Linotype" w:hAnsi="Palatino Linotype" w:cs="Times New Roman"/>
                <w:sz w:val="20"/>
                <w:szCs w:val="20"/>
              </w:rPr>
            </w:pPr>
          </w:p>
        </w:tc>
      </w:tr>
    </w:tbl>
    <w:p w14:paraId="55B769A0" w14:textId="3B05852C" w:rsidR="00777FC2" w:rsidRDefault="00777FC2" w:rsidP="00777FC2">
      <w:pPr>
        <w:pStyle w:val="Alishlah31text"/>
      </w:pPr>
      <w:r w:rsidRPr="00777FC2">
        <w:t>Based on the table above, the characteristics of respondents by class are as follows: out of a total of 426 respondents, the majority of respondents in this study came from grade 8 (eight)</w:t>
      </w:r>
    </w:p>
    <w:p w14:paraId="1646777A" w14:textId="6933C252" w:rsidR="00431018" w:rsidRPr="004841C5" w:rsidRDefault="00431018" w:rsidP="00431018">
      <w:pPr>
        <w:pStyle w:val="Alishlah22heading2"/>
      </w:pPr>
      <w:r>
        <w:t>3</w:t>
      </w:r>
      <w:r w:rsidRPr="004841C5">
        <w:t>.</w:t>
      </w:r>
      <w:r>
        <w:t>2</w:t>
      </w:r>
      <w:r w:rsidRPr="004841C5">
        <w:t xml:space="preserve">. </w:t>
      </w:r>
      <w:r w:rsidRPr="00431018">
        <w:t>Respondent satisfaction based on the Guru Penggerak program</w:t>
      </w:r>
    </w:p>
    <w:p w14:paraId="34A14FB5" w14:textId="77777777" w:rsidR="00DF106B" w:rsidRDefault="00DF106B" w:rsidP="00DF106B">
      <w:pPr>
        <w:pStyle w:val="Alishlah31text"/>
      </w:pPr>
      <w:r>
        <w:t xml:space="preserve">The results of the questionnaire analysis on the variables of the Transformational Teacher (Guru Penggerak) Program show the distribution of frequencies and percentages in various categories. Of the 426 respondents, 76 people (17.84%) were in the "Very High" category with an average score of more than 102.50. A total of 104 people (24.41%) </w:t>
      </w:r>
      <w:proofErr w:type="gramStart"/>
      <w:r>
        <w:t>were</w:t>
      </w:r>
      <w:proofErr w:type="gramEnd"/>
      <w:r>
        <w:t xml:space="preserve"> included in the "High" category with an average score between 94.17 and 102.50. The "Medium" category has the largest number of respondents, namely 177 people (41.55%) with an average score between 85.83 to 94.17. A total of 54 people (12.68%) </w:t>
      </w:r>
      <w:proofErr w:type="gramStart"/>
      <w:r>
        <w:t>were</w:t>
      </w:r>
      <w:proofErr w:type="gramEnd"/>
      <w:r>
        <w:t xml:space="preserve"> included in the "Low" category with an average score between 77.50 to 85.83, and 15 people (3.52%) were in the "Very Low" category with an average score of less than or equal to 77.50. The total number of respondents was 426 people, with a percentage of 100%.</w:t>
      </w:r>
    </w:p>
    <w:p w14:paraId="7D5788D0" w14:textId="3E99C2EE" w:rsidR="00431018" w:rsidRDefault="00DF106B" w:rsidP="00DF106B">
      <w:pPr>
        <w:pStyle w:val="Alishlah31text"/>
      </w:pPr>
      <w:r>
        <w:t>For more details regarding satisfaction with the Transformational Teacher (Guru Penggerak) Program as shown in the following diagram:</w:t>
      </w:r>
    </w:p>
    <w:p w14:paraId="072195C1" w14:textId="2E7AB906" w:rsidR="00431018" w:rsidRDefault="00431018" w:rsidP="00777FC2">
      <w:pPr>
        <w:pStyle w:val="Alishlah31text"/>
      </w:pPr>
    </w:p>
    <w:p w14:paraId="3518DF97" w14:textId="77777777" w:rsidR="00431018" w:rsidRDefault="00431018" w:rsidP="00777FC2">
      <w:pPr>
        <w:pStyle w:val="Alishlah31text"/>
      </w:pPr>
    </w:p>
    <w:p w14:paraId="151E6F33" w14:textId="1E5A8FF9" w:rsidR="00431018" w:rsidRDefault="00431018" w:rsidP="00431018">
      <w:pPr>
        <w:pStyle w:val="Alishlah31text"/>
        <w:jc w:val="center"/>
      </w:pPr>
      <w:r>
        <w:rPr>
          <w:noProof/>
        </w:rPr>
        <w:lastRenderedPageBreak/>
        <w:drawing>
          <wp:inline distT="0" distB="0" distL="0" distR="0" wp14:anchorId="13521150" wp14:editId="0A5C24AF">
            <wp:extent cx="3743325" cy="1900457"/>
            <wp:effectExtent l="0" t="0" r="9525" b="5080"/>
            <wp:docPr id="3" name="Chart 3">
              <a:extLst xmlns:a="http://schemas.openxmlformats.org/drawingml/2006/main">
                <a:ext uri="{FF2B5EF4-FFF2-40B4-BE49-F238E27FC236}">
                  <a16:creationId xmlns:a16="http://schemas.microsoft.com/office/drawing/2014/main" id="{29419409-F689-4FA6-896B-4FB9AA580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8CF2C" w14:textId="558C2F21" w:rsidR="00431018" w:rsidRPr="00431018" w:rsidRDefault="00431018" w:rsidP="00DF106B">
      <w:pPr>
        <w:pStyle w:val="Alishlah51figurecaption"/>
        <w:spacing w:after="0"/>
        <w:jc w:val="center"/>
        <w:rPr>
          <w:b/>
        </w:rPr>
      </w:pPr>
      <w:r w:rsidRPr="00431018">
        <w:rPr>
          <w:b/>
        </w:rPr>
        <w:t xml:space="preserve">Figure 1. </w:t>
      </w:r>
      <w:r w:rsidRPr="00431018">
        <w:rPr>
          <w:bCs/>
        </w:rPr>
        <w:t>Satisfaction with the Transformational Teacher (Guru Penggerak) Program</w:t>
      </w:r>
      <w:r w:rsidR="00DF106B">
        <w:rPr>
          <w:bCs/>
        </w:rPr>
        <w:t>.</w:t>
      </w:r>
    </w:p>
    <w:p w14:paraId="4B145D2C" w14:textId="4F430584" w:rsidR="00431018" w:rsidRPr="00431018" w:rsidRDefault="00431018" w:rsidP="00431018">
      <w:pPr>
        <w:pStyle w:val="Alishlah31text"/>
        <w:rPr>
          <w:lang w:val="id-ID"/>
        </w:rPr>
      </w:pPr>
      <w:r w:rsidRPr="00431018">
        <w:rPr>
          <w:lang w:val="id-ID"/>
        </w:rPr>
        <w:t xml:space="preserve">The figure above illustrates the majority of students assessing the role of </w:t>
      </w:r>
      <w:r w:rsidR="008576A8">
        <w:rPr>
          <w:lang w:val="id-ID"/>
        </w:rPr>
        <w:t>Transformational</w:t>
      </w:r>
      <w:r w:rsidRPr="00431018">
        <w:rPr>
          <w:lang w:val="id-ID"/>
        </w:rPr>
        <w:t xml:space="preserve"> teachers through the programs they run, including in the "Medium" category with a total of 177 students, followed by the "High" category with 104 students, and "Very High" with 76 students. Meanwhile, the "Low" and "Very Low" categories have a smaller number of students, namely 54 and 15 students respectively.</w:t>
      </w:r>
    </w:p>
    <w:p w14:paraId="2B78D913" w14:textId="45A43FC4" w:rsidR="00431018" w:rsidRPr="00431018" w:rsidRDefault="00431018" w:rsidP="00431018">
      <w:pPr>
        <w:pStyle w:val="Alishlah31text"/>
        <w:rPr>
          <w:lang w:val="id-ID"/>
        </w:rPr>
      </w:pPr>
      <w:r w:rsidRPr="00431018">
        <w:rPr>
          <w:lang w:val="id-ID"/>
        </w:rPr>
        <w:t xml:space="preserve">Students who underrate the Teacher </w:t>
      </w:r>
      <w:r w:rsidR="008576A8">
        <w:rPr>
          <w:lang w:val="id-ID"/>
        </w:rPr>
        <w:t>Transformational</w:t>
      </w:r>
      <w:r w:rsidRPr="00431018">
        <w:rPr>
          <w:lang w:val="id-ID"/>
        </w:rPr>
        <w:t xml:space="preserve"> Program, which falls into the "Low" and "Very Low" categories, have several reasons behind their assessments. First, some students feel that they are not given the opportunity to fully participate in the program, so they feel less engaged. Second, there are students who feel lazy to complete the task, despite the encouragement from the </w:t>
      </w:r>
      <w:r w:rsidR="008576A8">
        <w:rPr>
          <w:lang w:val="id-ID"/>
        </w:rPr>
        <w:t>Transformational</w:t>
      </w:r>
      <w:r w:rsidRPr="00431018">
        <w:rPr>
          <w:lang w:val="id-ID"/>
        </w:rPr>
        <w:t xml:space="preserve"> teacher, indicating a lack of intrinsic motivation. Third, some students do not have ideas and ideas when discussing, because they consider the Teacher </w:t>
      </w:r>
      <w:r w:rsidR="008576A8">
        <w:rPr>
          <w:lang w:val="id-ID"/>
        </w:rPr>
        <w:t>Transformational</w:t>
      </w:r>
      <w:r w:rsidRPr="00431018">
        <w:rPr>
          <w:lang w:val="id-ID"/>
        </w:rPr>
        <w:t xml:space="preserve"> Program boring, which causes unenthusiasm in participating in the program.</w:t>
      </w:r>
    </w:p>
    <w:p w14:paraId="360996FF" w14:textId="0AD748A8" w:rsidR="00DF106B" w:rsidRPr="004841C5" w:rsidRDefault="00DF106B" w:rsidP="00DF106B">
      <w:pPr>
        <w:pStyle w:val="Alishlah22heading2"/>
        <w:spacing w:before="120"/>
      </w:pPr>
      <w:r>
        <w:t>3</w:t>
      </w:r>
      <w:r w:rsidRPr="004841C5">
        <w:t>.</w:t>
      </w:r>
      <w:r>
        <w:t>3</w:t>
      </w:r>
      <w:r w:rsidRPr="004841C5">
        <w:t xml:space="preserve">. </w:t>
      </w:r>
      <w:r w:rsidRPr="00DF106B">
        <w:t>Categorization of Respondents Based on Religious Practices</w:t>
      </w:r>
    </w:p>
    <w:p w14:paraId="0C3D57C3" w14:textId="77777777" w:rsidR="00431018" w:rsidRDefault="00431018" w:rsidP="00431018">
      <w:pPr>
        <w:pStyle w:val="Alishlah31text"/>
      </w:pPr>
      <w:r>
        <w:t xml:space="preserve">The results of the questionnaire analysis on the Religious Practice variable show the distribution of frequency and percentage in various categories. Of the 426 respondents, 68 people (15.96%) were in the "Very High" category with a score of more than 106.75. A total of 96 people (22.54%) </w:t>
      </w:r>
      <w:proofErr w:type="gramStart"/>
      <w:r>
        <w:t>were</w:t>
      </w:r>
      <w:proofErr w:type="gramEnd"/>
      <w:r>
        <w:t xml:space="preserve"> included in the "High" category with a score between 97.92 to 106.75. The "Medium" category has the largest number of respondents, namely 137 people (32.16%) with a score between 89.08 to 97.92. A total of 86 people (20.19%) </w:t>
      </w:r>
      <w:proofErr w:type="gramStart"/>
      <w:r>
        <w:t>were</w:t>
      </w:r>
      <w:proofErr w:type="gramEnd"/>
      <w:r>
        <w:t xml:space="preserve"> included in the "Low" category with a score between 80.25 and 89.08, and 39 people (9.15%) were in the "Very Low" category with a score less than or equal to 80.25. The total number of respondents was 426 people, with a percentage of 100%.</w:t>
      </w:r>
    </w:p>
    <w:p w14:paraId="7C1DE2E8" w14:textId="285C8FC9" w:rsidR="000F46AA" w:rsidRDefault="00431018" w:rsidP="00431018">
      <w:pPr>
        <w:pStyle w:val="Alishlah31text"/>
      </w:pPr>
      <w:r>
        <w:t>For more details about the religious practices carried out by students, as shown in the following diagram:</w:t>
      </w:r>
    </w:p>
    <w:p w14:paraId="2CCC103C" w14:textId="2B978ED6" w:rsidR="00431018" w:rsidRDefault="00431018" w:rsidP="000F46AA">
      <w:pPr>
        <w:pStyle w:val="Alishlah31text"/>
        <w:jc w:val="center"/>
      </w:pPr>
    </w:p>
    <w:p w14:paraId="704F74B1" w14:textId="333C990C" w:rsidR="00431018" w:rsidRDefault="00431018" w:rsidP="000F46AA">
      <w:pPr>
        <w:pStyle w:val="Alishlah31text"/>
        <w:jc w:val="center"/>
      </w:pPr>
    </w:p>
    <w:p w14:paraId="36C826D2" w14:textId="46D47702" w:rsidR="00431018" w:rsidRDefault="00431018" w:rsidP="000F46AA">
      <w:pPr>
        <w:pStyle w:val="Alishlah31text"/>
        <w:jc w:val="center"/>
      </w:pPr>
      <w:r>
        <w:rPr>
          <w:noProof/>
        </w:rPr>
        <w:drawing>
          <wp:inline distT="0" distB="0" distL="0" distR="0" wp14:anchorId="5FE6739F" wp14:editId="55F028EE">
            <wp:extent cx="3744000" cy="1900800"/>
            <wp:effectExtent l="0" t="0" r="8890" b="4445"/>
            <wp:docPr id="1" name="Chart 1">
              <a:extLst xmlns:a="http://schemas.openxmlformats.org/drawingml/2006/main">
                <a:ext uri="{FF2B5EF4-FFF2-40B4-BE49-F238E27FC236}">
                  <a16:creationId xmlns:a16="http://schemas.microsoft.com/office/drawing/2014/main" id="{29419409-F689-4FA6-896B-4FB9AA580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FC2CA8" w14:textId="044A0473" w:rsidR="00431018" w:rsidRDefault="00431018" w:rsidP="000F46AA">
      <w:pPr>
        <w:pStyle w:val="Alishlah31text"/>
        <w:jc w:val="center"/>
      </w:pPr>
    </w:p>
    <w:p w14:paraId="269953F8" w14:textId="36E4E9F8" w:rsidR="00431018" w:rsidRPr="00431018" w:rsidRDefault="00431018" w:rsidP="000F46AA">
      <w:pPr>
        <w:pStyle w:val="Alishlah31text"/>
        <w:jc w:val="center"/>
        <w:rPr>
          <w:bCs/>
        </w:rPr>
      </w:pPr>
      <w:r w:rsidRPr="00431018">
        <w:rPr>
          <w:b/>
          <w:sz w:val="18"/>
          <w:szCs w:val="20"/>
        </w:rPr>
        <w:lastRenderedPageBreak/>
        <w:t xml:space="preserve">Figure 2. </w:t>
      </w:r>
      <w:r w:rsidRPr="00431018">
        <w:rPr>
          <w:bCs/>
          <w:sz w:val="18"/>
          <w:szCs w:val="20"/>
        </w:rPr>
        <w:t>Categorization of Religious Practice Variables</w:t>
      </w:r>
    </w:p>
    <w:p w14:paraId="7986DFC5" w14:textId="57B66F79" w:rsidR="00DF106B" w:rsidRPr="004841C5" w:rsidRDefault="00DF106B" w:rsidP="00DF106B">
      <w:pPr>
        <w:pStyle w:val="Alishlah22heading2"/>
      </w:pPr>
      <w:r>
        <w:t>3</w:t>
      </w:r>
      <w:r w:rsidRPr="004841C5">
        <w:t>.</w:t>
      </w:r>
      <w:r>
        <w:t>3</w:t>
      </w:r>
      <w:r w:rsidRPr="004841C5">
        <w:t xml:space="preserve">. </w:t>
      </w:r>
      <w:r w:rsidRPr="00DF106B">
        <w:t>Data Validity and Reliability Test</w:t>
      </w:r>
    </w:p>
    <w:p w14:paraId="55D51653" w14:textId="77777777" w:rsidR="00DF106B" w:rsidRDefault="00DF106B" w:rsidP="00DF106B">
      <w:pPr>
        <w:pStyle w:val="Alishlah31text"/>
      </w:pPr>
      <w:r>
        <w:t xml:space="preserve">To ensure the feasibility of the model as a measurement, analysis of the collected data is performed. This includes the latent relationship between the variable and its indicators. There are three types of measurements that will be used to assess feasibility, namely: Convergent Validity, Reliability, and Validity of Discrimination. </w:t>
      </w:r>
    </w:p>
    <w:p w14:paraId="4EC03991" w14:textId="5686C0D7" w:rsidR="00777FC2" w:rsidRDefault="00DF106B" w:rsidP="00DF106B">
      <w:pPr>
        <w:pStyle w:val="Alishlah31text"/>
      </w:pPr>
      <w:r>
        <w:t>Feasibility is carried out through the evaluation of the measurement model. The measurement model in this study consists of reflective and formative measurement models where the variables of religious experience are measured reflectively, while religious p</w:t>
      </w:r>
      <w:r>
        <w:rPr>
          <w:rFonts w:hint="eastAsia"/>
        </w:rPr>
        <w:t xml:space="preserve">ractices are measured </w:t>
      </w:r>
      <w:proofErr w:type="spellStart"/>
      <w:r>
        <w:rPr>
          <w:rFonts w:hint="eastAsia"/>
        </w:rPr>
        <w:t>pormatically</w:t>
      </w:r>
      <w:proofErr w:type="spellEnd"/>
      <w:r>
        <w:rPr>
          <w:rFonts w:hint="eastAsia"/>
        </w:rPr>
        <w:t xml:space="preserve"> (Hair et al., 2019b)). The evaluation of the reflective measurement model consists </w:t>
      </w:r>
      <w:proofErr w:type="gramStart"/>
      <w:r>
        <w:rPr>
          <w:rFonts w:hint="eastAsia"/>
        </w:rPr>
        <w:t>of  a</w:t>
      </w:r>
      <w:proofErr w:type="gramEnd"/>
      <w:r>
        <w:rPr>
          <w:rFonts w:hint="eastAsia"/>
        </w:rPr>
        <w:t xml:space="preserve"> loading factor of ≥ 70, composite reliability of ≥ 70, and mean variance (AVE ≥ 50) as well as the validity of the discipline, namel</w:t>
      </w:r>
      <w:r>
        <w:t xml:space="preserve">y the </w:t>
      </w:r>
      <w:proofErr w:type="spellStart"/>
      <w:r>
        <w:t>fornel</w:t>
      </w:r>
      <w:proofErr w:type="spellEnd"/>
      <w:r>
        <w:t xml:space="preserve"> and </w:t>
      </w:r>
      <w:proofErr w:type="spellStart"/>
      <w:r>
        <w:t>lacker</w:t>
      </w:r>
      <w:proofErr w:type="spellEnd"/>
      <w:r>
        <w:t xml:space="preserve"> criteria and HTMT (</w:t>
      </w:r>
      <w:proofErr w:type="spellStart"/>
      <w:r>
        <w:t>Heterotrait</w:t>
      </w:r>
      <w:proofErr w:type="spellEnd"/>
      <w:r>
        <w:t xml:space="preserve"> </w:t>
      </w:r>
      <w:proofErr w:type="spellStart"/>
      <w:r>
        <w:t>Monotrait</w:t>
      </w:r>
      <w:proofErr w:type="spellEnd"/>
      <w:r>
        <w:t xml:space="preserve"> Ratio) below 0.90. Evaluation of the formative measurement model seen from the significance of the outer </w:t>
      </w:r>
      <w:proofErr w:type="spellStart"/>
      <w:r>
        <w:t>weig</w:t>
      </w:r>
      <w:proofErr w:type="spellEnd"/>
      <w:r>
        <w:t xml:space="preserve"> and no </w:t>
      </w:r>
      <w:proofErr w:type="spellStart"/>
      <w:r>
        <w:t>multicoloniality</w:t>
      </w:r>
      <w:proofErr w:type="spellEnd"/>
      <w:r>
        <w:t xml:space="preserve"> between the measurements seen from the outer VIF below 5 (Hair et al., 2021).</w:t>
      </w:r>
    </w:p>
    <w:p w14:paraId="53FBD3DF" w14:textId="77777777" w:rsidR="004E6A15" w:rsidRDefault="004E6A15" w:rsidP="004E6A15">
      <w:pPr>
        <w:pStyle w:val="Alishlah41tablecaption"/>
        <w:spacing w:before="0"/>
        <w:rPr>
          <w:rFonts w:ascii="Garamond" w:eastAsia="Times New Roman" w:hAnsi="Garamond"/>
        </w:rPr>
      </w:pPr>
      <w:bookmarkStart w:id="1" w:name="_Hlk184975133"/>
      <w:r w:rsidRPr="004E6A15">
        <w:t>Tabel 3</w:t>
      </w:r>
      <w:r w:rsidRPr="004E6A15">
        <w:rPr>
          <w:b w:val="0"/>
          <w:bCs w:val="0"/>
        </w:rPr>
        <w:t>. Tabel Outer Weight, outer loading dan Outer VIF</w:t>
      </w:r>
    </w:p>
    <w:tbl>
      <w:tblPr>
        <w:tblW w:w="9137"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189"/>
        <w:gridCol w:w="1472"/>
        <w:gridCol w:w="1469"/>
        <w:gridCol w:w="956"/>
        <w:gridCol w:w="956"/>
        <w:gridCol w:w="1094"/>
        <w:gridCol w:w="1120"/>
        <w:gridCol w:w="956"/>
      </w:tblGrid>
      <w:tr w:rsidR="004E6A15" w:rsidRPr="009C31A8" w14:paraId="4CE79937" w14:textId="77777777" w:rsidTr="009C31A8">
        <w:trPr>
          <w:trHeight w:val="300"/>
        </w:trPr>
        <w:tc>
          <w:tcPr>
            <w:tcW w:w="1189" w:type="dxa"/>
            <w:shd w:val="clear" w:color="auto" w:fill="auto"/>
            <w:noWrap/>
            <w:vAlign w:val="center"/>
            <w:hideMark/>
          </w:tcPr>
          <w:p w14:paraId="7EFC04B9"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bookmarkStart w:id="2" w:name="_Hlk174344656"/>
            <w:proofErr w:type="spellStart"/>
            <w:r w:rsidRPr="009C31A8">
              <w:rPr>
                <w:rFonts w:ascii="Palatino Linotype" w:eastAsia="Times New Roman" w:hAnsi="Palatino Linotype" w:cs="Times New Roman"/>
                <w:b/>
                <w:bCs/>
                <w:color w:val="000000"/>
                <w:sz w:val="20"/>
                <w:szCs w:val="20"/>
              </w:rPr>
              <w:t>Variabel</w:t>
            </w:r>
            <w:proofErr w:type="spellEnd"/>
          </w:p>
        </w:tc>
        <w:tc>
          <w:tcPr>
            <w:tcW w:w="1397" w:type="dxa"/>
            <w:shd w:val="clear" w:color="auto" w:fill="auto"/>
            <w:noWrap/>
            <w:vAlign w:val="center"/>
            <w:hideMark/>
          </w:tcPr>
          <w:p w14:paraId="254E30EF"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Measurement Indicators</w:t>
            </w:r>
          </w:p>
        </w:tc>
        <w:tc>
          <w:tcPr>
            <w:tcW w:w="1469" w:type="dxa"/>
            <w:shd w:val="clear" w:color="auto" w:fill="auto"/>
            <w:noWrap/>
            <w:vAlign w:val="center"/>
            <w:hideMark/>
          </w:tcPr>
          <w:p w14:paraId="43B800E3"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Indicator</w:t>
            </w:r>
          </w:p>
        </w:tc>
        <w:tc>
          <w:tcPr>
            <w:tcW w:w="956" w:type="dxa"/>
            <w:shd w:val="clear" w:color="auto" w:fill="auto"/>
            <w:noWrap/>
            <w:vAlign w:val="center"/>
            <w:hideMark/>
          </w:tcPr>
          <w:p w14:paraId="0506E9EC"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Outer Weight</w:t>
            </w:r>
          </w:p>
        </w:tc>
        <w:tc>
          <w:tcPr>
            <w:tcW w:w="956" w:type="dxa"/>
            <w:shd w:val="clear" w:color="auto" w:fill="auto"/>
            <w:noWrap/>
            <w:vAlign w:val="center"/>
            <w:hideMark/>
          </w:tcPr>
          <w:p w14:paraId="7548B3F6"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P-Value Outer weight</w:t>
            </w:r>
          </w:p>
        </w:tc>
        <w:tc>
          <w:tcPr>
            <w:tcW w:w="1094" w:type="dxa"/>
            <w:shd w:val="clear" w:color="auto" w:fill="auto"/>
            <w:noWrap/>
            <w:vAlign w:val="center"/>
            <w:hideMark/>
          </w:tcPr>
          <w:p w14:paraId="012CCB2C"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Outer Loading</w:t>
            </w:r>
          </w:p>
        </w:tc>
        <w:tc>
          <w:tcPr>
            <w:tcW w:w="1120" w:type="dxa"/>
            <w:shd w:val="clear" w:color="auto" w:fill="auto"/>
            <w:noWrap/>
            <w:vAlign w:val="center"/>
            <w:hideMark/>
          </w:tcPr>
          <w:p w14:paraId="2E7B128E"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P-Value Outer Loading</w:t>
            </w:r>
          </w:p>
        </w:tc>
        <w:tc>
          <w:tcPr>
            <w:tcW w:w="956" w:type="dxa"/>
            <w:shd w:val="clear" w:color="auto" w:fill="auto"/>
            <w:noWrap/>
            <w:vAlign w:val="center"/>
            <w:hideMark/>
          </w:tcPr>
          <w:p w14:paraId="42839493"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Outer VIF</w:t>
            </w:r>
          </w:p>
        </w:tc>
      </w:tr>
      <w:tr w:rsidR="004E6A15" w:rsidRPr="004E6A15" w14:paraId="677654B2" w14:textId="77777777" w:rsidTr="009C31A8">
        <w:trPr>
          <w:trHeight w:val="300"/>
        </w:trPr>
        <w:tc>
          <w:tcPr>
            <w:tcW w:w="1189" w:type="dxa"/>
            <w:vMerge w:val="restart"/>
            <w:shd w:val="clear" w:color="auto" w:fill="auto"/>
            <w:noWrap/>
            <w:vAlign w:val="center"/>
          </w:tcPr>
          <w:p w14:paraId="6BEDB1FD"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Religious Practices</w:t>
            </w:r>
          </w:p>
        </w:tc>
        <w:tc>
          <w:tcPr>
            <w:tcW w:w="1397" w:type="dxa"/>
            <w:shd w:val="clear" w:color="auto" w:fill="auto"/>
            <w:noWrap/>
            <w:vAlign w:val="center"/>
          </w:tcPr>
          <w:p w14:paraId="18D21D0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Y-1</w:t>
            </w:r>
          </w:p>
        </w:tc>
        <w:tc>
          <w:tcPr>
            <w:tcW w:w="1469" w:type="dxa"/>
            <w:shd w:val="clear" w:color="auto" w:fill="auto"/>
            <w:noWrap/>
          </w:tcPr>
          <w:p w14:paraId="4FB0D249"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hAnsi="Palatino Linotype"/>
                <w:sz w:val="20"/>
                <w:szCs w:val="20"/>
              </w:rPr>
              <w:t>Maintaining solidarity</w:t>
            </w:r>
          </w:p>
        </w:tc>
        <w:tc>
          <w:tcPr>
            <w:tcW w:w="956" w:type="dxa"/>
            <w:shd w:val="clear" w:color="auto" w:fill="auto"/>
            <w:noWrap/>
          </w:tcPr>
          <w:p w14:paraId="4D802990"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0.234</w:t>
            </w:r>
          </w:p>
        </w:tc>
        <w:tc>
          <w:tcPr>
            <w:tcW w:w="956" w:type="dxa"/>
            <w:shd w:val="clear" w:color="auto" w:fill="auto"/>
            <w:noWrap/>
          </w:tcPr>
          <w:p w14:paraId="48C75A7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1094" w:type="dxa"/>
            <w:shd w:val="clear" w:color="auto" w:fill="auto"/>
            <w:noWrap/>
          </w:tcPr>
          <w:p w14:paraId="22E7842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0.780</w:t>
            </w:r>
          </w:p>
        </w:tc>
        <w:tc>
          <w:tcPr>
            <w:tcW w:w="1120" w:type="dxa"/>
            <w:shd w:val="clear" w:color="auto" w:fill="auto"/>
            <w:noWrap/>
          </w:tcPr>
          <w:p w14:paraId="26C62AC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956" w:type="dxa"/>
            <w:shd w:val="clear" w:color="auto" w:fill="auto"/>
            <w:noWrap/>
          </w:tcPr>
          <w:p w14:paraId="1B64073C"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1.894</w:t>
            </w:r>
          </w:p>
        </w:tc>
      </w:tr>
      <w:tr w:rsidR="004E6A15" w:rsidRPr="004E6A15" w14:paraId="720BB5D6" w14:textId="77777777" w:rsidTr="009C31A8">
        <w:trPr>
          <w:trHeight w:val="300"/>
        </w:trPr>
        <w:tc>
          <w:tcPr>
            <w:tcW w:w="1189" w:type="dxa"/>
            <w:vMerge/>
            <w:shd w:val="clear" w:color="auto" w:fill="auto"/>
            <w:noWrap/>
            <w:vAlign w:val="center"/>
          </w:tcPr>
          <w:p w14:paraId="419C30F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397" w:type="dxa"/>
            <w:shd w:val="clear" w:color="auto" w:fill="auto"/>
            <w:noWrap/>
            <w:vAlign w:val="center"/>
          </w:tcPr>
          <w:p w14:paraId="200E663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Y-2</w:t>
            </w:r>
          </w:p>
        </w:tc>
        <w:tc>
          <w:tcPr>
            <w:tcW w:w="1469" w:type="dxa"/>
            <w:shd w:val="clear" w:color="auto" w:fill="auto"/>
            <w:noWrap/>
          </w:tcPr>
          <w:p w14:paraId="63733B11"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hAnsi="Palatino Linotype"/>
                <w:sz w:val="20"/>
                <w:szCs w:val="20"/>
              </w:rPr>
              <w:t>Strengthening social bonds</w:t>
            </w:r>
          </w:p>
        </w:tc>
        <w:tc>
          <w:tcPr>
            <w:tcW w:w="956" w:type="dxa"/>
            <w:shd w:val="clear" w:color="auto" w:fill="auto"/>
            <w:noWrap/>
          </w:tcPr>
          <w:p w14:paraId="56ADF023"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0.212</w:t>
            </w:r>
          </w:p>
        </w:tc>
        <w:tc>
          <w:tcPr>
            <w:tcW w:w="956" w:type="dxa"/>
            <w:shd w:val="clear" w:color="auto" w:fill="auto"/>
            <w:noWrap/>
          </w:tcPr>
          <w:p w14:paraId="69E25D4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1094" w:type="dxa"/>
            <w:shd w:val="clear" w:color="auto" w:fill="auto"/>
            <w:noWrap/>
          </w:tcPr>
          <w:p w14:paraId="2C227D70"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0.702</w:t>
            </w:r>
          </w:p>
        </w:tc>
        <w:tc>
          <w:tcPr>
            <w:tcW w:w="1120" w:type="dxa"/>
            <w:shd w:val="clear" w:color="auto" w:fill="auto"/>
            <w:noWrap/>
          </w:tcPr>
          <w:p w14:paraId="4232EE1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956" w:type="dxa"/>
            <w:shd w:val="clear" w:color="auto" w:fill="auto"/>
            <w:noWrap/>
          </w:tcPr>
          <w:p w14:paraId="36E45E8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1.583</w:t>
            </w:r>
          </w:p>
        </w:tc>
      </w:tr>
      <w:tr w:rsidR="004E6A15" w:rsidRPr="004E6A15" w14:paraId="32C7AA1A" w14:textId="77777777" w:rsidTr="009C31A8">
        <w:trPr>
          <w:trHeight w:val="300"/>
        </w:trPr>
        <w:tc>
          <w:tcPr>
            <w:tcW w:w="1189" w:type="dxa"/>
            <w:vMerge/>
            <w:shd w:val="clear" w:color="auto" w:fill="auto"/>
            <w:noWrap/>
            <w:vAlign w:val="center"/>
          </w:tcPr>
          <w:p w14:paraId="464BCD8D"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397" w:type="dxa"/>
            <w:shd w:val="clear" w:color="auto" w:fill="auto"/>
            <w:noWrap/>
            <w:vAlign w:val="center"/>
          </w:tcPr>
          <w:p w14:paraId="651968F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Y-3</w:t>
            </w:r>
          </w:p>
        </w:tc>
        <w:tc>
          <w:tcPr>
            <w:tcW w:w="1469" w:type="dxa"/>
            <w:shd w:val="clear" w:color="auto" w:fill="auto"/>
            <w:noWrap/>
          </w:tcPr>
          <w:p w14:paraId="1ADCEEA1"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hAnsi="Palatino Linotype"/>
                <w:sz w:val="20"/>
                <w:szCs w:val="20"/>
              </w:rPr>
              <w:t>Promotes a sense of unity</w:t>
            </w:r>
          </w:p>
        </w:tc>
        <w:tc>
          <w:tcPr>
            <w:tcW w:w="956" w:type="dxa"/>
            <w:shd w:val="clear" w:color="auto" w:fill="auto"/>
            <w:noWrap/>
          </w:tcPr>
          <w:p w14:paraId="28BB459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0.267</w:t>
            </w:r>
          </w:p>
        </w:tc>
        <w:tc>
          <w:tcPr>
            <w:tcW w:w="956" w:type="dxa"/>
            <w:shd w:val="clear" w:color="auto" w:fill="auto"/>
            <w:noWrap/>
          </w:tcPr>
          <w:p w14:paraId="336AA1E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1094" w:type="dxa"/>
            <w:shd w:val="clear" w:color="auto" w:fill="auto"/>
            <w:noWrap/>
          </w:tcPr>
          <w:p w14:paraId="1CD1FD27"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0.848</w:t>
            </w:r>
          </w:p>
        </w:tc>
        <w:tc>
          <w:tcPr>
            <w:tcW w:w="1120" w:type="dxa"/>
            <w:shd w:val="clear" w:color="auto" w:fill="auto"/>
            <w:noWrap/>
          </w:tcPr>
          <w:p w14:paraId="3EE979A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956" w:type="dxa"/>
            <w:shd w:val="clear" w:color="auto" w:fill="auto"/>
            <w:noWrap/>
          </w:tcPr>
          <w:p w14:paraId="1DED46F3"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2.328</w:t>
            </w:r>
          </w:p>
        </w:tc>
      </w:tr>
      <w:tr w:rsidR="004E6A15" w:rsidRPr="004E6A15" w14:paraId="56DA7A3C" w14:textId="77777777" w:rsidTr="009C31A8">
        <w:trPr>
          <w:trHeight w:val="300"/>
        </w:trPr>
        <w:tc>
          <w:tcPr>
            <w:tcW w:w="1189" w:type="dxa"/>
            <w:vMerge/>
            <w:shd w:val="clear" w:color="auto" w:fill="auto"/>
            <w:noWrap/>
            <w:vAlign w:val="center"/>
          </w:tcPr>
          <w:p w14:paraId="30D56869"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397" w:type="dxa"/>
            <w:shd w:val="clear" w:color="auto" w:fill="auto"/>
            <w:noWrap/>
            <w:vAlign w:val="center"/>
          </w:tcPr>
          <w:p w14:paraId="06134A22"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Y-4</w:t>
            </w:r>
          </w:p>
        </w:tc>
        <w:tc>
          <w:tcPr>
            <w:tcW w:w="1469" w:type="dxa"/>
            <w:shd w:val="clear" w:color="auto" w:fill="auto"/>
            <w:noWrap/>
          </w:tcPr>
          <w:p w14:paraId="2D0FA07E"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hAnsi="Palatino Linotype"/>
                <w:sz w:val="20"/>
                <w:szCs w:val="20"/>
              </w:rPr>
              <w:t>Worship (religious)</w:t>
            </w:r>
          </w:p>
        </w:tc>
        <w:tc>
          <w:tcPr>
            <w:tcW w:w="956" w:type="dxa"/>
            <w:shd w:val="clear" w:color="auto" w:fill="auto"/>
            <w:noWrap/>
          </w:tcPr>
          <w:p w14:paraId="4B8CC6B5"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0.245</w:t>
            </w:r>
          </w:p>
        </w:tc>
        <w:tc>
          <w:tcPr>
            <w:tcW w:w="956" w:type="dxa"/>
            <w:shd w:val="clear" w:color="auto" w:fill="auto"/>
            <w:noWrap/>
          </w:tcPr>
          <w:p w14:paraId="72AFEBC9"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1094" w:type="dxa"/>
            <w:shd w:val="clear" w:color="auto" w:fill="auto"/>
            <w:noWrap/>
          </w:tcPr>
          <w:p w14:paraId="61F57CA6"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0.796</w:t>
            </w:r>
          </w:p>
        </w:tc>
        <w:tc>
          <w:tcPr>
            <w:tcW w:w="1120" w:type="dxa"/>
            <w:shd w:val="clear" w:color="auto" w:fill="auto"/>
            <w:noWrap/>
          </w:tcPr>
          <w:p w14:paraId="21BBC53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956" w:type="dxa"/>
            <w:shd w:val="clear" w:color="auto" w:fill="auto"/>
            <w:noWrap/>
          </w:tcPr>
          <w:p w14:paraId="3B8ACCA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1.926</w:t>
            </w:r>
          </w:p>
        </w:tc>
      </w:tr>
      <w:tr w:rsidR="004E6A15" w:rsidRPr="004E6A15" w14:paraId="3C4815E4" w14:textId="77777777" w:rsidTr="009C31A8">
        <w:trPr>
          <w:trHeight w:val="300"/>
        </w:trPr>
        <w:tc>
          <w:tcPr>
            <w:tcW w:w="1189" w:type="dxa"/>
            <w:vMerge/>
            <w:shd w:val="clear" w:color="auto" w:fill="auto"/>
            <w:noWrap/>
            <w:vAlign w:val="center"/>
          </w:tcPr>
          <w:p w14:paraId="16903FE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397" w:type="dxa"/>
            <w:shd w:val="clear" w:color="auto" w:fill="auto"/>
            <w:noWrap/>
            <w:vAlign w:val="center"/>
          </w:tcPr>
          <w:p w14:paraId="36EFDD7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Y-5</w:t>
            </w:r>
          </w:p>
        </w:tc>
        <w:tc>
          <w:tcPr>
            <w:tcW w:w="1469" w:type="dxa"/>
            <w:shd w:val="clear" w:color="auto" w:fill="auto"/>
            <w:noWrap/>
          </w:tcPr>
          <w:p w14:paraId="2B106E62"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hAnsi="Palatino Linotype"/>
                <w:sz w:val="20"/>
                <w:szCs w:val="20"/>
              </w:rPr>
              <w:t>Practice (</w:t>
            </w:r>
            <w:proofErr w:type="spellStart"/>
            <w:r w:rsidRPr="004E6A15">
              <w:rPr>
                <w:rFonts w:ascii="Palatino Linotype" w:hAnsi="Palatino Linotype"/>
                <w:sz w:val="20"/>
                <w:szCs w:val="20"/>
              </w:rPr>
              <w:t>manipestasi</w:t>
            </w:r>
            <w:proofErr w:type="spellEnd"/>
            <w:r w:rsidRPr="004E6A15">
              <w:rPr>
                <w:rFonts w:ascii="Palatino Linotype" w:hAnsi="Palatino Linotype"/>
                <w:sz w:val="20"/>
                <w:szCs w:val="20"/>
              </w:rPr>
              <w:t>)</w:t>
            </w:r>
          </w:p>
        </w:tc>
        <w:tc>
          <w:tcPr>
            <w:tcW w:w="956" w:type="dxa"/>
            <w:shd w:val="clear" w:color="auto" w:fill="auto"/>
            <w:noWrap/>
          </w:tcPr>
          <w:p w14:paraId="30677002"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0.277</w:t>
            </w:r>
          </w:p>
        </w:tc>
        <w:tc>
          <w:tcPr>
            <w:tcW w:w="956" w:type="dxa"/>
            <w:shd w:val="clear" w:color="auto" w:fill="auto"/>
            <w:noWrap/>
          </w:tcPr>
          <w:p w14:paraId="0B40BE5E"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1094" w:type="dxa"/>
            <w:shd w:val="clear" w:color="auto" w:fill="auto"/>
            <w:noWrap/>
          </w:tcPr>
          <w:p w14:paraId="4DD3D41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0.889</w:t>
            </w:r>
          </w:p>
        </w:tc>
        <w:tc>
          <w:tcPr>
            <w:tcW w:w="1120" w:type="dxa"/>
            <w:shd w:val="clear" w:color="auto" w:fill="auto"/>
            <w:noWrap/>
          </w:tcPr>
          <w:p w14:paraId="527D7709"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0.000</w:t>
            </w:r>
          </w:p>
        </w:tc>
        <w:tc>
          <w:tcPr>
            <w:tcW w:w="956" w:type="dxa"/>
            <w:shd w:val="clear" w:color="auto" w:fill="auto"/>
            <w:noWrap/>
          </w:tcPr>
          <w:p w14:paraId="324C82F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sz w:val="20"/>
                <w:szCs w:val="20"/>
              </w:rPr>
              <w:t>2.898</w:t>
            </w:r>
          </w:p>
        </w:tc>
      </w:tr>
      <w:bookmarkEnd w:id="2"/>
    </w:tbl>
    <w:p w14:paraId="347CAA77" w14:textId="77777777" w:rsidR="004E6A15" w:rsidRDefault="004E6A15" w:rsidP="004E6A15">
      <w:pPr>
        <w:spacing w:after="0" w:line="240" w:lineRule="auto"/>
        <w:jc w:val="center"/>
        <w:rPr>
          <w:rFonts w:ascii="Garamond" w:eastAsia="Times New Roman" w:hAnsi="Garamond" w:cs="Times New Roman"/>
          <w:color w:val="000000"/>
        </w:rPr>
      </w:pPr>
    </w:p>
    <w:p w14:paraId="210F1CEB" w14:textId="77777777" w:rsidR="004E6A15" w:rsidRPr="004E6A15" w:rsidRDefault="004E6A15" w:rsidP="004E6A15">
      <w:pPr>
        <w:pStyle w:val="Alishlah31text"/>
      </w:pPr>
      <w:r w:rsidRPr="004E6A15">
        <w:t xml:space="preserve">Based on the table above, the results of the analysis on religious practices, with indicators: maintaining solidarity (Y-1), strengthening social ties (Y-2), encouraging a sense of unity (Y-3), worship (religious) (Y-4), practice (manifestation) (Y-5), having an outer </w:t>
      </w:r>
      <w:proofErr w:type="spellStart"/>
      <w:r w:rsidRPr="004E6A15">
        <w:t>loding</w:t>
      </w:r>
      <w:proofErr w:type="spellEnd"/>
      <w:r w:rsidRPr="004E6A15">
        <w:t xml:space="preserve"> above 0.70 means that it contributes significantly to the improvement of religious practice.</w:t>
      </w:r>
    </w:p>
    <w:p w14:paraId="5BD533EB" w14:textId="77777777" w:rsidR="004E6A15" w:rsidRPr="004E6A15" w:rsidRDefault="004E6A15" w:rsidP="004E6A15">
      <w:pPr>
        <w:pStyle w:val="Alishlah31text"/>
      </w:pPr>
      <w:r w:rsidRPr="004E6A15">
        <w:t>An examination of the formative measurement model shows that all the outer VIF values are less than 5, which means that there is no multicollinearity between the measurement items. All indicators with outer loading above 0.50 are maintained in the model according to the theory and formative measurement procedure recommended by Hair et al. (2021).</w:t>
      </w:r>
    </w:p>
    <w:p w14:paraId="1D35A254" w14:textId="77777777" w:rsidR="004E6A15" w:rsidRPr="004E6A15" w:rsidRDefault="004E6A15" w:rsidP="004E6A15">
      <w:pPr>
        <w:pStyle w:val="Alishlah31text"/>
      </w:pPr>
      <w:r w:rsidRPr="004E6A15">
        <w:t>Thus, the results of this analysis show that various indicators have a significant influence on self-regulation and religious practices, with some indicators showing a stronger influence than others.</w:t>
      </w:r>
    </w:p>
    <w:p w14:paraId="2DA12FD5" w14:textId="77777777" w:rsidR="004E6A15" w:rsidRPr="00516A51" w:rsidRDefault="004E6A15" w:rsidP="004E6A15">
      <w:pPr>
        <w:pStyle w:val="Alishlah41tablecaption"/>
        <w:spacing w:before="0"/>
        <w:rPr>
          <w:rFonts w:ascii="Garamond" w:eastAsia="Times New Roman" w:hAnsi="Garamond"/>
          <w:b w:val="0"/>
          <w:bCs w:val="0"/>
          <w:lang w:val="en-ID"/>
        </w:rPr>
      </w:pPr>
      <w:r w:rsidRPr="004E6A15">
        <w:t>Tabel 4</w:t>
      </w:r>
      <w:r w:rsidRPr="004E6A15">
        <w:rPr>
          <w:b w:val="0"/>
          <w:bCs w:val="0"/>
        </w:rPr>
        <w:t xml:space="preserve">. Tabel outer loading, Composite </w:t>
      </w:r>
      <w:proofErr w:type="spellStart"/>
      <w:r w:rsidRPr="004E6A15">
        <w:rPr>
          <w:b w:val="0"/>
          <w:bCs w:val="0"/>
        </w:rPr>
        <w:t>Reliabelity</w:t>
      </w:r>
      <w:proofErr w:type="spellEnd"/>
      <w:r w:rsidRPr="004E6A15">
        <w:rPr>
          <w:b w:val="0"/>
          <w:bCs w:val="0"/>
        </w:rPr>
        <w:t xml:space="preserve"> dan AVE</w:t>
      </w:r>
    </w:p>
    <w:p w14:paraId="00E3B008" w14:textId="41C969EB" w:rsidR="004E6A15" w:rsidRPr="004E6A15" w:rsidRDefault="004E6A15" w:rsidP="004E6A15">
      <w:pPr>
        <w:jc w:val="center"/>
        <w:rPr>
          <w:rFonts w:ascii="Palatino Linotype" w:hAnsi="Palatino Linotype"/>
          <w:sz w:val="20"/>
          <w:szCs w:val="20"/>
        </w:rPr>
      </w:pPr>
      <w:r w:rsidRPr="004E6A15">
        <w:rPr>
          <w:rFonts w:ascii="Palatino Linotype" w:hAnsi="Palatino Linotype"/>
          <w:sz w:val="20"/>
          <w:szCs w:val="20"/>
        </w:rPr>
        <w:t>Stage 1</w:t>
      </w:r>
    </w:p>
    <w:tbl>
      <w:tblPr>
        <w:tblW w:w="8817"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58"/>
        <w:gridCol w:w="1472"/>
        <w:gridCol w:w="2498"/>
        <w:gridCol w:w="971"/>
        <w:gridCol w:w="1205"/>
        <w:gridCol w:w="953"/>
      </w:tblGrid>
      <w:tr w:rsidR="004E6A15" w:rsidRPr="009C31A8" w14:paraId="535EA245" w14:textId="77777777" w:rsidTr="009C31A8">
        <w:trPr>
          <w:trHeight w:val="300"/>
        </w:trPr>
        <w:tc>
          <w:tcPr>
            <w:tcW w:w="1745" w:type="dxa"/>
            <w:shd w:val="clear" w:color="auto" w:fill="auto"/>
            <w:noWrap/>
            <w:vAlign w:val="center"/>
            <w:hideMark/>
          </w:tcPr>
          <w:p w14:paraId="39E4DF99"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proofErr w:type="spellStart"/>
            <w:r w:rsidRPr="009C31A8">
              <w:rPr>
                <w:rFonts w:ascii="Palatino Linotype" w:eastAsia="Times New Roman" w:hAnsi="Palatino Linotype" w:cs="Times New Roman"/>
                <w:b/>
                <w:bCs/>
                <w:color w:val="000000"/>
                <w:sz w:val="20"/>
                <w:szCs w:val="20"/>
              </w:rPr>
              <w:t>Variabel</w:t>
            </w:r>
            <w:proofErr w:type="spellEnd"/>
          </w:p>
        </w:tc>
        <w:tc>
          <w:tcPr>
            <w:tcW w:w="1461" w:type="dxa"/>
            <w:shd w:val="clear" w:color="auto" w:fill="auto"/>
            <w:noWrap/>
            <w:vAlign w:val="center"/>
            <w:hideMark/>
          </w:tcPr>
          <w:p w14:paraId="1C62CF5F" w14:textId="610B3E80"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Measurement Indicators</w:t>
            </w:r>
          </w:p>
        </w:tc>
        <w:tc>
          <w:tcPr>
            <w:tcW w:w="2498" w:type="dxa"/>
            <w:shd w:val="clear" w:color="auto" w:fill="auto"/>
            <w:noWrap/>
            <w:vAlign w:val="center"/>
            <w:hideMark/>
          </w:tcPr>
          <w:p w14:paraId="15BA25D6" w14:textId="5189EDD8"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Indicator</w:t>
            </w:r>
          </w:p>
        </w:tc>
        <w:tc>
          <w:tcPr>
            <w:tcW w:w="964" w:type="dxa"/>
            <w:shd w:val="clear" w:color="auto" w:fill="auto"/>
            <w:noWrap/>
            <w:vAlign w:val="center"/>
            <w:hideMark/>
          </w:tcPr>
          <w:p w14:paraId="214A50AB"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Outer Loading</w:t>
            </w:r>
          </w:p>
        </w:tc>
        <w:tc>
          <w:tcPr>
            <w:tcW w:w="1196" w:type="dxa"/>
            <w:shd w:val="clear" w:color="auto" w:fill="auto"/>
            <w:noWrap/>
            <w:vAlign w:val="center"/>
            <w:hideMark/>
          </w:tcPr>
          <w:p w14:paraId="3B05865D"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Composite Reliability</w:t>
            </w:r>
          </w:p>
        </w:tc>
        <w:tc>
          <w:tcPr>
            <w:tcW w:w="953" w:type="dxa"/>
            <w:shd w:val="clear" w:color="auto" w:fill="auto"/>
            <w:noWrap/>
            <w:vAlign w:val="center"/>
            <w:hideMark/>
          </w:tcPr>
          <w:p w14:paraId="5E007A3F"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AVE</w:t>
            </w:r>
          </w:p>
        </w:tc>
      </w:tr>
      <w:tr w:rsidR="004E6A15" w:rsidRPr="004E6A15" w14:paraId="06B2F56D" w14:textId="77777777" w:rsidTr="009C31A8">
        <w:trPr>
          <w:trHeight w:val="300"/>
        </w:trPr>
        <w:tc>
          <w:tcPr>
            <w:tcW w:w="1745" w:type="dxa"/>
            <w:vMerge w:val="restart"/>
            <w:shd w:val="clear" w:color="auto" w:fill="auto"/>
            <w:noWrap/>
            <w:vAlign w:val="center"/>
          </w:tcPr>
          <w:p w14:paraId="708413AB" w14:textId="2A3878E1"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 xml:space="preserve">Transformational Teacher (Guru </w:t>
            </w:r>
            <w:r w:rsidRPr="004E6A15">
              <w:rPr>
                <w:rFonts w:ascii="Palatino Linotype" w:eastAsia="Times New Roman" w:hAnsi="Palatino Linotype" w:cs="Times New Roman"/>
                <w:color w:val="000000"/>
                <w:sz w:val="20"/>
                <w:szCs w:val="20"/>
              </w:rPr>
              <w:lastRenderedPageBreak/>
              <w:t>Penggerak) Program</w:t>
            </w:r>
          </w:p>
        </w:tc>
        <w:tc>
          <w:tcPr>
            <w:tcW w:w="1461" w:type="dxa"/>
            <w:shd w:val="clear" w:color="auto" w:fill="auto"/>
            <w:noWrap/>
            <w:vAlign w:val="center"/>
          </w:tcPr>
          <w:p w14:paraId="15F388D3"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lastRenderedPageBreak/>
              <w:t>X-1</w:t>
            </w:r>
          </w:p>
        </w:tc>
        <w:tc>
          <w:tcPr>
            <w:tcW w:w="2498" w:type="dxa"/>
            <w:shd w:val="clear" w:color="auto" w:fill="auto"/>
            <w:noWrap/>
          </w:tcPr>
          <w:p w14:paraId="3AD4CA50" w14:textId="02448820"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Aligning with Students</w:t>
            </w:r>
          </w:p>
        </w:tc>
        <w:tc>
          <w:tcPr>
            <w:tcW w:w="964" w:type="dxa"/>
            <w:shd w:val="clear" w:color="auto" w:fill="auto"/>
            <w:noWrap/>
          </w:tcPr>
          <w:p w14:paraId="106239B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0.682</w:t>
            </w:r>
          </w:p>
        </w:tc>
        <w:tc>
          <w:tcPr>
            <w:tcW w:w="1196" w:type="dxa"/>
            <w:vMerge w:val="restart"/>
            <w:shd w:val="clear" w:color="auto" w:fill="auto"/>
            <w:noWrap/>
            <w:vAlign w:val="center"/>
          </w:tcPr>
          <w:p w14:paraId="234D662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0.867</w:t>
            </w:r>
          </w:p>
        </w:tc>
        <w:tc>
          <w:tcPr>
            <w:tcW w:w="953" w:type="dxa"/>
            <w:vMerge w:val="restart"/>
            <w:shd w:val="clear" w:color="auto" w:fill="auto"/>
            <w:noWrap/>
            <w:vAlign w:val="center"/>
          </w:tcPr>
          <w:p w14:paraId="6B55520A" w14:textId="77777777" w:rsidR="004E6A15" w:rsidRPr="004E6A15" w:rsidRDefault="004E6A15" w:rsidP="004E6A15">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0.639</w:t>
            </w:r>
          </w:p>
          <w:p w14:paraId="43394258" w14:textId="77777777" w:rsidR="004E6A15" w:rsidRPr="004E6A15" w:rsidRDefault="004E6A15" w:rsidP="004E6A15">
            <w:pPr>
              <w:spacing w:after="0" w:line="240" w:lineRule="auto"/>
              <w:jc w:val="center"/>
              <w:rPr>
                <w:rFonts w:ascii="Palatino Linotype" w:eastAsia="Times New Roman" w:hAnsi="Palatino Linotype" w:cs="Times New Roman"/>
                <w:color w:val="000000"/>
                <w:sz w:val="20"/>
                <w:szCs w:val="20"/>
              </w:rPr>
            </w:pPr>
          </w:p>
        </w:tc>
      </w:tr>
      <w:tr w:rsidR="004E6A15" w:rsidRPr="004E6A15" w14:paraId="67906CE4" w14:textId="77777777" w:rsidTr="009C31A8">
        <w:trPr>
          <w:trHeight w:val="300"/>
        </w:trPr>
        <w:tc>
          <w:tcPr>
            <w:tcW w:w="1745" w:type="dxa"/>
            <w:vMerge/>
            <w:shd w:val="clear" w:color="auto" w:fill="auto"/>
            <w:noWrap/>
            <w:vAlign w:val="center"/>
          </w:tcPr>
          <w:p w14:paraId="1A7E06B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61" w:type="dxa"/>
            <w:shd w:val="clear" w:color="auto" w:fill="auto"/>
            <w:noWrap/>
            <w:vAlign w:val="center"/>
          </w:tcPr>
          <w:p w14:paraId="6FD3F26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X-2</w:t>
            </w:r>
          </w:p>
        </w:tc>
        <w:tc>
          <w:tcPr>
            <w:tcW w:w="2498" w:type="dxa"/>
            <w:shd w:val="clear" w:color="auto" w:fill="auto"/>
            <w:noWrap/>
          </w:tcPr>
          <w:p w14:paraId="3106DFB7" w14:textId="213EFE35"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Reflective</w:t>
            </w:r>
          </w:p>
        </w:tc>
        <w:tc>
          <w:tcPr>
            <w:tcW w:w="964" w:type="dxa"/>
            <w:shd w:val="clear" w:color="auto" w:fill="auto"/>
            <w:noWrap/>
          </w:tcPr>
          <w:p w14:paraId="6FC12CD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0.730</w:t>
            </w:r>
          </w:p>
        </w:tc>
        <w:tc>
          <w:tcPr>
            <w:tcW w:w="1196" w:type="dxa"/>
            <w:vMerge/>
            <w:shd w:val="clear" w:color="auto" w:fill="auto"/>
            <w:noWrap/>
            <w:vAlign w:val="center"/>
          </w:tcPr>
          <w:p w14:paraId="60E2519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tcPr>
          <w:p w14:paraId="656179F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4E6A15" w:rsidRPr="004E6A15" w14:paraId="44479AD3" w14:textId="77777777" w:rsidTr="009C31A8">
        <w:trPr>
          <w:trHeight w:val="300"/>
        </w:trPr>
        <w:tc>
          <w:tcPr>
            <w:tcW w:w="1745" w:type="dxa"/>
            <w:vMerge/>
            <w:shd w:val="clear" w:color="auto" w:fill="auto"/>
            <w:noWrap/>
            <w:vAlign w:val="center"/>
          </w:tcPr>
          <w:p w14:paraId="2AAE4C35"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61" w:type="dxa"/>
            <w:shd w:val="clear" w:color="auto" w:fill="auto"/>
            <w:noWrap/>
            <w:vAlign w:val="center"/>
          </w:tcPr>
          <w:p w14:paraId="7BAE5DE0"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X-3</w:t>
            </w:r>
          </w:p>
        </w:tc>
        <w:tc>
          <w:tcPr>
            <w:tcW w:w="2498" w:type="dxa"/>
            <w:shd w:val="clear" w:color="auto" w:fill="auto"/>
            <w:noWrap/>
          </w:tcPr>
          <w:p w14:paraId="6B54454C" w14:textId="74B5AA9F"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Self-sufficient</w:t>
            </w:r>
          </w:p>
        </w:tc>
        <w:tc>
          <w:tcPr>
            <w:tcW w:w="964" w:type="dxa"/>
            <w:shd w:val="clear" w:color="auto" w:fill="auto"/>
            <w:noWrap/>
          </w:tcPr>
          <w:p w14:paraId="1AF3563E"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0.823</w:t>
            </w:r>
          </w:p>
        </w:tc>
        <w:tc>
          <w:tcPr>
            <w:tcW w:w="1196" w:type="dxa"/>
            <w:vMerge/>
            <w:shd w:val="clear" w:color="auto" w:fill="auto"/>
            <w:noWrap/>
            <w:vAlign w:val="center"/>
          </w:tcPr>
          <w:p w14:paraId="0440561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tcPr>
          <w:p w14:paraId="3332F0A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4E6A15" w:rsidRPr="004E6A15" w14:paraId="3E7E3686" w14:textId="77777777" w:rsidTr="009C31A8">
        <w:trPr>
          <w:trHeight w:val="300"/>
        </w:trPr>
        <w:tc>
          <w:tcPr>
            <w:tcW w:w="1745" w:type="dxa"/>
            <w:vMerge/>
            <w:shd w:val="clear" w:color="auto" w:fill="auto"/>
            <w:noWrap/>
            <w:vAlign w:val="center"/>
          </w:tcPr>
          <w:p w14:paraId="0A0B6E2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61" w:type="dxa"/>
            <w:shd w:val="clear" w:color="auto" w:fill="auto"/>
            <w:noWrap/>
            <w:vAlign w:val="center"/>
          </w:tcPr>
          <w:p w14:paraId="738E0F1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X-4</w:t>
            </w:r>
          </w:p>
        </w:tc>
        <w:tc>
          <w:tcPr>
            <w:tcW w:w="2498" w:type="dxa"/>
            <w:shd w:val="clear" w:color="auto" w:fill="auto"/>
            <w:noWrap/>
          </w:tcPr>
          <w:p w14:paraId="2BE67473" w14:textId="36E10C2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Collaborative</w:t>
            </w:r>
          </w:p>
        </w:tc>
        <w:tc>
          <w:tcPr>
            <w:tcW w:w="964" w:type="dxa"/>
            <w:shd w:val="clear" w:color="auto" w:fill="auto"/>
            <w:noWrap/>
          </w:tcPr>
          <w:p w14:paraId="430E1A26"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0.759</w:t>
            </w:r>
          </w:p>
        </w:tc>
        <w:tc>
          <w:tcPr>
            <w:tcW w:w="1196" w:type="dxa"/>
            <w:vMerge/>
            <w:shd w:val="clear" w:color="auto" w:fill="auto"/>
            <w:noWrap/>
            <w:vAlign w:val="center"/>
          </w:tcPr>
          <w:p w14:paraId="0F0DEA6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23E5B5D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4E6A15" w:rsidRPr="004E6A15" w14:paraId="35BBE010" w14:textId="77777777" w:rsidTr="009C31A8">
        <w:trPr>
          <w:trHeight w:val="300"/>
        </w:trPr>
        <w:tc>
          <w:tcPr>
            <w:tcW w:w="1745" w:type="dxa"/>
            <w:vMerge/>
            <w:shd w:val="clear" w:color="auto" w:fill="auto"/>
            <w:noWrap/>
            <w:vAlign w:val="center"/>
          </w:tcPr>
          <w:p w14:paraId="0AFE93B7"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61" w:type="dxa"/>
            <w:shd w:val="clear" w:color="auto" w:fill="auto"/>
            <w:noWrap/>
            <w:vAlign w:val="center"/>
          </w:tcPr>
          <w:p w14:paraId="63758F92"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X-5</w:t>
            </w:r>
          </w:p>
        </w:tc>
        <w:tc>
          <w:tcPr>
            <w:tcW w:w="2498" w:type="dxa"/>
            <w:shd w:val="clear" w:color="auto" w:fill="auto"/>
            <w:noWrap/>
          </w:tcPr>
          <w:p w14:paraId="3011C7CE" w14:textId="41588916"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Innovative</w:t>
            </w:r>
          </w:p>
        </w:tc>
        <w:tc>
          <w:tcPr>
            <w:tcW w:w="964" w:type="dxa"/>
            <w:shd w:val="clear" w:color="auto" w:fill="auto"/>
            <w:noWrap/>
          </w:tcPr>
          <w:p w14:paraId="352AF5A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0.805</w:t>
            </w:r>
          </w:p>
        </w:tc>
        <w:tc>
          <w:tcPr>
            <w:tcW w:w="1196" w:type="dxa"/>
            <w:vMerge/>
            <w:shd w:val="clear" w:color="auto" w:fill="auto"/>
            <w:noWrap/>
            <w:vAlign w:val="center"/>
          </w:tcPr>
          <w:p w14:paraId="4C1F4DB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67F4CF26"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4E6A15" w:rsidRPr="004E6A15" w14:paraId="36FAFFA5" w14:textId="77777777" w:rsidTr="009C31A8">
        <w:trPr>
          <w:trHeight w:val="300"/>
        </w:trPr>
        <w:tc>
          <w:tcPr>
            <w:tcW w:w="1745" w:type="dxa"/>
            <w:vMerge/>
            <w:shd w:val="clear" w:color="auto" w:fill="auto"/>
            <w:noWrap/>
            <w:vAlign w:val="center"/>
          </w:tcPr>
          <w:p w14:paraId="038F97F0"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61" w:type="dxa"/>
            <w:shd w:val="clear" w:color="auto" w:fill="auto"/>
            <w:noWrap/>
            <w:vAlign w:val="center"/>
          </w:tcPr>
          <w:p w14:paraId="36C488A9"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X-6</w:t>
            </w:r>
          </w:p>
        </w:tc>
        <w:tc>
          <w:tcPr>
            <w:tcW w:w="2498" w:type="dxa"/>
            <w:shd w:val="clear" w:color="auto" w:fill="auto"/>
            <w:noWrap/>
          </w:tcPr>
          <w:p w14:paraId="2CBB9742" w14:textId="7AE63500"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Pancasila Student Profile</w:t>
            </w:r>
          </w:p>
        </w:tc>
        <w:tc>
          <w:tcPr>
            <w:tcW w:w="964" w:type="dxa"/>
            <w:shd w:val="clear" w:color="auto" w:fill="auto"/>
            <w:noWrap/>
          </w:tcPr>
          <w:p w14:paraId="33A68CF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0.834</w:t>
            </w:r>
          </w:p>
        </w:tc>
        <w:tc>
          <w:tcPr>
            <w:tcW w:w="1196" w:type="dxa"/>
            <w:vMerge/>
            <w:shd w:val="clear" w:color="auto" w:fill="auto"/>
            <w:noWrap/>
            <w:vAlign w:val="center"/>
          </w:tcPr>
          <w:p w14:paraId="177B3009"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6BEE7B3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bl>
    <w:p w14:paraId="562E3C2D" w14:textId="77777777" w:rsidR="004E6A15" w:rsidRDefault="004E6A15" w:rsidP="004E6A15">
      <w:pPr>
        <w:pStyle w:val="Alishlah31text"/>
        <w:rPr>
          <w:rFonts w:asciiTheme="majorBidi" w:hAnsiTheme="majorBidi" w:cstheme="majorBidi"/>
          <w:sz w:val="24"/>
          <w:szCs w:val="24"/>
        </w:rPr>
      </w:pPr>
      <w:r w:rsidRPr="004E6A15">
        <w:rPr>
          <w:snapToGrid/>
        </w:rPr>
        <w:t>Based on the table above, most indicators have an outer load above 0.7 and are declared valid, unless indicators such as X-1 are in favor of students who have an outer load below 0.7 and are declared invalid. This means that the indicator is excluded from the test and phase 2 validity testing is carried out</w:t>
      </w:r>
      <w:r>
        <w:rPr>
          <w:rFonts w:asciiTheme="majorBidi" w:hAnsiTheme="majorBidi" w:cstheme="majorBidi"/>
          <w:sz w:val="24"/>
          <w:szCs w:val="24"/>
        </w:rPr>
        <w:t xml:space="preserve">. </w:t>
      </w:r>
    </w:p>
    <w:p w14:paraId="46C75F04" w14:textId="77777777" w:rsidR="004E6A15" w:rsidRPr="004E6A15" w:rsidRDefault="004E6A15" w:rsidP="004E6A15">
      <w:pPr>
        <w:pStyle w:val="Alishlah31text"/>
        <w:rPr>
          <w:snapToGrid/>
        </w:rPr>
      </w:pPr>
      <w:r w:rsidRPr="004E6A15">
        <w:rPr>
          <w:snapToGrid/>
        </w:rPr>
        <w:t>The following are the results of phase 2 testing</w:t>
      </w:r>
    </w:p>
    <w:p w14:paraId="69950008" w14:textId="77777777" w:rsidR="004E6A15" w:rsidRPr="008062ED" w:rsidRDefault="004E6A15" w:rsidP="008062ED">
      <w:pPr>
        <w:pStyle w:val="Alishlah41tablecaption"/>
        <w:spacing w:before="0"/>
        <w:rPr>
          <w:b w:val="0"/>
          <w:bCs w:val="0"/>
        </w:rPr>
      </w:pPr>
      <w:r w:rsidRPr="008062ED">
        <w:t>Tabel 5</w:t>
      </w:r>
      <w:r w:rsidRPr="008062ED">
        <w:rPr>
          <w:b w:val="0"/>
          <w:bCs w:val="0"/>
        </w:rPr>
        <w:t xml:space="preserve">. Tabel outer loading, Composite </w:t>
      </w:r>
      <w:proofErr w:type="spellStart"/>
      <w:r w:rsidRPr="008062ED">
        <w:rPr>
          <w:b w:val="0"/>
          <w:bCs w:val="0"/>
        </w:rPr>
        <w:t>Reliabelity</w:t>
      </w:r>
      <w:proofErr w:type="spellEnd"/>
      <w:r w:rsidRPr="008062ED">
        <w:rPr>
          <w:b w:val="0"/>
          <w:bCs w:val="0"/>
        </w:rPr>
        <w:t xml:space="preserve"> dan AVE</w:t>
      </w:r>
    </w:p>
    <w:p w14:paraId="6E56128B" w14:textId="560EA20C" w:rsidR="004E6A15" w:rsidRPr="004E6A15" w:rsidRDefault="004E6A15" w:rsidP="004E6A15">
      <w:pPr>
        <w:jc w:val="center"/>
        <w:rPr>
          <w:rFonts w:ascii="Palatino Linotype" w:hAnsi="Palatino Linotype"/>
          <w:sz w:val="20"/>
          <w:szCs w:val="20"/>
        </w:rPr>
      </w:pPr>
      <w:r>
        <w:rPr>
          <w:rFonts w:ascii="Palatino Linotype" w:hAnsi="Palatino Linotype"/>
          <w:sz w:val="20"/>
          <w:szCs w:val="20"/>
        </w:rPr>
        <w:t>Stage</w:t>
      </w:r>
      <w:r w:rsidRPr="004E6A15">
        <w:rPr>
          <w:rFonts w:ascii="Palatino Linotype" w:hAnsi="Palatino Linotype"/>
          <w:sz w:val="20"/>
          <w:szCs w:val="20"/>
        </w:rPr>
        <w:t xml:space="preserve"> </w:t>
      </w:r>
      <w:r>
        <w:rPr>
          <w:rFonts w:ascii="Palatino Linotype" w:hAnsi="Palatino Linotype"/>
          <w:sz w:val="20"/>
          <w:szCs w:val="20"/>
        </w:rPr>
        <w:t>2</w:t>
      </w:r>
    </w:p>
    <w:tbl>
      <w:tblPr>
        <w:tblW w:w="885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58"/>
        <w:gridCol w:w="1472"/>
        <w:gridCol w:w="2356"/>
        <w:gridCol w:w="1110"/>
        <w:gridCol w:w="1205"/>
        <w:gridCol w:w="953"/>
      </w:tblGrid>
      <w:tr w:rsidR="009C31A8" w:rsidRPr="004E6A15" w14:paraId="5AC54B50" w14:textId="77777777" w:rsidTr="009C31A8">
        <w:trPr>
          <w:trHeight w:val="300"/>
        </w:trPr>
        <w:tc>
          <w:tcPr>
            <w:tcW w:w="1758" w:type="dxa"/>
            <w:shd w:val="clear" w:color="auto" w:fill="auto"/>
            <w:noWrap/>
            <w:vAlign w:val="center"/>
            <w:hideMark/>
          </w:tcPr>
          <w:p w14:paraId="3D00E401"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proofErr w:type="spellStart"/>
            <w:r w:rsidRPr="009C31A8">
              <w:rPr>
                <w:rFonts w:ascii="Palatino Linotype" w:eastAsia="Times New Roman" w:hAnsi="Palatino Linotype" w:cs="Times New Roman"/>
                <w:b/>
                <w:bCs/>
                <w:color w:val="000000"/>
                <w:sz w:val="20"/>
                <w:szCs w:val="20"/>
              </w:rPr>
              <w:t>Variabel</w:t>
            </w:r>
            <w:proofErr w:type="spellEnd"/>
          </w:p>
        </w:tc>
        <w:tc>
          <w:tcPr>
            <w:tcW w:w="1472" w:type="dxa"/>
            <w:shd w:val="clear" w:color="auto" w:fill="auto"/>
            <w:noWrap/>
            <w:vAlign w:val="center"/>
            <w:hideMark/>
          </w:tcPr>
          <w:p w14:paraId="6637C00B"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Measurement Indicators</w:t>
            </w:r>
          </w:p>
        </w:tc>
        <w:tc>
          <w:tcPr>
            <w:tcW w:w="2356" w:type="dxa"/>
            <w:shd w:val="clear" w:color="auto" w:fill="auto"/>
            <w:noWrap/>
            <w:vAlign w:val="center"/>
            <w:hideMark/>
          </w:tcPr>
          <w:p w14:paraId="03CF635B"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Indicator</w:t>
            </w:r>
          </w:p>
        </w:tc>
        <w:tc>
          <w:tcPr>
            <w:tcW w:w="1110" w:type="dxa"/>
            <w:shd w:val="clear" w:color="auto" w:fill="auto"/>
            <w:noWrap/>
            <w:vAlign w:val="center"/>
            <w:hideMark/>
          </w:tcPr>
          <w:p w14:paraId="4623491D"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Outer Loading</w:t>
            </w:r>
          </w:p>
        </w:tc>
        <w:tc>
          <w:tcPr>
            <w:tcW w:w="1205" w:type="dxa"/>
            <w:shd w:val="clear" w:color="auto" w:fill="auto"/>
            <w:noWrap/>
            <w:vAlign w:val="center"/>
            <w:hideMark/>
          </w:tcPr>
          <w:p w14:paraId="52B8BA12"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Composite Reliability</w:t>
            </w:r>
          </w:p>
        </w:tc>
        <w:tc>
          <w:tcPr>
            <w:tcW w:w="953" w:type="dxa"/>
            <w:shd w:val="clear" w:color="auto" w:fill="auto"/>
            <w:noWrap/>
            <w:vAlign w:val="center"/>
            <w:hideMark/>
          </w:tcPr>
          <w:p w14:paraId="13C72AE5"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AVE</w:t>
            </w:r>
          </w:p>
        </w:tc>
      </w:tr>
      <w:tr w:rsidR="009C31A8" w:rsidRPr="004E6A15" w14:paraId="4686D51A" w14:textId="77777777" w:rsidTr="009C31A8">
        <w:trPr>
          <w:trHeight w:val="300"/>
        </w:trPr>
        <w:tc>
          <w:tcPr>
            <w:tcW w:w="1758" w:type="dxa"/>
            <w:vMerge w:val="restart"/>
            <w:shd w:val="clear" w:color="auto" w:fill="auto"/>
            <w:noWrap/>
            <w:vAlign w:val="center"/>
          </w:tcPr>
          <w:p w14:paraId="6E3BE3A5" w14:textId="59404DF1"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Transformational Teacher (Guru Penggerak) Program</w:t>
            </w:r>
          </w:p>
        </w:tc>
        <w:tc>
          <w:tcPr>
            <w:tcW w:w="1472" w:type="dxa"/>
            <w:shd w:val="clear" w:color="auto" w:fill="auto"/>
            <w:noWrap/>
            <w:vAlign w:val="center"/>
          </w:tcPr>
          <w:p w14:paraId="0A99265C"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X-2</w:t>
            </w:r>
          </w:p>
        </w:tc>
        <w:tc>
          <w:tcPr>
            <w:tcW w:w="2356" w:type="dxa"/>
            <w:shd w:val="clear" w:color="auto" w:fill="auto"/>
            <w:noWrap/>
          </w:tcPr>
          <w:p w14:paraId="30613CD0"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Reflective</w:t>
            </w:r>
          </w:p>
        </w:tc>
        <w:tc>
          <w:tcPr>
            <w:tcW w:w="1110" w:type="dxa"/>
            <w:shd w:val="clear" w:color="auto" w:fill="auto"/>
            <w:noWrap/>
          </w:tcPr>
          <w:p w14:paraId="1D66C38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0.730</w:t>
            </w:r>
          </w:p>
        </w:tc>
        <w:tc>
          <w:tcPr>
            <w:tcW w:w="1205" w:type="dxa"/>
            <w:vMerge w:val="restart"/>
            <w:shd w:val="clear" w:color="auto" w:fill="auto"/>
            <w:noWrap/>
            <w:vAlign w:val="center"/>
          </w:tcPr>
          <w:p w14:paraId="0A686605" w14:textId="665F61B0"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0.867</w:t>
            </w:r>
          </w:p>
        </w:tc>
        <w:tc>
          <w:tcPr>
            <w:tcW w:w="953" w:type="dxa"/>
            <w:vMerge w:val="restart"/>
            <w:shd w:val="clear" w:color="auto" w:fill="auto"/>
            <w:noWrap/>
            <w:vAlign w:val="center"/>
          </w:tcPr>
          <w:p w14:paraId="42EBE8B9" w14:textId="77777777" w:rsidR="004E6A15" w:rsidRPr="004E6A15" w:rsidRDefault="004E6A15" w:rsidP="004E6A15">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0.639</w:t>
            </w:r>
          </w:p>
          <w:p w14:paraId="621E7BF8" w14:textId="77777777" w:rsidR="004E6A15" w:rsidRPr="004E6A15" w:rsidRDefault="004E6A15" w:rsidP="004E6A15">
            <w:pPr>
              <w:spacing w:after="0" w:line="240" w:lineRule="auto"/>
              <w:jc w:val="center"/>
              <w:rPr>
                <w:rFonts w:ascii="Palatino Linotype" w:eastAsia="Times New Roman" w:hAnsi="Palatino Linotype" w:cs="Times New Roman"/>
                <w:color w:val="000000"/>
                <w:sz w:val="20"/>
                <w:szCs w:val="20"/>
              </w:rPr>
            </w:pPr>
          </w:p>
        </w:tc>
      </w:tr>
      <w:tr w:rsidR="009C31A8" w:rsidRPr="004E6A15" w14:paraId="285B4D08" w14:textId="77777777" w:rsidTr="009C31A8">
        <w:trPr>
          <w:trHeight w:val="300"/>
        </w:trPr>
        <w:tc>
          <w:tcPr>
            <w:tcW w:w="1758" w:type="dxa"/>
            <w:vMerge/>
            <w:shd w:val="clear" w:color="auto" w:fill="auto"/>
            <w:noWrap/>
            <w:vAlign w:val="center"/>
          </w:tcPr>
          <w:p w14:paraId="3DAA1186"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72" w:type="dxa"/>
            <w:shd w:val="clear" w:color="auto" w:fill="auto"/>
            <w:noWrap/>
            <w:vAlign w:val="center"/>
          </w:tcPr>
          <w:p w14:paraId="406F1BAB"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X-3</w:t>
            </w:r>
          </w:p>
        </w:tc>
        <w:tc>
          <w:tcPr>
            <w:tcW w:w="2356" w:type="dxa"/>
            <w:shd w:val="clear" w:color="auto" w:fill="auto"/>
            <w:noWrap/>
          </w:tcPr>
          <w:p w14:paraId="01854EBC"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Self-sufficient</w:t>
            </w:r>
          </w:p>
        </w:tc>
        <w:tc>
          <w:tcPr>
            <w:tcW w:w="1110" w:type="dxa"/>
            <w:shd w:val="clear" w:color="auto" w:fill="auto"/>
            <w:noWrap/>
          </w:tcPr>
          <w:p w14:paraId="722A2D1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0.823</w:t>
            </w:r>
          </w:p>
        </w:tc>
        <w:tc>
          <w:tcPr>
            <w:tcW w:w="1205" w:type="dxa"/>
            <w:vMerge/>
            <w:shd w:val="clear" w:color="auto" w:fill="auto"/>
            <w:noWrap/>
            <w:vAlign w:val="center"/>
          </w:tcPr>
          <w:p w14:paraId="57104D9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tcPr>
          <w:p w14:paraId="277E038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9C31A8" w:rsidRPr="004E6A15" w14:paraId="1D2C3334" w14:textId="77777777" w:rsidTr="009C31A8">
        <w:trPr>
          <w:trHeight w:val="300"/>
        </w:trPr>
        <w:tc>
          <w:tcPr>
            <w:tcW w:w="1758" w:type="dxa"/>
            <w:vMerge/>
            <w:shd w:val="clear" w:color="auto" w:fill="auto"/>
            <w:noWrap/>
            <w:vAlign w:val="center"/>
          </w:tcPr>
          <w:p w14:paraId="51A6FBB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72" w:type="dxa"/>
            <w:shd w:val="clear" w:color="auto" w:fill="auto"/>
            <w:noWrap/>
            <w:vAlign w:val="center"/>
          </w:tcPr>
          <w:p w14:paraId="0E13136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X-4</w:t>
            </w:r>
          </w:p>
        </w:tc>
        <w:tc>
          <w:tcPr>
            <w:tcW w:w="2356" w:type="dxa"/>
            <w:shd w:val="clear" w:color="auto" w:fill="auto"/>
            <w:noWrap/>
          </w:tcPr>
          <w:p w14:paraId="0CDBA57E"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Collaborative</w:t>
            </w:r>
          </w:p>
        </w:tc>
        <w:tc>
          <w:tcPr>
            <w:tcW w:w="1110" w:type="dxa"/>
            <w:shd w:val="clear" w:color="auto" w:fill="auto"/>
            <w:noWrap/>
          </w:tcPr>
          <w:p w14:paraId="6168952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0.759</w:t>
            </w:r>
          </w:p>
        </w:tc>
        <w:tc>
          <w:tcPr>
            <w:tcW w:w="1205" w:type="dxa"/>
            <w:vMerge/>
            <w:shd w:val="clear" w:color="auto" w:fill="auto"/>
            <w:noWrap/>
            <w:vAlign w:val="center"/>
          </w:tcPr>
          <w:p w14:paraId="042F1D3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1E7F855E"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9C31A8" w:rsidRPr="004E6A15" w14:paraId="76DB4B4E" w14:textId="77777777" w:rsidTr="009C31A8">
        <w:trPr>
          <w:trHeight w:val="300"/>
        </w:trPr>
        <w:tc>
          <w:tcPr>
            <w:tcW w:w="1758" w:type="dxa"/>
            <w:vMerge/>
            <w:shd w:val="clear" w:color="auto" w:fill="auto"/>
            <w:noWrap/>
            <w:vAlign w:val="center"/>
          </w:tcPr>
          <w:p w14:paraId="43B5136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72" w:type="dxa"/>
            <w:shd w:val="clear" w:color="auto" w:fill="auto"/>
            <w:noWrap/>
            <w:vAlign w:val="center"/>
          </w:tcPr>
          <w:p w14:paraId="14B540A4"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X-5</w:t>
            </w:r>
          </w:p>
        </w:tc>
        <w:tc>
          <w:tcPr>
            <w:tcW w:w="2356" w:type="dxa"/>
            <w:shd w:val="clear" w:color="auto" w:fill="auto"/>
            <w:noWrap/>
          </w:tcPr>
          <w:p w14:paraId="087D833C"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Innovative</w:t>
            </w:r>
          </w:p>
        </w:tc>
        <w:tc>
          <w:tcPr>
            <w:tcW w:w="1110" w:type="dxa"/>
            <w:shd w:val="clear" w:color="auto" w:fill="auto"/>
            <w:noWrap/>
          </w:tcPr>
          <w:p w14:paraId="52205C5A"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0.805</w:t>
            </w:r>
          </w:p>
        </w:tc>
        <w:tc>
          <w:tcPr>
            <w:tcW w:w="1205" w:type="dxa"/>
            <w:vMerge/>
            <w:shd w:val="clear" w:color="auto" w:fill="auto"/>
            <w:noWrap/>
            <w:vAlign w:val="center"/>
          </w:tcPr>
          <w:p w14:paraId="3E83D471"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6279D488"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r w:rsidR="009C31A8" w:rsidRPr="004E6A15" w14:paraId="7632D22C" w14:textId="77777777" w:rsidTr="009C31A8">
        <w:trPr>
          <w:trHeight w:val="300"/>
        </w:trPr>
        <w:tc>
          <w:tcPr>
            <w:tcW w:w="1758" w:type="dxa"/>
            <w:vMerge/>
            <w:shd w:val="clear" w:color="auto" w:fill="auto"/>
            <w:noWrap/>
            <w:vAlign w:val="center"/>
          </w:tcPr>
          <w:p w14:paraId="55E4F0BC"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1472" w:type="dxa"/>
            <w:shd w:val="clear" w:color="auto" w:fill="auto"/>
            <w:noWrap/>
            <w:vAlign w:val="center"/>
          </w:tcPr>
          <w:p w14:paraId="4AF450CF"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X-6</w:t>
            </w:r>
          </w:p>
        </w:tc>
        <w:tc>
          <w:tcPr>
            <w:tcW w:w="2356" w:type="dxa"/>
            <w:shd w:val="clear" w:color="auto" w:fill="auto"/>
            <w:noWrap/>
          </w:tcPr>
          <w:p w14:paraId="19CD0059" w14:textId="77777777" w:rsidR="004E6A15" w:rsidRPr="004E6A15" w:rsidRDefault="004E6A15" w:rsidP="00F31367">
            <w:pPr>
              <w:spacing w:after="0" w:line="240" w:lineRule="auto"/>
              <w:rPr>
                <w:rFonts w:ascii="Palatino Linotype" w:eastAsia="Times New Roman" w:hAnsi="Palatino Linotype" w:cs="Times New Roman"/>
                <w:color w:val="000000"/>
                <w:sz w:val="20"/>
                <w:szCs w:val="20"/>
              </w:rPr>
            </w:pPr>
            <w:r w:rsidRPr="004E6A15">
              <w:rPr>
                <w:rFonts w:ascii="Palatino Linotype" w:eastAsia="Times New Roman" w:hAnsi="Palatino Linotype" w:cs="Times New Roman"/>
                <w:color w:val="000000"/>
                <w:sz w:val="20"/>
                <w:szCs w:val="20"/>
              </w:rPr>
              <w:t>Pancasila Student Profile</w:t>
            </w:r>
          </w:p>
        </w:tc>
        <w:tc>
          <w:tcPr>
            <w:tcW w:w="1110" w:type="dxa"/>
            <w:shd w:val="clear" w:color="auto" w:fill="auto"/>
            <w:noWrap/>
          </w:tcPr>
          <w:p w14:paraId="6893266E"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r w:rsidRPr="004E6A15">
              <w:rPr>
                <w:rFonts w:ascii="Palatino Linotype" w:hAnsi="Palatino Linotype" w:cs="Times New Roman"/>
                <w:sz w:val="20"/>
                <w:szCs w:val="20"/>
              </w:rPr>
              <w:t>0.834</w:t>
            </w:r>
          </w:p>
        </w:tc>
        <w:tc>
          <w:tcPr>
            <w:tcW w:w="1205" w:type="dxa"/>
            <w:vMerge/>
            <w:shd w:val="clear" w:color="auto" w:fill="auto"/>
            <w:noWrap/>
            <w:vAlign w:val="center"/>
          </w:tcPr>
          <w:p w14:paraId="70362A77"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c>
          <w:tcPr>
            <w:tcW w:w="953" w:type="dxa"/>
            <w:vMerge/>
            <w:shd w:val="clear" w:color="auto" w:fill="auto"/>
            <w:noWrap/>
            <w:vAlign w:val="center"/>
          </w:tcPr>
          <w:p w14:paraId="690815A2" w14:textId="77777777" w:rsidR="004E6A15" w:rsidRPr="004E6A15" w:rsidRDefault="004E6A15" w:rsidP="00F31367">
            <w:pPr>
              <w:spacing w:after="0" w:line="240" w:lineRule="auto"/>
              <w:jc w:val="center"/>
              <w:rPr>
                <w:rFonts w:ascii="Palatino Linotype" w:eastAsia="Times New Roman" w:hAnsi="Palatino Linotype" w:cs="Times New Roman"/>
                <w:color w:val="000000"/>
                <w:sz w:val="20"/>
                <w:szCs w:val="20"/>
              </w:rPr>
            </w:pPr>
          </w:p>
        </w:tc>
      </w:tr>
    </w:tbl>
    <w:p w14:paraId="0E1233E9" w14:textId="2DEC53D6" w:rsidR="004E6A15" w:rsidRPr="008062ED" w:rsidRDefault="004E6A15" w:rsidP="008062ED">
      <w:pPr>
        <w:pStyle w:val="Alishlah31text"/>
        <w:rPr>
          <w:snapToGrid/>
        </w:rPr>
      </w:pPr>
      <w:r w:rsidRPr="008062ED">
        <w:rPr>
          <w:snapToGrid/>
        </w:rPr>
        <w:t xml:space="preserve">Based on the table above, after the validity of phase 2, all indicators of the </w:t>
      </w:r>
      <w:r w:rsidR="008576A8">
        <w:rPr>
          <w:snapToGrid/>
        </w:rPr>
        <w:t>Transformational</w:t>
      </w:r>
      <w:r w:rsidRPr="008062ED">
        <w:rPr>
          <w:snapToGrid/>
        </w:rPr>
        <w:t xml:space="preserve"> Teacher Program are declared valid. After examining the reflective measurement model which shows that CR and AVE have sufficient convergent validity, the discrimination validity of each construct is determined, as shown in the following table. Furthermore, hypothesis testing is carried out as shown in the following results.</w:t>
      </w:r>
    </w:p>
    <w:p w14:paraId="6B5E1FDF" w14:textId="77777777" w:rsidR="004E6A15" w:rsidRDefault="004E6A15" w:rsidP="008062ED">
      <w:pPr>
        <w:pStyle w:val="Alishlah41tablecaption"/>
        <w:spacing w:before="0"/>
        <w:rPr>
          <w:rFonts w:asciiTheme="majorBidi" w:hAnsiTheme="majorBidi" w:cstheme="majorBidi"/>
          <w:b w:val="0"/>
          <w:bCs w:val="0"/>
          <w:sz w:val="24"/>
          <w:szCs w:val="24"/>
        </w:rPr>
      </w:pPr>
      <w:r w:rsidRPr="008062ED">
        <w:rPr>
          <w:b w:val="0"/>
          <w:bCs w:val="0"/>
        </w:rPr>
        <w:t>Table 6. Causal Relationship Between Variables</w:t>
      </w:r>
    </w:p>
    <w:tbl>
      <w:tblPr>
        <w:tblW w:w="7475"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2464"/>
        <w:gridCol w:w="1183"/>
        <w:gridCol w:w="983"/>
        <w:gridCol w:w="828"/>
        <w:gridCol w:w="827"/>
        <w:gridCol w:w="1190"/>
      </w:tblGrid>
      <w:tr w:rsidR="004E6A15" w:rsidRPr="009C31A8" w14:paraId="62F26F38" w14:textId="77777777" w:rsidTr="009C31A8">
        <w:trPr>
          <w:trHeight w:val="610"/>
        </w:trPr>
        <w:tc>
          <w:tcPr>
            <w:tcW w:w="2585" w:type="dxa"/>
            <w:vAlign w:val="center"/>
          </w:tcPr>
          <w:p w14:paraId="4A07A0DE" w14:textId="6B4F03B9" w:rsidR="004E6A15" w:rsidRPr="009C31A8" w:rsidRDefault="008062ED"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Hypothesis</w:t>
            </w:r>
          </w:p>
        </w:tc>
        <w:tc>
          <w:tcPr>
            <w:tcW w:w="1128" w:type="dxa"/>
            <w:shd w:val="clear" w:color="auto" w:fill="auto"/>
            <w:noWrap/>
            <w:vAlign w:val="center"/>
          </w:tcPr>
          <w:p w14:paraId="21B33F04"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 xml:space="preserve">Path </w:t>
            </w:r>
            <w:proofErr w:type="spellStart"/>
            <w:r w:rsidRPr="009C31A8">
              <w:rPr>
                <w:rFonts w:ascii="Palatino Linotype" w:eastAsia="Times New Roman" w:hAnsi="Palatino Linotype" w:cs="Times New Roman"/>
                <w:b/>
                <w:bCs/>
                <w:color w:val="000000"/>
                <w:sz w:val="20"/>
                <w:szCs w:val="20"/>
              </w:rPr>
              <w:t>Coefisiens</w:t>
            </w:r>
            <w:proofErr w:type="spellEnd"/>
          </w:p>
        </w:tc>
        <w:tc>
          <w:tcPr>
            <w:tcW w:w="930" w:type="dxa"/>
            <w:vAlign w:val="center"/>
          </w:tcPr>
          <w:p w14:paraId="7485322D"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 xml:space="preserve">T </w:t>
            </w:r>
            <w:proofErr w:type="spellStart"/>
            <w:r w:rsidRPr="009C31A8">
              <w:rPr>
                <w:rFonts w:ascii="Palatino Linotype" w:eastAsia="Times New Roman" w:hAnsi="Palatino Linotype" w:cs="Times New Roman"/>
                <w:b/>
                <w:bCs/>
                <w:color w:val="000000"/>
                <w:sz w:val="20"/>
                <w:szCs w:val="20"/>
              </w:rPr>
              <w:t>Statistik</w:t>
            </w:r>
            <w:proofErr w:type="spellEnd"/>
          </w:p>
        </w:tc>
        <w:tc>
          <w:tcPr>
            <w:tcW w:w="828" w:type="dxa"/>
            <w:shd w:val="clear" w:color="auto" w:fill="auto"/>
            <w:noWrap/>
            <w:vAlign w:val="center"/>
          </w:tcPr>
          <w:p w14:paraId="34E2CB41"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p-value</w:t>
            </w:r>
          </w:p>
        </w:tc>
        <w:tc>
          <w:tcPr>
            <w:tcW w:w="809" w:type="dxa"/>
            <w:vAlign w:val="center"/>
          </w:tcPr>
          <w:p w14:paraId="7B9C4D75" w14:textId="77777777" w:rsidR="004E6A15" w:rsidRPr="009C31A8" w:rsidRDefault="004E6A15"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F square</w:t>
            </w:r>
          </w:p>
        </w:tc>
        <w:tc>
          <w:tcPr>
            <w:tcW w:w="1195" w:type="dxa"/>
            <w:vAlign w:val="center"/>
          </w:tcPr>
          <w:p w14:paraId="36548155" w14:textId="4D5BF537" w:rsidR="004E6A15" w:rsidRPr="009C31A8" w:rsidRDefault="008062ED" w:rsidP="00F31367">
            <w:pPr>
              <w:spacing w:after="0" w:line="240" w:lineRule="auto"/>
              <w:jc w:val="center"/>
              <w:rPr>
                <w:rFonts w:ascii="Palatino Linotype" w:eastAsia="Times New Roman" w:hAnsi="Palatino Linotype" w:cs="Times New Roman"/>
                <w:b/>
                <w:bCs/>
                <w:color w:val="000000"/>
                <w:sz w:val="20"/>
                <w:szCs w:val="20"/>
              </w:rPr>
            </w:pPr>
            <w:r w:rsidRPr="009C31A8">
              <w:rPr>
                <w:rFonts w:ascii="Palatino Linotype" w:eastAsia="Times New Roman" w:hAnsi="Palatino Linotype" w:cs="Times New Roman"/>
                <w:b/>
                <w:bCs/>
                <w:color w:val="000000"/>
                <w:sz w:val="20"/>
                <w:szCs w:val="20"/>
              </w:rPr>
              <w:t>Results</w:t>
            </w:r>
          </w:p>
        </w:tc>
      </w:tr>
      <w:tr w:rsidR="004E6A15" w:rsidRPr="009C31A8" w14:paraId="05E2ABEF" w14:textId="77777777" w:rsidTr="009C31A8">
        <w:trPr>
          <w:trHeight w:val="300"/>
        </w:trPr>
        <w:tc>
          <w:tcPr>
            <w:tcW w:w="2585" w:type="dxa"/>
          </w:tcPr>
          <w:p w14:paraId="09A1B347" w14:textId="5A8FEC30" w:rsidR="004E6A15" w:rsidRPr="009C31A8" w:rsidRDefault="009C31A8" w:rsidP="00F31367">
            <w:pPr>
              <w:spacing w:after="0" w:line="240" w:lineRule="auto"/>
              <w:rPr>
                <w:rFonts w:ascii="Palatino Linotype" w:eastAsia="Times New Roman" w:hAnsi="Palatino Linotype" w:cs="Times New Roman"/>
                <w:color w:val="000000"/>
                <w:sz w:val="20"/>
                <w:szCs w:val="20"/>
              </w:rPr>
            </w:pPr>
            <w:r w:rsidRPr="009C31A8">
              <w:rPr>
                <w:rFonts w:ascii="Palatino Linotype" w:eastAsia="Times New Roman" w:hAnsi="Palatino Linotype" w:cs="Times New Roman"/>
                <w:color w:val="000000"/>
                <w:sz w:val="20"/>
                <w:szCs w:val="20"/>
              </w:rPr>
              <w:t>Transformational</w:t>
            </w:r>
            <w:r w:rsidR="008062ED" w:rsidRPr="009C31A8">
              <w:rPr>
                <w:rFonts w:ascii="Palatino Linotype" w:eastAsia="Times New Roman" w:hAnsi="Palatino Linotype" w:cs="Times New Roman"/>
                <w:color w:val="000000"/>
                <w:sz w:val="20"/>
                <w:szCs w:val="20"/>
              </w:rPr>
              <w:t xml:space="preserve"> teacher program </w:t>
            </w:r>
            <w:r w:rsidR="004E6A15" w:rsidRPr="009C31A8">
              <w:rPr>
                <w:rFonts w:ascii="Times New Roman" w:eastAsia="Times New Roman" w:hAnsi="Times New Roman" w:cs="Times New Roman"/>
                <w:color w:val="000000"/>
                <w:sz w:val="20"/>
                <w:szCs w:val="20"/>
              </w:rPr>
              <w:t>→</w:t>
            </w:r>
            <w:r w:rsidR="004E6A15" w:rsidRPr="009C31A8">
              <w:rPr>
                <w:rFonts w:ascii="Palatino Linotype" w:eastAsia="Times New Roman" w:hAnsi="Palatino Linotype" w:cs="Times New Roman"/>
                <w:color w:val="000000"/>
                <w:sz w:val="20"/>
                <w:szCs w:val="20"/>
              </w:rPr>
              <w:t xml:space="preserve"> </w:t>
            </w:r>
            <w:r w:rsidR="008062ED" w:rsidRPr="009C31A8">
              <w:rPr>
                <w:rFonts w:ascii="Palatino Linotype" w:eastAsia="Times New Roman" w:hAnsi="Palatino Linotype" w:cs="Times New Roman"/>
                <w:color w:val="000000"/>
                <w:sz w:val="20"/>
                <w:szCs w:val="20"/>
              </w:rPr>
              <w:t>Religious Practices</w:t>
            </w:r>
          </w:p>
        </w:tc>
        <w:tc>
          <w:tcPr>
            <w:tcW w:w="1128" w:type="dxa"/>
            <w:shd w:val="clear" w:color="auto" w:fill="auto"/>
            <w:noWrap/>
            <w:vAlign w:val="center"/>
          </w:tcPr>
          <w:p w14:paraId="1B676EE8" w14:textId="77777777" w:rsidR="004E6A15" w:rsidRPr="009C31A8" w:rsidRDefault="004E6A15" w:rsidP="00F31367">
            <w:pPr>
              <w:spacing w:after="0" w:line="240" w:lineRule="auto"/>
              <w:jc w:val="center"/>
              <w:rPr>
                <w:rFonts w:ascii="Palatino Linotype" w:eastAsia="Times New Roman" w:hAnsi="Palatino Linotype" w:cs="Times New Roman"/>
                <w:color w:val="000000"/>
                <w:sz w:val="20"/>
                <w:szCs w:val="20"/>
              </w:rPr>
            </w:pPr>
            <w:r w:rsidRPr="009C31A8">
              <w:rPr>
                <w:rFonts w:ascii="Palatino Linotype" w:hAnsi="Palatino Linotype" w:cs="Times New Roman"/>
                <w:color w:val="000000"/>
                <w:sz w:val="20"/>
                <w:szCs w:val="20"/>
              </w:rPr>
              <w:t>0.107</w:t>
            </w:r>
          </w:p>
        </w:tc>
        <w:tc>
          <w:tcPr>
            <w:tcW w:w="930" w:type="dxa"/>
            <w:vAlign w:val="center"/>
          </w:tcPr>
          <w:p w14:paraId="6A167207" w14:textId="77777777" w:rsidR="004E6A15" w:rsidRPr="009C31A8" w:rsidRDefault="004E6A15" w:rsidP="00F31367">
            <w:pPr>
              <w:spacing w:after="0" w:line="240" w:lineRule="auto"/>
              <w:jc w:val="center"/>
              <w:rPr>
                <w:rFonts w:ascii="Palatino Linotype" w:hAnsi="Palatino Linotype" w:cs="Times New Roman"/>
                <w:color w:val="000000"/>
                <w:sz w:val="20"/>
                <w:szCs w:val="20"/>
              </w:rPr>
            </w:pPr>
            <w:r w:rsidRPr="009C31A8">
              <w:rPr>
                <w:rFonts w:ascii="Palatino Linotype" w:hAnsi="Palatino Linotype"/>
                <w:sz w:val="20"/>
                <w:szCs w:val="20"/>
              </w:rPr>
              <w:t>2.160</w:t>
            </w:r>
          </w:p>
        </w:tc>
        <w:tc>
          <w:tcPr>
            <w:tcW w:w="828" w:type="dxa"/>
            <w:shd w:val="clear" w:color="auto" w:fill="auto"/>
            <w:noWrap/>
            <w:vAlign w:val="center"/>
          </w:tcPr>
          <w:p w14:paraId="7A2155C6" w14:textId="77777777" w:rsidR="004E6A15" w:rsidRPr="009C31A8" w:rsidRDefault="004E6A15" w:rsidP="00F31367">
            <w:pPr>
              <w:spacing w:after="0" w:line="240" w:lineRule="auto"/>
              <w:jc w:val="center"/>
              <w:rPr>
                <w:rFonts w:ascii="Palatino Linotype" w:eastAsia="Times New Roman" w:hAnsi="Palatino Linotype" w:cs="Times New Roman"/>
                <w:color w:val="000000"/>
                <w:sz w:val="20"/>
                <w:szCs w:val="20"/>
              </w:rPr>
            </w:pPr>
            <w:r w:rsidRPr="009C31A8">
              <w:rPr>
                <w:rFonts w:ascii="Palatino Linotype" w:hAnsi="Palatino Linotype" w:cs="Times New Roman"/>
                <w:color w:val="000000"/>
                <w:sz w:val="20"/>
                <w:szCs w:val="20"/>
              </w:rPr>
              <w:t>0.031</w:t>
            </w:r>
          </w:p>
        </w:tc>
        <w:tc>
          <w:tcPr>
            <w:tcW w:w="809" w:type="dxa"/>
            <w:vAlign w:val="center"/>
          </w:tcPr>
          <w:p w14:paraId="6BE487F6" w14:textId="77777777" w:rsidR="004E6A15" w:rsidRPr="009C31A8" w:rsidRDefault="004E6A15" w:rsidP="00F31367">
            <w:pPr>
              <w:spacing w:after="0" w:line="240" w:lineRule="auto"/>
              <w:jc w:val="center"/>
              <w:rPr>
                <w:rFonts w:ascii="Palatino Linotype" w:hAnsi="Palatino Linotype" w:cs="Times New Roman"/>
                <w:sz w:val="20"/>
                <w:szCs w:val="20"/>
              </w:rPr>
            </w:pPr>
            <w:r w:rsidRPr="009C31A8">
              <w:rPr>
                <w:rFonts w:ascii="Palatino Linotype" w:hAnsi="Palatino Linotype" w:cs="Times New Roman"/>
                <w:sz w:val="20"/>
                <w:szCs w:val="20"/>
              </w:rPr>
              <w:t>0.017</w:t>
            </w:r>
          </w:p>
        </w:tc>
        <w:tc>
          <w:tcPr>
            <w:tcW w:w="1195" w:type="dxa"/>
          </w:tcPr>
          <w:p w14:paraId="3940CC19" w14:textId="252F6DDA" w:rsidR="004E6A15" w:rsidRPr="009C31A8" w:rsidRDefault="008062ED" w:rsidP="00F31367">
            <w:pPr>
              <w:spacing w:after="0" w:line="240" w:lineRule="auto"/>
              <w:jc w:val="center"/>
              <w:rPr>
                <w:rFonts w:ascii="Palatino Linotype" w:eastAsia="Times New Roman" w:hAnsi="Palatino Linotype" w:cs="Times New Roman"/>
                <w:color w:val="000000"/>
                <w:sz w:val="20"/>
                <w:szCs w:val="20"/>
              </w:rPr>
            </w:pPr>
            <w:r w:rsidRPr="009C31A8">
              <w:rPr>
                <w:rFonts w:ascii="Palatino Linotype" w:eastAsia="Times New Roman" w:hAnsi="Palatino Linotype" w:cs="Times New Roman"/>
                <w:color w:val="000000"/>
                <w:sz w:val="20"/>
                <w:szCs w:val="20"/>
              </w:rPr>
              <w:t>Significant Influence</w:t>
            </w:r>
          </w:p>
        </w:tc>
      </w:tr>
    </w:tbl>
    <w:p w14:paraId="0AA0CAAE" w14:textId="63EAA2EC" w:rsidR="00DF106B" w:rsidRDefault="004E6A15" w:rsidP="00DF106B">
      <w:pPr>
        <w:pStyle w:val="Alishlah31text"/>
      </w:pPr>
      <w:r w:rsidRPr="009C31A8">
        <w:rPr>
          <w:snapToGrid/>
        </w:rPr>
        <w:t>Based on the table above, the results of data analysis conducted on junior high school students in Central Lombok, using Structural Equation Modeling analysis, the t-static value exceeded 1.96. In addition, if the p-value is below 0.05 (5%), it indicates the influence of the variable that affects</w:t>
      </w:r>
      <w:r>
        <w:rPr>
          <w:rFonts w:asciiTheme="majorBidi" w:hAnsiTheme="majorBidi" w:cstheme="majorBidi"/>
          <w:sz w:val="24"/>
          <w:szCs w:val="24"/>
        </w:rPr>
        <w:t>.</w:t>
      </w:r>
      <w:bookmarkEnd w:id="1"/>
    </w:p>
    <w:p w14:paraId="0A2C5FF4" w14:textId="5A370752" w:rsidR="002B31FD" w:rsidRPr="004841C5" w:rsidRDefault="002B31FD" w:rsidP="002B31FD">
      <w:pPr>
        <w:pStyle w:val="Alishlah22heading2"/>
      </w:pPr>
      <w:r w:rsidRPr="00C9386B">
        <w:t xml:space="preserve">Discussion: </w:t>
      </w:r>
      <w:r w:rsidR="009C31A8" w:rsidRPr="009C31A8">
        <w:t>Transformational Teacher (Guru Penggerak) Program can Improve Students' Religious Practic</w:t>
      </w:r>
    </w:p>
    <w:p w14:paraId="3A90F4DA" w14:textId="064D6FED" w:rsidR="009C31A8" w:rsidRDefault="009C31A8" w:rsidP="009C31A8">
      <w:pPr>
        <w:pStyle w:val="Alishlah31text"/>
      </w:pPr>
      <w:r>
        <w:t>The Guru Penggerak program showed a significant relationship with religious practice, with a path coefficient of 0.107 and a p-value of 0.031. The confidence interval (0.011 - 0.204) indicates that the influence is consistent and significant. However, a very small F square of 0.017 indicates that the impact on religious practice is minimal, although it remains and is real. This can be seen from the practice (</w:t>
      </w:r>
      <w:proofErr w:type="spellStart"/>
      <w:r>
        <w:t>manipestation</w:t>
      </w:r>
      <w:proofErr w:type="spellEnd"/>
      <w:r>
        <w:t xml:space="preserve">) of religious activities that students participate in, encouraging a high sense of student unity which has an influence of 0.889 and 0.848, but needs to get attention in terms of how students can strengthen social ties with the school and society, maintain solidarity and how to strengthen more perfect worship practices. This can be done by </w:t>
      </w:r>
      <w:r w:rsidR="008576A8">
        <w:t>Transformational</w:t>
      </w:r>
      <w:r>
        <w:t xml:space="preserve"> teachers through programs that have a greater impact on students, more innovative programs, reflective programs, programs that create independence for students, as well as programs that emphasize the character of the Pancasila Student Profile, this finding strengthens previous research by Yibing Li and Richard </w:t>
      </w:r>
      <w:proofErr w:type="spellStart"/>
      <w:r>
        <w:t>M.Learner</w:t>
      </w:r>
      <w:proofErr w:type="spellEnd"/>
      <w:r>
        <w:t xml:space="preserve"> that school </w:t>
      </w:r>
      <w:r>
        <w:lastRenderedPageBreak/>
        <w:t>involvement in this case school residents have a role in student involvement towards their commitment to academic activities and social media in schools (Li &amp; Lerner, 2013).</w:t>
      </w:r>
    </w:p>
    <w:p w14:paraId="660E2343" w14:textId="2A140D49" w:rsidR="009C31A8" w:rsidRDefault="009C31A8" w:rsidP="009C31A8">
      <w:pPr>
        <w:pStyle w:val="Alishlah31text"/>
      </w:pPr>
      <w:r>
        <w:t>As for religious practices in the context of education, they are often associated with moral and ethical values taught to students (Al-</w:t>
      </w:r>
      <w:proofErr w:type="spellStart"/>
      <w:r>
        <w:t>Disis</w:t>
      </w:r>
      <w:proofErr w:type="spellEnd"/>
      <w:r>
        <w:t xml:space="preserve"> &amp; </w:t>
      </w:r>
      <w:proofErr w:type="spellStart"/>
      <w:r>
        <w:t>Rawadieh</w:t>
      </w:r>
      <w:proofErr w:type="spellEnd"/>
      <w:r>
        <w:t xml:space="preserve">, 2020). Teacher </w:t>
      </w:r>
      <w:r w:rsidR="008576A8">
        <w:t>Transformational</w:t>
      </w:r>
      <w:r>
        <w:t xml:space="preserve"> Programs that provide training and development to teachers can also influence the way they teach and model religious practices to students (Siregar et al., 2021). The theory of character education states that teachers play a role as a model in instilling religious and moral values, which in turn can influence students' religious practices (</w:t>
      </w:r>
      <w:proofErr w:type="spellStart"/>
      <w:r>
        <w:t>Nisak</w:t>
      </w:r>
      <w:proofErr w:type="spellEnd"/>
      <w:r>
        <w:t xml:space="preserve">, 2023). These findings show that religious practices through the Teacher </w:t>
      </w:r>
      <w:r w:rsidR="008576A8">
        <w:t>Transformational</w:t>
      </w:r>
      <w:r>
        <w:t xml:space="preserve"> Program can play a role in maintaining social solidarity among students and the sustainability of the school community (</w:t>
      </w:r>
      <w:proofErr w:type="spellStart"/>
      <w:r>
        <w:t>Casram</w:t>
      </w:r>
      <w:proofErr w:type="spellEnd"/>
      <w:r>
        <w:t>, 2016). Durkheim views religious rituals as an important means of strengthening social bonds and providing a sense of unity among members of society (Hardy, 2019). Schools through teacher mobilizers can take advantage of innovative and reflective programs to strengthen social bonds among students, as well as create an environment that supports religious practice as part of efforts to maintain solidarity and unity.</w:t>
      </w:r>
    </w:p>
    <w:p w14:paraId="476BB9E6" w14:textId="3D27580C" w:rsidR="009C31A8" w:rsidRDefault="009C31A8" w:rsidP="009C31A8">
      <w:pPr>
        <w:pStyle w:val="Alishlah31text"/>
      </w:pPr>
      <w:r>
        <w:t xml:space="preserve">In addition, Bronisław Malinowski's theory that religious practices provide stability and tranquility to individuals is also relevant in this context (Acim &amp; </w:t>
      </w:r>
      <w:proofErr w:type="spellStart"/>
      <w:r>
        <w:t>Suharti</w:t>
      </w:r>
      <w:proofErr w:type="spellEnd"/>
      <w:r>
        <w:t xml:space="preserve">, 2023). The Teacher </w:t>
      </w:r>
      <w:r w:rsidR="008576A8">
        <w:t>Transformational</w:t>
      </w:r>
      <w:r>
        <w:t xml:space="preserve"> Program, through religious activities, can provide emotional support and security to students, assisting them in dealing with difficult situations and uncertainties in life. This is in line with findings that show that the program is able to encourage students to be more involved in religious activities that provide stability and support in their lives. In line with </w:t>
      </w:r>
      <w:proofErr w:type="spellStart"/>
      <w:r>
        <w:t>Ancok</w:t>
      </w:r>
      <w:proofErr w:type="spellEnd"/>
      <w:r>
        <w:t xml:space="preserve"> and </w:t>
      </w:r>
      <w:proofErr w:type="spellStart"/>
      <w:r>
        <w:t>Suroso's</w:t>
      </w:r>
      <w:proofErr w:type="spellEnd"/>
      <w:r>
        <w:t xml:space="preserve"> theory, religious practice is a dimension of religiosity that involves individual actions or behaviors related to religious beliefs (</w:t>
      </w:r>
      <w:proofErr w:type="spellStart"/>
      <w:r>
        <w:t>Ancok</w:t>
      </w:r>
      <w:proofErr w:type="spellEnd"/>
      <w:r>
        <w:t xml:space="preserve">, 2011). The Teacher </w:t>
      </w:r>
      <w:r w:rsidR="008576A8">
        <w:t>Transformational</w:t>
      </w:r>
      <w:r>
        <w:t xml:space="preserve"> Program helps students to apply religious teachings in daily life, which includes religious activities as a form of practicing religious teachings (Berthold &amp; Ruch, 2014). Thus, this program not only has an impact on the academic aspect, but also on the formation of students' religious character through strengthening religious practice.</w:t>
      </w:r>
    </w:p>
    <w:p w14:paraId="0AC7905D" w14:textId="55064F44" w:rsidR="009C31A8" w:rsidRDefault="009C31A8" w:rsidP="009C31A8">
      <w:pPr>
        <w:pStyle w:val="Alishlah31text"/>
      </w:pPr>
      <w:r>
        <w:t xml:space="preserve">These findings underscore the importance of the Teacher </w:t>
      </w:r>
      <w:r w:rsidR="008576A8">
        <w:t>Transformational</w:t>
      </w:r>
      <w:r>
        <w:t xml:space="preserve"> Program in supporting and facilitating students to practice better religious practices, strengthen social bonds, and create a school environment conducive to students' spiritual and religious development (Villatte et al., 2022). Through various innovative and collaborative programs, it can have a significant impact on the growth and development of students' positive behavior in daily life, as well as various training and professional development of teachers can be used as experience and knowledge in planning religious programs that have a direct impact on students' life behavior (Mohd et al., 2014).</w:t>
      </w:r>
    </w:p>
    <w:p w14:paraId="6369CD55" w14:textId="1CFB8E3C" w:rsidR="005B5AEC" w:rsidRPr="002B402C" w:rsidRDefault="009C31A8" w:rsidP="009C31A8">
      <w:pPr>
        <w:pStyle w:val="Alishlah31text"/>
        <w:rPr>
          <w:rFonts w:eastAsia="Arial"/>
        </w:rPr>
      </w:pPr>
      <w:r>
        <w:t>The Teacher Mobilizer program that shows the impact on students' religious practices can be seen as an effort to strengthen social bonds and solidarity among students, the support of all parties including parents further strengthens the moral values and personality ethics that are instilled in students' daily behavior (Birhan et al., 2021). When students are involved in religious activities and facilitated with adequate facilities that can foster a sense of unity and togetherness, they will be better able to carry out the role of members of the community who support and care for each other, according to how the limbs interact with each other and feel each other (Habashy et al., 2024). This can be used as a foundation in strengthening the importance of religious practices carried out by students, which not only strengthens their relationship with the Divine, but also with fellow human beings in the context of unity and solidarity.</w:t>
      </w:r>
    </w:p>
    <w:p w14:paraId="6CF730D5" w14:textId="77777777" w:rsidR="005B5AEC" w:rsidRPr="00723B12" w:rsidRDefault="005B5AEC" w:rsidP="002A02C2">
      <w:pPr>
        <w:pStyle w:val="Alishlah21heading1"/>
        <w:rPr>
          <w:rFonts w:eastAsia="Arial"/>
        </w:rPr>
      </w:pPr>
      <w:r w:rsidRPr="00723B12">
        <w:rPr>
          <w:rFonts w:eastAsia="Arial"/>
        </w:rPr>
        <w:t xml:space="preserve">CONCLUSION </w:t>
      </w:r>
    </w:p>
    <w:p w14:paraId="62195E5A" w14:textId="00338599" w:rsidR="002B31FD" w:rsidRDefault="009C31A8" w:rsidP="00727D5A">
      <w:pPr>
        <w:pStyle w:val="Alishlah31text"/>
      </w:pPr>
      <w:r w:rsidRPr="009C31A8">
        <w:t>The Guru Penggerak program has a small but significant impact on students' religious practices, which contributes to strengthening social solidarity and shaping students' religious character, in line with religious teachings on unity and togetherness among the people, the contribution of influence given is 10.7%.</w:t>
      </w:r>
    </w:p>
    <w:p w14:paraId="02459005" w14:textId="708CB615" w:rsidR="002B31FD" w:rsidRPr="00234749" w:rsidRDefault="002B31FD" w:rsidP="002B31FD">
      <w:pPr>
        <w:pStyle w:val="Alishlah62Acknowledgments"/>
      </w:pPr>
      <w:r>
        <w:rPr>
          <w:b/>
        </w:rPr>
        <w:lastRenderedPageBreak/>
        <w:t>Acknowledgments:</w:t>
      </w:r>
      <w:r w:rsidRPr="00234749">
        <w:t xml:space="preserve"> </w:t>
      </w:r>
      <w:r w:rsidR="00995F2A" w:rsidRPr="00995F2A">
        <w:t>Thank you for all the Principals of Public and Private Junior High Schools in Central Lombok Regency, Mr. and Mrs. Teachers who have helped to distribute the questionnaire, so that it makes it easier for researchers to get data, as well as all students who have given answers according to the actual conditions so that the author can easily get the data needed</w:t>
      </w:r>
      <w:r w:rsidRPr="00234749">
        <w:t>.</w:t>
      </w:r>
    </w:p>
    <w:p w14:paraId="41B2C3D1" w14:textId="3AAD7EE0" w:rsidR="002B31FD" w:rsidRDefault="002B31FD" w:rsidP="002B31FD">
      <w:pPr>
        <w:pStyle w:val="Alishlah62Acknowledgments"/>
        <w:rPr>
          <w:rFonts w:eastAsia="Arial"/>
        </w:rPr>
      </w:pPr>
      <w:r w:rsidRPr="004841C5">
        <w:rPr>
          <w:b/>
        </w:rPr>
        <w:t>Conflicts of Interest:</w:t>
      </w:r>
      <w:r w:rsidRPr="004841C5">
        <w:t xml:space="preserve"> </w:t>
      </w:r>
      <w:r w:rsidR="00300DB2" w:rsidRPr="00300DB2">
        <w:t xml:space="preserve">The author stated that there was no conflict of interest during the study, this study was only to see the extent to which the role of the </w:t>
      </w:r>
      <w:r w:rsidR="008576A8">
        <w:t>Transformational</w:t>
      </w:r>
      <w:r w:rsidR="00300DB2" w:rsidRPr="00300DB2">
        <w:t xml:space="preserve"> teacher influences the formation of behavior and morals in daily life both in the school environment and outside</w:t>
      </w:r>
      <w:r w:rsidRPr="004841C5">
        <w:t>.</w:t>
      </w:r>
    </w:p>
    <w:p w14:paraId="020F0505" w14:textId="77777777" w:rsidR="005B5AEC" w:rsidRDefault="005B5AEC" w:rsidP="002A02C2">
      <w:pPr>
        <w:pStyle w:val="Alishlah21heading1"/>
        <w:numPr>
          <w:ilvl w:val="0"/>
          <w:numId w:val="0"/>
        </w:numPr>
        <w:rPr>
          <w:rFonts w:eastAsia="Arial"/>
        </w:rPr>
      </w:pPr>
      <w:r w:rsidRPr="00723B12">
        <w:rPr>
          <w:rFonts w:eastAsia="Arial"/>
        </w:rPr>
        <w:t>REFERENCES</w:t>
      </w:r>
    </w:p>
    <w:p w14:paraId="696398E0" w14:textId="3500112B" w:rsidR="00300DB2" w:rsidRDefault="002B31FD" w:rsidP="00300DB2">
      <w:pPr>
        <w:pStyle w:val="Alishlah71References"/>
      </w:pPr>
      <w:r>
        <w:rPr>
          <w:rFonts w:asciiTheme="minorHAnsi" w:hAnsiTheme="minorHAnsi" w:cstheme="minorBidi"/>
          <w:noProof w:val="0"/>
          <w:sz w:val="22"/>
          <w:szCs w:val="22"/>
        </w:rPr>
        <w:fldChar w:fldCharType="begin" w:fldLock="1"/>
      </w:r>
      <w:r>
        <w:instrText xml:space="preserve">ADDIN Mendeley Bibliography CSL_BIBLIOGRAPHY </w:instrText>
      </w:r>
      <w:r>
        <w:rPr>
          <w:rFonts w:asciiTheme="minorHAnsi" w:hAnsiTheme="minorHAnsi" w:cstheme="minorBidi"/>
          <w:noProof w:val="0"/>
          <w:sz w:val="22"/>
          <w:szCs w:val="22"/>
        </w:rPr>
        <w:fldChar w:fldCharType="separate"/>
      </w:r>
      <w:r w:rsidR="00300DB2" w:rsidRPr="00300DB2">
        <w:t xml:space="preserve"> </w:t>
      </w:r>
      <w:r w:rsidR="00300DB2">
        <w:t>Acim, S. A., &amp; Suharti. (2023). The Concept ff Fiqh Al-Bī’ah in The Qur’an: A Study of the Quranic Verses on Environment in the Ulamas’ Views of Lombok. Ulumuna, 27(1), 115–140.</w:t>
      </w:r>
    </w:p>
    <w:p w14:paraId="27B78EB6" w14:textId="77777777" w:rsidR="00300DB2" w:rsidRDefault="00300DB2" w:rsidP="00300DB2">
      <w:pPr>
        <w:pStyle w:val="Alishlah71References"/>
      </w:pPr>
      <w:r>
        <w:t xml:space="preserve">Agung, A. A. G. (2018). Metodologi Penelitian Kuantitatif (Perspektif Manajemen Pendidikan). Universitas Pendidikan Ganesha. </w:t>
      </w:r>
    </w:p>
    <w:p w14:paraId="2CECC023" w14:textId="5E9F7E27" w:rsidR="00300DB2" w:rsidRDefault="00300DB2" w:rsidP="00300DB2">
      <w:pPr>
        <w:pStyle w:val="Alishlah71References"/>
        <w:ind w:firstLine="0"/>
      </w:pPr>
      <w:r>
        <w:t>https://scholar.google.com/scholar?cluster=16635617613994944513&amp;hl=en&amp;oi=scholarr</w:t>
      </w:r>
    </w:p>
    <w:p w14:paraId="1193D4BC" w14:textId="77777777" w:rsidR="00300DB2" w:rsidRDefault="00300DB2" w:rsidP="00300DB2">
      <w:pPr>
        <w:pStyle w:val="Alishlah71References"/>
      </w:pPr>
      <w:r>
        <w:t>Al-Disis, N. M., &amp; Rawadieh, S. M. (2020). Developing Education Profession Ethics Among Pre-services Teachers: Kohlberg Modeled Training Program Intervention. Journal of Education and Practice, 11(2). https://doi.org/10.7176/JEP/11-2-04</w:t>
      </w:r>
    </w:p>
    <w:p w14:paraId="6F54F7DA" w14:textId="77777777" w:rsidR="00300DB2" w:rsidRDefault="00300DB2" w:rsidP="00300DB2">
      <w:pPr>
        <w:pStyle w:val="Alishlah71References"/>
      </w:pPr>
      <w:r>
        <w:t>Alfarikh, R. F., Saleh, F. A., Hartati, S., Susilo, M., Puspita, E., Hartini, Y., &amp; Ramadhani, H. (2021). Implementation Religious Character Values for Students Through School Extracurricular Programs. International Journal of Multidisciplinary Research of Higher Education, 4(3), 111–123. https://doi.org/10.24036/ijmurhica.v4i3.87</w:t>
      </w:r>
    </w:p>
    <w:p w14:paraId="29B551F2" w14:textId="77777777" w:rsidR="00300DB2" w:rsidRDefault="00300DB2" w:rsidP="00300DB2">
      <w:pPr>
        <w:pStyle w:val="Alishlah71References"/>
      </w:pPr>
      <w:r>
        <w:t>Ancok, D. (2011). Psikologi Islam: Solusi Islam atas Problem-problem Psikologi (VIII). Pustaka Belajar.</w:t>
      </w:r>
    </w:p>
    <w:p w14:paraId="2C156C2F" w14:textId="3CD8CF3E" w:rsidR="00300DB2" w:rsidRDefault="00300DB2" w:rsidP="00300DB2">
      <w:pPr>
        <w:pStyle w:val="Alishlah71References"/>
      </w:pPr>
      <w:r>
        <w:t>Apriono, D. (2013). Pembelajaran Kolaboratif:</w:t>
      </w:r>
    </w:p>
    <w:p w14:paraId="4CE4148D" w14:textId="77777777" w:rsidR="00300DB2" w:rsidRDefault="00300DB2" w:rsidP="00300DB2">
      <w:pPr>
        <w:pStyle w:val="Alishlah71References"/>
      </w:pPr>
      <w:r>
        <w:t>Arlina, A., Lestari, A., Putri, A., Rambe, A., Elsil, E. A., &amp; Jamilah, J. (2024). Peran Pendidikan Agama Islam dalam Membentuk Karakter Bangsa. El-Mujtama: Jurnal Pengabdian Masyarakat, 4(2), 699–709. https://doi.org/10.47467/elmujtama.v4i2.999</w:t>
      </w:r>
    </w:p>
    <w:p w14:paraId="64F53804" w14:textId="77777777" w:rsidR="00300DB2" w:rsidRDefault="00300DB2" w:rsidP="00300DB2">
      <w:pPr>
        <w:pStyle w:val="Alishlah71References"/>
      </w:pPr>
      <w:r>
        <w:t>Berthold, A., &amp; Ruch, W. (2014). Satisfaction with life and character strengths of non-religious and religious people: Itâ€TMs practicing oneâ€TMs religion that makes the difference. Frontiers in Psychology, 5. https://doi.org/10.3389/fpsyg.2014.00876</w:t>
      </w:r>
    </w:p>
    <w:p w14:paraId="2E72E6A4" w14:textId="77777777" w:rsidR="00300DB2" w:rsidRDefault="00300DB2" w:rsidP="00300DB2">
      <w:pPr>
        <w:pStyle w:val="Alishlah71References"/>
      </w:pPr>
      <w:r>
        <w:t>Birhan, W., Shiferaw, G., Amsalu, A., Tamiru, M., &amp; Tiruye, H. (2021). Exploring the context of teaching character education to children in preprimary and primary schools. Social Sciences &amp; Humanities Open, 4(1), 100171. https://doi.org/10.1016/j.ssaho.2021.100171</w:t>
      </w:r>
    </w:p>
    <w:p w14:paraId="0906FEB8" w14:textId="77777777" w:rsidR="00300DB2" w:rsidRDefault="00300DB2" w:rsidP="00300DB2">
      <w:pPr>
        <w:pStyle w:val="Alishlah71References"/>
      </w:pPr>
      <w:r>
        <w:t>Casram, C. (2016). Membangun Sikap Toleransi Beragama dalam Masyarakat Plural. Wawasan: Jurnal Ilmiah Agama dan Sosial Budaya, 1(2), 187–198. https://doi.org/10.15575/jw.v1i2.588</w:t>
      </w:r>
    </w:p>
    <w:p w14:paraId="6C6683DA" w14:textId="77777777" w:rsidR="00300DB2" w:rsidRDefault="00300DB2" w:rsidP="00300DB2">
      <w:pPr>
        <w:pStyle w:val="Alishlah71References"/>
      </w:pPr>
      <w:r>
        <w:t>Cortes, S. T., Lorca, A. S., Pineda, H. A., Tubog, R., &amp; Vilbar, A. (2024). Strengthening science education in basic education through a professional development program on participatory action research for science teachers. Social Sciences &amp; Humanities Open, 10, 101194. https://doi.org/10.1016/j.ssaho.2024.101194</w:t>
      </w:r>
    </w:p>
    <w:p w14:paraId="33DD2613" w14:textId="77777777" w:rsidR="00300DB2" w:rsidRDefault="00300DB2" w:rsidP="00300DB2">
      <w:pPr>
        <w:pStyle w:val="Alishlah71References"/>
      </w:pPr>
      <w:r>
        <w:t>Darma, A. (2022). Paket Modul 1: Paradigma dan Visi Guru Penggerak Modul 1.2 “Nilai-nilai dan Peran Guru Penggerak” (3rd ed.). Direktorat Jenderal Guru dan Tenaga Kependidikan, Kementerian Pendidikan, Kebudayaan, Riset dan Teknologi.</w:t>
      </w:r>
    </w:p>
    <w:p w14:paraId="460A85B0" w14:textId="77777777" w:rsidR="00300DB2" w:rsidRDefault="00300DB2" w:rsidP="00300DB2">
      <w:pPr>
        <w:pStyle w:val="Alishlah71References"/>
      </w:pPr>
      <w:r>
        <w:t>Habashy, N., Webster, N., &amp; Hunt, C. A. (2024). Decolonizing or Re-colonizing? Community members’ perspectives of global service learning programs. World Development Sustainability, 5, 100190. https://doi.org/10.1016/j.wds.2024.100190</w:t>
      </w:r>
    </w:p>
    <w:p w14:paraId="1CB7822A" w14:textId="77777777" w:rsidR="00300DB2" w:rsidRDefault="00300DB2" w:rsidP="00300DB2">
      <w:pPr>
        <w:pStyle w:val="Alishlah71References"/>
      </w:pPr>
      <w:r>
        <w:t>Hair, J. F., Hult, G. T. M., Ringle, C. M., Sarstedt, M., Danks, N. P., &amp; Ray, S. (2021). Partial Least Squares Structural Equation Modeling (PLS-SEM) Using R: A Workbook. Springer International Publishing. https://doi.org/10.1007/978-3-030-80519-7</w:t>
      </w:r>
    </w:p>
    <w:p w14:paraId="470934D6" w14:textId="77777777" w:rsidR="00300DB2" w:rsidRDefault="00300DB2" w:rsidP="00300DB2">
      <w:pPr>
        <w:pStyle w:val="Alishlah71References"/>
      </w:pPr>
      <w:r>
        <w:t>Hair, J. F., Risher, J. J., Sarstedt, M., &amp; Ringle, C. M. (2019a). When to use and how to report the results of PLS-SEM. European Business Review, 31(1), 2–24. https://doi.org/10.1108/EBR-11-2018-0203</w:t>
      </w:r>
    </w:p>
    <w:p w14:paraId="473CDCB2" w14:textId="77777777" w:rsidR="00300DB2" w:rsidRDefault="00300DB2" w:rsidP="00300DB2">
      <w:pPr>
        <w:pStyle w:val="Alishlah71References"/>
      </w:pPr>
      <w:r>
        <w:t xml:space="preserve">Hair, J. F., Risher, J. J., Sarstedt, M., &amp; Ringle, C. M. (2019b). When to use and how to report the results </w:t>
      </w:r>
      <w:r>
        <w:lastRenderedPageBreak/>
        <w:t>of PLS-SEM. European Business Review, 31(1), 2–24. https://doi.org/10.1108/EBR-11-2018-0203</w:t>
      </w:r>
    </w:p>
    <w:p w14:paraId="04EB622C" w14:textId="77777777" w:rsidR="00300DB2" w:rsidRDefault="00300DB2" w:rsidP="00300DB2">
      <w:pPr>
        <w:pStyle w:val="Alishlah71References"/>
      </w:pPr>
      <w:r>
        <w:t>Hardy, J. (2019). Emile Durkheim’s Elementary Forms of Religious Life as Seen through Star Wars [Preprint]. SocArXiv. https://doi.org/10.31235/osf.io/a48ev</w:t>
      </w:r>
    </w:p>
    <w:p w14:paraId="5521ECBA" w14:textId="77777777" w:rsidR="00300DB2" w:rsidRDefault="00300DB2" w:rsidP="00300DB2">
      <w:pPr>
        <w:pStyle w:val="Alishlah71References"/>
      </w:pPr>
      <w:r>
        <w:t>Junianto, M., Bashori, K., &amp; Hidayah, N. (2020). Validitas dan Reliabilitas Skala Student Engagement. Jurnal RAP (Riset Aktual Psikologi Universitas Negeri Padang), 11(2), 139. https://doi.org/10.24036/rapun.v11i2.109771</w:t>
      </w:r>
    </w:p>
    <w:p w14:paraId="118384FF" w14:textId="77777777" w:rsidR="00300DB2" w:rsidRDefault="00300DB2" w:rsidP="00300DB2">
      <w:pPr>
        <w:pStyle w:val="Alishlah71References"/>
      </w:pPr>
      <w:r>
        <w:t>Kusuma, O. D., Sari, I., &amp; Suharsih, S. (2022). Pengelolaan Program yang Berdampak Positif pada Murid (3rd ed.). Direktorat Jendral Guru dan Tenaga Kendidikan.</w:t>
      </w:r>
    </w:p>
    <w:p w14:paraId="7D91F3EA" w14:textId="77777777" w:rsidR="00300DB2" w:rsidRDefault="00300DB2" w:rsidP="00300DB2">
      <w:pPr>
        <w:pStyle w:val="Alishlah71References"/>
      </w:pPr>
      <w:r>
        <w:t>Li, Y., &amp; Lerner, R. M. (2013). Interrelations of Behavioral, Emotional, and Cognitive School Engagement in High School Students. Journal of Youth and Adolescence, 42(1), 20–32. https://doi.org/10.1007/s10964-012-9857-5</w:t>
      </w:r>
    </w:p>
    <w:p w14:paraId="63474A92" w14:textId="77777777" w:rsidR="00300DB2" w:rsidRDefault="00300DB2" w:rsidP="00300DB2">
      <w:pPr>
        <w:pStyle w:val="Alishlah71References"/>
      </w:pPr>
      <w:r>
        <w:t>Manalu, J. (2022). Program Pendidikan Guru Penggerak: Pijakan Kurikulum Merdeka Sebagai Implementasi Merdeka Belajar. Jurnal Pengajaran dan Riset, 01(01).</w:t>
      </w:r>
    </w:p>
    <w:p w14:paraId="4104B8E7" w14:textId="77777777" w:rsidR="00300DB2" w:rsidRDefault="00300DB2" w:rsidP="00300DB2">
      <w:pPr>
        <w:pStyle w:val="Alishlah71References"/>
      </w:pPr>
      <w:r>
        <w:t>Mohd, R., Kirana, K., Kamaruddin, B. H., Zainuddin, A., &amp; Ghazali, M. C. (2014). The Mediatory Effect of Self-efficacy on the Relationship between Religious Values and Entrepreneurial Orientations: A Case of Malay Owner Managers of SMEs in Manufacturing Industry. Procedia - Social and Behavioral Sciences, 130, 96–104. https://doi.org/10.1016/j.sbspro.2014.04.012</w:t>
      </w:r>
    </w:p>
    <w:p w14:paraId="6D36450A" w14:textId="42566FDA" w:rsidR="00300DB2" w:rsidRDefault="00300DB2" w:rsidP="00300DB2">
      <w:pPr>
        <w:pStyle w:val="Alishlah71References"/>
      </w:pPr>
      <w:r>
        <w:t>Nisak, K. (2023). Cash Waqf Linked Blue Sukuk: an analysis of fiqh al-biah. 5.</w:t>
      </w:r>
    </w:p>
    <w:p w14:paraId="560389A4" w14:textId="77777777" w:rsidR="00300DB2" w:rsidRDefault="00300DB2" w:rsidP="00300DB2">
      <w:pPr>
        <w:pStyle w:val="Alishlah71References"/>
      </w:pPr>
      <w:r>
        <w:t>Nurbaiti, R., Alwy, S., &amp; Taulabi, I. (2020). Pembentukan Karakter Religius Siswa Melalui Pembiasaan Aktivitas Keagamaan. eL Bidayah: Journal of Islamic Elementary Education, 2(1), 55–66. https://doi.org/10.33367/jiee.v2i1.995</w:t>
      </w:r>
    </w:p>
    <w:p w14:paraId="60C43FE7" w14:textId="6BC55DC1" w:rsidR="00300DB2" w:rsidRDefault="00300DB2" w:rsidP="00300DB2">
      <w:pPr>
        <w:pStyle w:val="Alishlah71References"/>
      </w:pPr>
      <w:r>
        <w:t>Rahmadi, P., &amp; Pancarania, D. P. (2020). Peran Guru Dalam Membentuk Sikap Disiplin Siswa Kelas I Sekolah Dasar Melalui Penghargaan Dan Konsekuensi [The Role Of Teachers In Shaping The Discipline Attitudes Of Grade 1 Elementary School Students Through Rewards And Consequences]. JOHME: Journal of Holistic Mathematics Education, 4(1), 80. https://doi.org/10.19166/johme.v4i1.2755</w:t>
      </w:r>
    </w:p>
    <w:p w14:paraId="63D46D43" w14:textId="6C02BC9A" w:rsidR="00300DB2" w:rsidRDefault="00300DB2" w:rsidP="00300DB2">
      <w:pPr>
        <w:pStyle w:val="Alishlah71References"/>
      </w:pPr>
      <w:r>
        <w:t>Siregar, J. H., Anwar, C., &amp; Sofia, I. P. (2021). Pelatihan Bebras Computational Thinking Untuk Guru Penggerak. LPPM UMJ, 1(1).</w:t>
      </w:r>
    </w:p>
    <w:p w14:paraId="67709634" w14:textId="77777777" w:rsidR="00300DB2" w:rsidRDefault="00300DB2" w:rsidP="00300DB2">
      <w:pPr>
        <w:pStyle w:val="Alishlah71References"/>
      </w:pPr>
      <w:r>
        <w:t>Villatte, A., Piché, G., &amp; Benjamin, S. (2022). Perceived Support and Sense of Social Belonging in Young Adults Who Have a Parent With a Mental Illness. Frontiers in Psychiatry, 12, 793344. https://doi.org/10.3389/fpsyt.2021.793344</w:t>
      </w:r>
    </w:p>
    <w:p w14:paraId="653F3430" w14:textId="77777777" w:rsidR="00300DB2" w:rsidRDefault="00300DB2" w:rsidP="00300DB2">
      <w:pPr>
        <w:pStyle w:val="Alishlah71References"/>
      </w:pPr>
      <w:r>
        <w:t>Ye, M., Wang, D., Wang, L., Zhang, Y., &amp; Li, X. (2024). Optimal design and performance evaluation of grinding wheels with triply periodic minimal surface lattice structure. Journal of Materials Research and Technology, 32, 3181–3193. https://doi.org/10.1016/j.jmrt.2024.08.092</w:t>
      </w:r>
    </w:p>
    <w:p w14:paraId="29D58CD4" w14:textId="44C1F379" w:rsidR="002B31FD" w:rsidRPr="00613D51" w:rsidRDefault="00300DB2" w:rsidP="00300DB2">
      <w:pPr>
        <w:pStyle w:val="Alishlah71References"/>
      </w:pPr>
      <w:r>
        <w:t>Zulkarnain, Z., &amp; Haq, Z. (2020). Pengaruh Fanatisme Keagamaan terhadap Perilaku Sosial. Kontekstualita, 35(01), 25–38. https://doi.org/10.30631/35.01.25-38</w:t>
      </w:r>
      <w:r w:rsidR="002B31FD" w:rsidRPr="00613D51">
        <w:t>.</w:t>
      </w:r>
    </w:p>
    <w:p w14:paraId="00887A7C" w14:textId="77777777" w:rsidR="00143989" w:rsidRPr="00723B12" w:rsidRDefault="002B31FD" w:rsidP="002B31FD">
      <w:pPr>
        <w:pStyle w:val="Alishlah71References"/>
      </w:pPr>
      <w:r>
        <w:fldChar w:fldCharType="end"/>
      </w:r>
    </w:p>
    <w:sectPr w:rsidR="00143989"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38069" w14:textId="77777777" w:rsidR="00F66BEA" w:rsidRDefault="00F66BEA" w:rsidP="008E64A2">
      <w:pPr>
        <w:spacing w:after="0" w:line="240" w:lineRule="auto"/>
      </w:pPr>
      <w:r>
        <w:separator/>
      </w:r>
    </w:p>
    <w:p w14:paraId="3A91FEFB" w14:textId="77777777" w:rsidR="00F66BEA" w:rsidRDefault="00F66BEA"/>
  </w:endnote>
  <w:endnote w:type="continuationSeparator" w:id="0">
    <w:p w14:paraId="4155DF4D" w14:textId="77777777" w:rsidR="00F66BEA" w:rsidRDefault="00F66BEA" w:rsidP="008E64A2">
      <w:pPr>
        <w:spacing w:after="0" w:line="240" w:lineRule="auto"/>
      </w:pPr>
      <w:r>
        <w:continuationSeparator/>
      </w:r>
    </w:p>
    <w:p w14:paraId="16645B47" w14:textId="77777777" w:rsidR="00F66BEA" w:rsidRDefault="00F66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4F6A"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1D033"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93B3D" w14:textId="77777777" w:rsidR="00F66BEA" w:rsidRDefault="00F66BEA" w:rsidP="008E64A2">
      <w:pPr>
        <w:spacing w:after="0" w:line="240" w:lineRule="auto"/>
      </w:pPr>
      <w:r>
        <w:separator/>
      </w:r>
    </w:p>
    <w:p w14:paraId="3EE2777D" w14:textId="77777777" w:rsidR="00F66BEA" w:rsidRDefault="00F66BEA"/>
  </w:footnote>
  <w:footnote w:type="continuationSeparator" w:id="0">
    <w:p w14:paraId="01970A92" w14:textId="77777777" w:rsidR="00F66BEA" w:rsidRDefault="00F66BEA" w:rsidP="008E64A2">
      <w:pPr>
        <w:spacing w:after="0" w:line="240" w:lineRule="auto"/>
      </w:pPr>
      <w:r>
        <w:continuationSeparator/>
      </w:r>
    </w:p>
    <w:p w14:paraId="1A7D38FD" w14:textId="77777777" w:rsidR="00F66BEA" w:rsidRDefault="00F66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5E8A"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B6B3D13" wp14:editId="4C12DB1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EA378"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9DB933A" w14:textId="77777777" w:rsidR="003100AD" w:rsidRDefault="00310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02F40"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532192ED"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4A0E5E6C"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A6AFADD" wp14:editId="4526A20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AFE8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34514"/>
    <w:rsid w:val="000061CE"/>
    <w:rsid w:val="00031DD5"/>
    <w:rsid w:val="000333AC"/>
    <w:rsid w:val="000355EA"/>
    <w:rsid w:val="00035C67"/>
    <w:rsid w:val="00056E9C"/>
    <w:rsid w:val="000735BB"/>
    <w:rsid w:val="00075197"/>
    <w:rsid w:val="000831BD"/>
    <w:rsid w:val="00086AE3"/>
    <w:rsid w:val="000A13A3"/>
    <w:rsid w:val="000A36F0"/>
    <w:rsid w:val="000D5EE8"/>
    <w:rsid w:val="000E2588"/>
    <w:rsid w:val="000E2C60"/>
    <w:rsid w:val="000E7A05"/>
    <w:rsid w:val="000F1812"/>
    <w:rsid w:val="000F46AA"/>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2E6A"/>
    <w:rsid w:val="002A7ABC"/>
    <w:rsid w:val="002B31FD"/>
    <w:rsid w:val="002B59BA"/>
    <w:rsid w:val="002C57D4"/>
    <w:rsid w:val="002F25E3"/>
    <w:rsid w:val="00300DB2"/>
    <w:rsid w:val="003037AA"/>
    <w:rsid w:val="00307DF5"/>
    <w:rsid w:val="003100AD"/>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528"/>
    <w:rsid w:val="003E5BB6"/>
    <w:rsid w:val="003F3A9E"/>
    <w:rsid w:val="004258A8"/>
    <w:rsid w:val="0043101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E6A15"/>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23BA"/>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77FC2"/>
    <w:rsid w:val="00784B9B"/>
    <w:rsid w:val="00787398"/>
    <w:rsid w:val="007A2C38"/>
    <w:rsid w:val="007B2B7A"/>
    <w:rsid w:val="007B716C"/>
    <w:rsid w:val="007E0F04"/>
    <w:rsid w:val="007E5CEF"/>
    <w:rsid w:val="007E6AA6"/>
    <w:rsid w:val="007E6E1C"/>
    <w:rsid w:val="007F0542"/>
    <w:rsid w:val="007F2733"/>
    <w:rsid w:val="00802C6D"/>
    <w:rsid w:val="008036D9"/>
    <w:rsid w:val="008062ED"/>
    <w:rsid w:val="00834514"/>
    <w:rsid w:val="008477FA"/>
    <w:rsid w:val="008576A8"/>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95F2A"/>
    <w:rsid w:val="009B07D9"/>
    <w:rsid w:val="009C1B55"/>
    <w:rsid w:val="009C31A8"/>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4F87"/>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106B"/>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6BEA"/>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B947F"/>
  <w15:chartTrackingRefBased/>
  <w15:docId w15:val="{28935F52-438E-4860-B9FF-CA98926B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List Paragraph11,Heading 10,Colorful List - Accent 11,Body of text+1,Body of text+2,Body of text+3,Medium Grid 1 - Accent 21,KhusBay,sub-section,Normal1,Light Grid - Accent 31,soal jawab,HEADING 1"/>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KhusBay Char,sub-section Char"/>
    <w:basedOn w:val="DefaultParagraphFont"/>
    <w:link w:val="ListParagraph"/>
    <w:uiPriority w:val="1"/>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semiHidden/>
    <w:unhideWhenUsed/>
    <w:rsid w:val="004E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ham\Downloads\Template-202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asca%20UIN%20S3\DISERTASI%20KU\Bahan%20Disertasiku\Disertasi%20Setalah%20Konsultasi\Disertasi%20Setelah%20Ujian\Data%20Final%20426\Data%20Final%20426%20sisw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Sheet3!$L$48</c:f>
              <c:strCache>
                <c:ptCount val="1"/>
                <c:pt idx="0">
                  <c:v>Frequency</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Sheet3!$K$49:$K$53</c:f>
              <c:strCache>
                <c:ptCount val="5"/>
                <c:pt idx="0">
                  <c:v>Very High</c:v>
                </c:pt>
                <c:pt idx="1">
                  <c:v>High</c:v>
                </c:pt>
                <c:pt idx="2">
                  <c:v>Medium</c:v>
                </c:pt>
                <c:pt idx="3">
                  <c:v>Low</c:v>
                </c:pt>
                <c:pt idx="4">
                  <c:v>Very Low</c:v>
                </c:pt>
              </c:strCache>
            </c:strRef>
          </c:cat>
          <c:val>
            <c:numRef>
              <c:f>Sheet3!$L$49:$L$53</c:f>
              <c:numCache>
                <c:formatCode>General</c:formatCode>
                <c:ptCount val="5"/>
                <c:pt idx="0">
                  <c:v>76</c:v>
                </c:pt>
                <c:pt idx="1">
                  <c:v>104</c:v>
                </c:pt>
                <c:pt idx="2">
                  <c:v>177</c:v>
                </c:pt>
                <c:pt idx="3">
                  <c:v>54</c:v>
                </c:pt>
                <c:pt idx="4">
                  <c:v>15</c:v>
                </c:pt>
              </c:numCache>
            </c:numRef>
          </c:val>
          <c:extLst>
            <c:ext xmlns:c16="http://schemas.microsoft.com/office/drawing/2014/chart" uri="{C3380CC4-5D6E-409C-BE32-E72D297353CC}">
              <c16:uniqueId val="{00000000-1C6F-4BB9-8661-12B43E122AD7}"/>
            </c:ext>
          </c:extLst>
        </c:ser>
        <c:dLbls>
          <c:showLegendKey val="0"/>
          <c:showVal val="1"/>
          <c:showCatName val="0"/>
          <c:showSerName val="0"/>
          <c:showPercent val="0"/>
          <c:showBubbleSize val="0"/>
        </c:dLbls>
        <c:gapWidth val="150"/>
        <c:shape val="box"/>
        <c:axId val="408493680"/>
        <c:axId val="410740880"/>
        <c:axId val="0"/>
      </c:bar3DChart>
      <c:catAx>
        <c:axId val="408493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en-ID">
                    <a:latin typeface="Palatino Linotype" panose="02040502050505030304" pitchFamily="18" charset="0"/>
                  </a:rPr>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10740880"/>
        <c:crosses val="autoZero"/>
        <c:auto val="1"/>
        <c:lblAlgn val="ctr"/>
        <c:lblOffset val="100"/>
        <c:noMultiLvlLbl val="0"/>
      </c:catAx>
      <c:valAx>
        <c:axId val="410740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en-ID">
                    <a:latin typeface="Palatino Linotype" panose="02040502050505030304" pitchFamily="18" charset="0"/>
                  </a:rPr>
                  <a:t>Category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0849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Sheet3!$L$48</c:f>
              <c:strCache>
                <c:ptCount val="1"/>
                <c:pt idx="0">
                  <c:v>Frequency</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Sheet3!$K$49:$K$53</c:f>
              <c:strCache>
                <c:ptCount val="5"/>
                <c:pt idx="0">
                  <c:v>Very High</c:v>
                </c:pt>
                <c:pt idx="1">
                  <c:v>High</c:v>
                </c:pt>
                <c:pt idx="2">
                  <c:v>Medium</c:v>
                </c:pt>
                <c:pt idx="3">
                  <c:v>Low</c:v>
                </c:pt>
                <c:pt idx="4">
                  <c:v>Very Low</c:v>
                </c:pt>
              </c:strCache>
            </c:strRef>
          </c:cat>
          <c:val>
            <c:numRef>
              <c:f>Sheet3!$L$49:$L$53</c:f>
              <c:numCache>
                <c:formatCode>General</c:formatCode>
                <c:ptCount val="5"/>
                <c:pt idx="0">
                  <c:v>68</c:v>
                </c:pt>
                <c:pt idx="1">
                  <c:v>96</c:v>
                </c:pt>
                <c:pt idx="2">
                  <c:v>137</c:v>
                </c:pt>
                <c:pt idx="3">
                  <c:v>86</c:v>
                </c:pt>
                <c:pt idx="4">
                  <c:v>39</c:v>
                </c:pt>
              </c:numCache>
            </c:numRef>
          </c:val>
          <c:extLst>
            <c:ext xmlns:c16="http://schemas.microsoft.com/office/drawing/2014/chart" uri="{C3380CC4-5D6E-409C-BE32-E72D297353CC}">
              <c16:uniqueId val="{00000000-B218-4546-917C-456D57EFA224}"/>
            </c:ext>
          </c:extLst>
        </c:ser>
        <c:dLbls>
          <c:showLegendKey val="0"/>
          <c:showVal val="1"/>
          <c:showCatName val="0"/>
          <c:showSerName val="0"/>
          <c:showPercent val="0"/>
          <c:showBubbleSize val="0"/>
        </c:dLbls>
        <c:gapWidth val="150"/>
        <c:shape val="box"/>
        <c:axId val="408493680"/>
        <c:axId val="410740880"/>
        <c:axId val="0"/>
      </c:bar3DChart>
      <c:catAx>
        <c:axId val="408493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en-ID">
                    <a:latin typeface="Palatino Linotype" panose="02040502050505030304" pitchFamily="18" charset="0"/>
                  </a:rPr>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10740880"/>
        <c:crosses val="autoZero"/>
        <c:auto val="1"/>
        <c:lblAlgn val="ctr"/>
        <c:lblOffset val="100"/>
        <c:noMultiLvlLbl val="0"/>
      </c:catAx>
      <c:valAx>
        <c:axId val="410740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r>
                  <a:rPr lang="en-ID">
                    <a:latin typeface="Palatino Linotype" panose="02040502050505030304" pitchFamily="18" charset="0"/>
                  </a:rPr>
                  <a:t>Category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0849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110</TotalTime>
  <Pages>9</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Mansur</dc:creator>
  <cp:keywords/>
  <dc:description/>
  <cp:lastModifiedBy>Muhamad Mansur</cp:lastModifiedBy>
  <cp:revision>3</cp:revision>
  <cp:lastPrinted>2022-03-12T14:54:00Z</cp:lastPrinted>
  <dcterms:created xsi:type="dcterms:W3CDTF">2024-12-12T01:24:00Z</dcterms:created>
  <dcterms:modified xsi:type="dcterms:W3CDTF">2024-12-13T02:46:00Z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