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8FB4A" w14:textId="76226E4E" w:rsidR="008E64A2" w:rsidRPr="00A75CB1" w:rsidRDefault="00CF34E8" w:rsidP="00CF34E8">
      <w:pPr>
        <w:pStyle w:val="Alishlah12title"/>
        <w:spacing w:before="360" w:line="240" w:lineRule="auto"/>
      </w:pPr>
      <w:r w:rsidRPr="00CF34E8">
        <w:t>CAREER SATISFACTION AMONG ISLAMIC GUIDANCE AND COUNSELING TEACHERS: THE ADDITION OF GRATITUDE VARIABLES TO GREENHAUS’ THEORY</w:t>
      </w:r>
    </w:p>
    <w:p w14:paraId="6D422DEF" w14:textId="797950C9" w:rsidR="00CF34E8" w:rsidRPr="00C111E5" w:rsidRDefault="00CF34E8" w:rsidP="00CF34E8">
      <w:pPr>
        <w:spacing w:after="0" w:line="240" w:lineRule="auto"/>
        <w:rPr>
          <w:rFonts w:ascii="Garamond" w:eastAsia="Garamond" w:hAnsi="Garamond" w:cs="Garamond"/>
          <w:b/>
        </w:rPr>
      </w:pPr>
      <w:proofErr w:type="spellStart"/>
      <w:r w:rsidRPr="00C111E5">
        <w:rPr>
          <w:rFonts w:ascii="Garamond" w:eastAsia="Garamond" w:hAnsi="Garamond" w:cs="Garamond"/>
          <w:b/>
        </w:rPr>
        <w:t>Cucu</w:t>
      </w:r>
      <w:proofErr w:type="spellEnd"/>
      <w:r w:rsidRPr="00C111E5">
        <w:rPr>
          <w:rFonts w:ascii="Garamond" w:eastAsia="Garamond" w:hAnsi="Garamond" w:cs="Garamond"/>
          <w:b/>
        </w:rPr>
        <w:t xml:space="preserve"> Arumsari</w:t>
      </w:r>
      <w:r w:rsidRPr="00C111E5">
        <w:rPr>
          <w:rFonts w:ascii="Garamond" w:eastAsia="Garamond" w:hAnsi="Garamond" w:cs="Garamond"/>
          <w:b/>
          <w:vertAlign w:val="superscript"/>
        </w:rPr>
        <w:t>1,*</w:t>
      </w:r>
      <w:r w:rsidRPr="00C111E5">
        <w:rPr>
          <w:rFonts w:ascii="Garamond" w:eastAsia="Garamond" w:hAnsi="Garamond" w:cs="Garamond"/>
          <w:b/>
        </w:rPr>
        <w:t>, Uman Suherman</w:t>
      </w:r>
      <w:r>
        <w:rPr>
          <w:rFonts w:ascii="Garamond" w:eastAsia="Garamond" w:hAnsi="Garamond" w:cs="Garamond"/>
          <w:b/>
          <w:vertAlign w:val="superscript"/>
        </w:rPr>
        <w:t>2</w:t>
      </w:r>
      <w:r w:rsidRPr="00C111E5">
        <w:rPr>
          <w:rFonts w:ascii="Garamond" w:eastAsia="Garamond" w:hAnsi="Garamond" w:cs="Garamond"/>
          <w:b/>
        </w:rPr>
        <w:t>, J</w:t>
      </w:r>
      <w:proofErr w:type="spellStart"/>
      <w:r w:rsidRPr="00C111E5">
        <w:rPr>
          <w:rFonts w:ascii="Garamond" w:eastAsia="Garamond" w:hAnsi="Garamond" w:cs="Garamond"/>
          <w:b/>
        </w:rPr>
        <w:t>untika</w:t>
      </w:r>
      <w:proofErr w:type="spellEnd"/>
      <w:r w:rsidRPr="00C111E5">
        <w:rPr>
          <w:rFonts w:ascii="Garamond" w:eastAsia="Garamond" w:hAnsi="Garamond" w:cs="Garamond"/>
          <w:b/>
        </w:rPr>
        <w:t xml:space="preserve"> Nurihsan</w:t>
      </w:r>
      <w:r>
        <w:rPr>
          <w:rFonts w:ascii="Garamond" w:eastAsia="Garamond" w:hAnsi="Garamond" w:cs="Garamond"/>
          <w:b/>
          <w:vertAlign w:val="superscript"/>
        </w:rPr>
        <w:t>3</w:t>
      </w:r>
      <w:r w:rsidRPr="00C111E5">
        <w:rPr>
          <w:rFonts w:ascii="Garamond" w:eastAsia="Garamond" w:hAnsi="Garamond" w:cs="Garamond"/>
          <w:b/>
        </w:rPr>
        <w:t>, Y</w:t>
      </w:r>
      <w:proofErr w:type="spellStart"/>
      <w:r w:rsidRPr="00C111E5">
        <w:rPr>
          <w:rFonts w:ascii="Garamond" w:eastAsia="Garamond" w:hAnsi="Garamond" w:cs="Garamond"/>
          <w:b/>
        </w:rPr>
        <w:t>usi</w:t>
      </w:r>
      <w:proofErr w:type="spellEnd"/>
      <w:r w:rsidRPr="00C111E5">
        <w:rPr>
          <w:rFonts w:ascii="Garamond" w:eastAsia="Garamond" w:hAnsi="Garamond" w:cs="Garamond"/>
          <w:b/>
        </w:rPr>
        <w:t xml:space="preserve"> </w:t>
      </w:r>
      <w:proofErr w:type="spellStart"/>
      <w:r w:rsidRPr="00C111E5">
        <w:rPr>
          <w:rFonts w:ascii="Garamond" w:eastAsia="Garamond" w:hAnsi="Garamond" w:cs="Garamond"/>
          <w:b/>
        </w:rPr>
        <w:t>Riska</w:t>
      </w:r>
      <w:proofErr w:type="spellEnd"/>
      <w:r w:rsidRPr="00C111E5">
        <w:rPr>
          <w:rFonts w:ascii="Garamond" w:eastAsia="Garamond" w:hAnsi="Garamond" w:cs="Garamond"/>
          <w:b/>
        </w:rPr>
        <w:t xml:space="preserve"> Yustiana</w:t>
      </w:r>
      <w:r>
        <w:rPr>
          <w:rFonts w:ascii="Garamond" w:eastAsia="Garamond" w:hAnsi="Garamond" w:cs="Garamond"/>
          <w:b/>
          <w:vertAlign w:val="superscript"/>
        </w:rPr>
        <w:t>4</w:t>
      </w:r>
      <w:r w:rsidRPr="00C111E5">
        <w:rPr>
          <w:rFonts w:ascii="Garamond" w:eastAsia="Garamond" w:hAnsi="Garamond" w:cs="Garamond"/>
          <w:b/>
        </w:rPr>
        <w:t xml:space="preserve">, </w:t>
      </w:r>
      <w:proofErr w:type="spellStart"/>
      <w:r w:rsidRPr="00C111E5">
        <w:rPr>
          <w:rFonts w:ascii="Garamond" w:eastAsia="Garamond" w:hAnsi="Garamond" w:cs="Garamond"/>
          <w:b/>
        </w:rPr>
        <w:t>Eko</w:t>
      </w:r>
      <w:proofErr w:type="spellEnd"/>
      <w:r w:rsidRPr="00C111E5">
        <w:rPr>
          <w:rFonts w:ascii="Garamond" w:eastAsia="Garamond" w:hAnsi="Garamond" w:cs="Garamond"/>
          <w:b/>
        </w:rPr>
        <w:t xml:space="preserve"> Yulianto</w:t>
      </w:r>
      <w:r w:rsidR="00060A65">
        <w:rPr>
          <w:rFonts w:ascii="Garamond" w:eastAsia="Garamond" w:hAnsi="Garamond" w:cs="Garamond"/>
          <w:b/>
          <w:vertAlign w:val="superscript"/>
        </w:rPr>
        <w:t>5</w:t>
      </w:r>
    </w:p>
    <w:p w14:paraId="5257E503" w14:textId="3AAB2B6F" w:rsidR="00060A65" w:rsidRPr="00C111E5" w:rsidRDefault="00BE398A" w:rsidP="00060A65">
      <w:pPr>
        <w:spacing w:after="0" w:line="240" w:lineRule="auto"/>
        <w:ind w:left="720" w:hanging="720"/>
        <w:rPr>
          <w:rFonts w:ascii="Garamond" w:eastAsia="Garamond" w:hAnsi="Garamond" w:cs="Garamond"/>
        </w:rPr>
      </w:pPr>
      <w:r w:rsidRPr="00A75CB1">
        <w:rPr>
          <w:vertAlign w:val="superscript"/>
          <w:lang w:val="en-GB"/>
        </w:rPr>
        <w:t>1</w:t>
      </w:r>
      <w:r w:rsidR="00060A65">
        <w:rPr>
          <w:vertAlign w:val="superscript"/>
          <w:lang w:val="en-GB"/>
        </w:rPr>
        <w:t xml:space="preserve"> </w:t>
      </w:r>
      <w:r w:rsidR="00060A65" w:rsidRPr="00C111E5">
        <w:rPr>
          <w:rFonts w:ascii="Garamond" w:eastAsia="Garamond" w:hAnsi="Garamond" w:cs="Garamond"/>
        </w:rPr>
        <w:t xml:space="preserve">Guidance and </w:t>
      </w:r>
      <w:proofErr w:type="spellStart"/>
      <w:r w:rsidR="00060A65" w:rsidRPr="00C111E5">
        <w:rPr>
          <w:rFonts w:ascii="Garamond" w:eastAsia="Garamond" w:hAnsi="Garamond" w:cs="Garamond"/>
        </w:rPr>
        <w:t>Counseling</w:t>
      </w:r>
      <w:proofErr w:type="spellEnd"/>
      <w:r w:rsidR="00060A65" w:rsidRPr="00C111E5">
        <w:rPr>
          <w:rFonts w:ascii="Garamond" w:eastAsia="Garamond" w:hAnsi="Garamond" w:cs="Garamond"/>
        </w:rPr>
        <w:t>, Universitas Pendidikan Indonesia, Indonesia</w:t>
      </w:r>
    </w:p>
    <w:p w14:paraId="59831618" w14:textId="5A12510B" w:rsidR="00060A65" w:rsidRPr="00C111E5" w:rsidRDefault="00060A65" w:rsidP="00060A65">
      <w:pPr>
        <w:spacing w:after="0" w:line="240" w:lineRule="auto"/>
        <w:ind w:left="720" w:hanging="720"/>
        <w:rPr>
          <w:rFonts w:ascii="Garamond" w:eastAsia="Garamond" w:hAnsi="Garamond" w:cs="Garamond"/>
        </w:rPr>
      </w:pPr>
      <w:r w:rsidRPr="00C111E5">
        <w:rPr>
          <w:rFonts w:ascii="Garamond" w:eastAsia="Garamond" w:hAnsi="Garamond" w:cs="Garamond"/>
          <w:vertAlign w:val="superscript"/>
        </w:rPr>
        <w:t>2</w:t>
      </w:r>
      <w:r>
        <w:rPr>
          <w:rFonts w:ascii="Garamond" w:eastAsia="Garamond" w:hAnsi="Garamond" w:cs="Garamond"/>
          <w:vertAlign w:val="superscript"/>
        </w:rPr>
        <w:t xml:space="preserve"> </w:t>
      </w:r>
      <w:r w:rsidRPr="00C111E5">
        <w:rPr>
          <w:rFonts w:ascii="Garamond" w:eastAsia="Garamond" w:hAnsi="Garamond" w:cs="Garamond"/>
        </w:rPr>
        <w:t xml:space="preserve">Guidance and </w:t>
      </w:r>
      <w:proofErr w:type="spellStart"/>
      <w:r w:rsidRPr="00C111E5">
        <w:rPr>
          <w:rFonts w:ascii="Garamond" w:eastAsia="Garamond" w:hAnsi="Garamond" w:cs="Garamond"/>
        </w:rPr>
        <w:t>Counseling</w:t>
      </w:r>
      <w:proofErr w:type="spellEnd"/>
      <w:r w:rsidRPr="00C111E5">
        <w:rPr>
          <w:rFonts w:ascii="Garamond" w:eastAsia="Garamond" w:hAnsi="Garamond" w:cs="Garamond"/>
        </w:rPr>
        <w:t>, Universitas Pendidikan Indonesia, Indonesia</w:t>
      </w:r>
    </w:p>
    <w:p w14:paraId="4473B42A" w14:textId="05D040F9" w:rsidR="00060A65" w:rsidRPr="00C111E5" w:rsidRDefault="00060A65" w:rsidP="00060A65">
      <w:pPr>
        <w:spacing w:after="0" w:line="240" w:lineRule="auto"/>
        <w:ind w:left="720" w:hanging="720"/>
        <w:rPr>
          <w:rFonts w:ascii="Garamond" w:eastAsia="Garamond" w:hAnsi="Garamond" w:cs="Garamond"/>
        </w:rPr>
      </w:pPr>
      <w:r>
        <w:rPr>
          <w:rFonts w:ascii="Garamond" w:eastAsia="Garamond" w:hAnsi="Garamond" w:cs="Garamond"/>
          <w:vertAlign w:val="superscript"/>
        </w:rPr>
        <w:t>3</w:t>
      </w:r>
      <w:r>
        <w:rPr>
          <w:rFonts w:ascii="Garamond" w:eastAsia="Garamond" w:hAnsi="Garamond" w:cs="Garamond"/>
          <w:vertAlign w:val="superscript"/>
        </w:rPr>
        <w:t xml:space="preserve"> </w:t>
      </w:r>
      <w:r w:rsidRPr="00C111E5">
        <w:rPr>
          <w:rFonts w:ascii="Garamond" w:eastAsia="Garamond" w:hAnsi="Garamond" w:cs="Garamond"/>
        </w:rPr>
        <w:t xml:space="preserve">Guidance and </w:t>
      </w:r>
      <w:proofErr w:type="spellStart"/>
      <w:r w:rsidRPr="00C111E5">
        <w:rPr>
          <w:rFonts w:ascii="Garamond" w:eastAsia="Garamond" w:hAnsi="Garamond" w:cs="Garamond"/>
        </w:rPr>
        <w:t>Counseling</w:t>
      </w:r>
      <w:proofErr w:type="spellEnd"/>
      <w:r w:rsidRPr="00C111E5">
        <w:rPr>
          <w:rFonts w:ascii="Garamond" w:eastAsia="Garamond" w:hAnsi="Garamond" w:cs="Garamond"/>
        </w:rPr>
        <w:t>, Universitas Pendidikan Indonesia, Indonesia</w:t>
      </w:r>
    </w:p>
    <w:p w14:paraId="10F97398" w14:textId="77C102CE" w:rsidR="00060A65" w:rsidRPr="00C111E5" w:rsidRDefault="00060A65" w:rsidP="00060A65">
      <w:pPr>
        <w:spacing w:after="0" w:line="240" w:lineRule="auto"/>
        <w:ind w:left="720" w:hanging="720"/>
        <w:rPr>
          <w:rFonts w:ascii="Garamond" w:eastAsia="Garamond" w:hAnsi="Garamond" w:cs="Garamond"/>
        </w:rPr>
      </w:pPr>
      <w:r>
        <w:rPr>
          <w:rFonts w:ascii="Garamond" w:eastAsia="Garamond" w:hAnsi="Garamond" w:cs="Garamond"/>
          <w:vertAlign w:val="superscript"/>
        </w:rPr>
        <w:t>4</w:t>
      </w:r>
      <w:r>
        <w:rPr>
          <w:rFonts w:ascii="Garamond" w:eastAsia="Garamond" w:hAnsi="Garamond" w:cs="Garamond"/>
          <w:vertAlign w:val="superscript"/>
        </w:rPr>
        <w:t xml:space="preserve"> </w:t>
      </w:r>
      <w:r w:rsidRPr="00C111E5">
        <w:rPr>
          <w:rFonts w:ascii="Garamond" w:eastAsia="Garamond" w:hAnsi="Garamond" w:cs="Garamond"/>
        </w:rPr>
        <w:t xml:space="preserve">Guidance and </w:t>
      </w:r>
      <w:proofErr w:type="spellStart"/>
      <w:r w:rsidRPr="00C111E5">
        <w:rPr>
          <w:rFonts w:ascii="Garamond" w:eastAsia="Garamond" w:hAnsi="Garamond" w:cs="Garamond"/>
        </w:rPr>
        <w:t>Counseling</w:t>
      </w:r>
      <w:proofErr w:type="spellEnd"/>
      <w:r w:rsidRPr="00C111E5">
        <w:rPr>
          <w:rFonts w:ascii="Garamond" w:eastAsia="Garamond" w:hAnsi="Garamond" w:cs="Garamond"/>
        </w:rPr>
        <w:t>, Universitas Pendidikan Indonesia, Indonesia</w:t>
      </w:r>
    </w:p>
    <w:p w14:paraId="4CD436FB" w14:textId="533ACEFF" w:rsidR="00060A65" w:rsidRPr="00C111E5" w:rsidRDefault="00060A65" w:rsidP="00060A65">
      <w:pPr>
        <w:spacing w:after="0" w:line="240" w:lineRule="auto"/>
        <w:ind w:left="720" w:hanging="720"/>
        <w:rPr>
          <w:rFonts w:ascii="Garamond" w:eastAsia="Garamond" w:hAnsi="Garamond" w:cs="Garamond"/>
        </w:rPr>
      </w:pPr>
      <w:r>
        <w:rPr>
          <w:rFonts w:ascii="Garamond" w:eastAsia="Garamond" w:hAnsi="Garamond" w:cs="Garamond"/>
          <w:vertAlign w:val="superscript"/>
        </w:rPr>
        <w:t xml:space="preserve">5 </w:t>
      </w:r>
      <w:r w:rsidRPr="00C111E5">
        <w:rPr>
          <w:rFonts w:ascii="Garamond" w:eastAsia="Garamond" w:hAnsi="Garamond" w:cs="Garamond"/>
        </w:rPr>
        <w:t xml:space="preserve">Mathematics Education, Universitas </w:t>
      </w:r>
      <w:proofErr w:type="spellStart"/>
      <w:r w:rsidRPr="00C111E5">
        <w:rPr>
          <w:rFonts w:ascii="Garamond" w:eastAsia="Garamond" w:hAnsi="Garamond" w:cs="Garamond"/>
        </w:rPr>
        <w:t>Siliwangi</w:t>
      </w:r>
      <w:proofErr w:type="spellEnd"/>
      <w:r w:rsidRPr="00C111E5">
        <w:rPr>
          <w:rFonts w:ascii="Garamond" w:eastAsia="Garamond" w:hAnsi="Garamond" w:cs="Garamond"/>
        </w:rPr>
        <w:t>, Indonesia</w:t>
      </w:r>
    </w:p>
    <w:p w14:paraId="159E2E27" w14:textId="044E0DD5" w:rsidR="00B72F3D" w:rsidRDefault="00B72F3D" w:rsidP="00060A65">
      <w:pPr>
        <w:pStyle w:val="Alishlah16affiliation"/>
        <w:rPr>
          <w:color w:val="auto"/>
          <w:lang w:val="en-GB"/>
        </w:rPr>
      </w:pPr>
    </w:p>
    <w:p w14:paraId="705D5AF8"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215CA421" w14:textId="77777777" w:rsidTr="0048254D">
        <w:trPr>
          <w:jc w:val="center"/>
        </w:trPr>
        <w:tc>
          <w:tcPr>
            <w:tcW w:w="2787" w:type="dxa"/>
            <w:tcBorders>
              <w:top w:val="double" w:sz="4" w:space="0" w:color="auto"/>
              <w:left w:val="nil"/>
              <w:bottom w:val="single" w:sz="4" w:space="0" w:color="auto"/>
              <w:right w:val="nil"/>
            </w:tcBorders>
          </w:tcPr>
          <w:p w14:paraId="4877BCE7"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3496B778"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1509505C"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1113687C" w14:textId="77777777" w:rsidTr="0048254D">
        <w:trPr>
          <w:trHeight w:val="1268"/>
          <w:jc w:val="center"/>
        </w:trPr>
        <w:tc>
          <w:tcPr>
            <w:tcW w:w="2787" w:type="dxa"/>
            <w:tcBorders>
              <w:top w:val="single" w:sz="4" w:space="0" w:color="auto"/>
              <w:left w:val="nil"/>
              <w:bottom w:val="single" w:sz="4" w:space="0" w:color="auto"/>
              <w:right w:val="nil"/>
            </w:tcBorders>
          </w:tcPr>
          <w:p w14:paraId="7A113D22"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46990E7E" w14:textId="261B157B" w:rsidR="007F1BA9" w:rsidRPr="00C111E5" w:rsidRDefault="007F1BA9" w:rsidP="007F1BA9">
            <w:pPr>
              <w:tabs>
                <w:tab w:val="left" w:pos="1134"/>
              </w:tabs>
              <w:spacing w:after="120"/>
              <w:jc w:val="both"/>
              <w:rPr>
                <w:rFonts w:ascii="Garamond" w:eastAsia="Garamond" w:hAnsi="Garamond" w:cs="Garamond"/>
                <w:b/>
                <w:sz w:val="24"/>
                <w:szCs w:val="24"/>
              </w:rPr>
            </w:pPr>
            <w:r w:rsidRPr="00C111E5">
              <w:rPr>
                <w:rFonts w:ascii="Garamond" w:eastAsia="Garamond" w:hAnsi="Garamond" w:cs="Garamond"/>
              </w:rPr>
              <w:t>Career Satisfaction</w:t>
            </w:r>
            <w:r>
              <w:rPr>
                <w:rFonts w:ascii="Garamond" w:eastAsia="Garamond" w:hAnsi="Garamond" w:cs="Garamond"/>
              </w:rPr>
              <w:t xml:space="preserve">; </w:t>
            </w:r>
            <w:r w:rsidRPr="00C111E5">
              <w:rPr>
                <w:rFonts w:ascii="Garamond" w:eastAsia="Garamond" w:hAnsi="Garamond" w:cs="Garamond"/>
              </w:rPr>
              <w:t>Islamic Guidance and Counseling</w:t>
            </w:r>
            <w:r>
              <w:rPr>
                <w:rFonts w:ascii="Garamond" w:eastAsia="Garamond" w:hAnsi="Garamond" w:cs="Garamond"/>
              </w:rPr>
              <w:t xml:space="preserve">; </w:t>
            </w:r>
            <w:r w:rsidRPr="00C111E5">
              <w:rPr>
                <w:rFonts w:ascii="Garamond" w:eastAsia="Garamond" w:hAnsi="Garamond" w:cs="Garamond"/>
              </w:rPr>
              <w:t>Gratitude Variable</w:t>
            </w:r>
            <w:r>
              <w:rPr>
                <w:rFonts w:ascii="Garamond" w:eastAsia="Garamond" w:hAnsi="Garamond" w:cs="Garamond"/>
              </w:rPr>
              <w:t xml:space="preserve">; </w:t>
            </w:r>
            <w:proofErr w:type="spellStart"/>
            <w:r w:rsidRPr="00C111E5">
              <w:rPr>
                <w:rFonts w:ascii="Garamond" w:eastAsia="Garamond" w:hAnsi="Garamond" w:cs="Garamond"/>
              </w:rPr>
              <w:t>Greenhaus’s</w:t>
            </w:r>
            <w:proofErr w:type="spellEnd"/>
            <w:r w:rsidRPr="00C111E5">
              <w:rPr>
                <w:rFonts w:ascii="Garamond" w:eastAsia="Garamond" w:hAnsi="Garamond" w:cs="Garamond"/>
              </w:rPr>
              <w:t xml:space="preserve"> Theory</w:t>
            </w:r>
            <w:r>
              <w:rPr>
                <w:rFonts w:ascii="Garamond" w:eastAsia="Garamond" w:hAnsi="Garamond" w:cs="Garamond"/>
              </w:rPr>
              <w:t xml:space="preserve">; </w:t>
            </w:r>
            <w:r w:rsidRPr="00C111E5">
              <w:rPr>
                <w:rFonts w:ascii="Garamond" w:eastAsia="Garamond" w:hAnsi="Garamond" w:cs="Garamond"/>
              </w:rPr>
              <w:t>Confirmatory Factor Analysis</w:t>
            </w:r>
            <w:r>
              <w:rPr>
                <w:rFonts w:ascii="Garamond" w:eastAsia="Garamond" w:hAnsi="Garamond" w:cs="Garamond"/>
              </w:rPr>
              <w:t>.</w:t>
            </w:r>
          </w:p>
          <w:p w14:paraId="7BF2D3D2" w14:textId="77777777" w:rsidR="002B31FD" w:rsidRDefault="002B31FD" w:rsidP="00290481">
            <w:pPr>
              <w:pStyle w:val="Alishlah18keywords"/>
            </w:pPr>
          </w:p>
          <w:p w14:paraId="2DB52317" w14:textId="77777777" w:rsidR="0048254D" w:rsidRPr="0048254D" w:rsidRDefault="002B31FD" w:rsidP="00290481">
            <w:pPr>
              <w:pStyle w:val="Alishlah18keywords"/>
            </w:pPr>
            <w:r w:rsidRPr="002B31FD">
              <w:t>(List three to five pertinent keywords specific to the article; yet reasonably common within the subject discipline; use lower case except for names)</w:t>
            </w:r>
            <w:r w:rsidR="00290481">
              <w:t>.</w:t>
            </w:r>
          </w:p>
          <w:p w14:paraId="190FF051" w14:textId="77777777"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1383076E"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49E06789" w14:textId="77777777" w:rsidR="007F1BA9" w:rsidRPr="00C111E5" w:rsidRDefault="007F1BA9" w:rsidP="007F1BA9">
            <w:pPr>
              <w:tabs>
                <w:tab w:val="left" w:pos="-5"/>
              </w:tabs>
              <w:spacing w:after="120"/>
              <w:jc w:val="both"/>
              <w:rPr>
                <w:rFonts w:ascii="Garamond" w:eastAsia="Garamond" w:hAnsi="Garamond" w:cs="Garamond"/>
              </w:rPr>
            </w:pPr>
            <w:proofErr w:type="spellStart"/>
            <w:r w:rsidRPr="007F1BA9">
              <w:rPr>
                <w:rFonts w:ascii="Palatino" w:eastAsia="Garamond" w:hAnsi="Palatino" w:cs="Garamond"/>
              </w:rPr>
              <w:t>Greenhaus’s</w:t>
            </w:r>
            <w:proofErr w:type="spellEnd"/>
            <w:r w:rsidRPr="007F1BA9">
              <w:rPr>
                <w:rFonts w:ascii="Palatino" w:eastAsia="Garamond" w:hAnsi="Palatino" w:cs="Garamond"/>
              </w:rPr>
              <w:t xml:space="preserve"> Theory has been widely employed by researchers to assess career satisfaction through five key dimensions: career achievement, goal fulfillment, income, career advancement, and skill development. However, in the context of career satisfaction among Islamic guidance and counseling teachers, the variable of gratitude should be included as a determinant of career satisfaction. This consideration aligns with Indonesia’s characteristic as a predominantly Muslim nation grounded in religious values. This study aims to evaluate career satisfaction according to </w:t>
            </w:r>
            <w:proofErr w:type="spellStart"/>
            <w:r w:rsidRPr="007F1BA9">
              <w:rPr>
                <w:rFonts w:ascii="Palatino" w:eastAsia="Garamond" w:hAnsi="Palatino" w:cs="Garamond"/>
              </w:rPr>
              <w:t>Greenhaus’s</w:t>
            </w:r>
            <w:proofErr w:type="spellEnd"/>
            <w:r w:rsidRPr="007F1BA9">
              <w:rPr>
                <w:rFonts w:ascii="Palatino" w:eastAsia="Garamond" w:hAnsi="Palatino" w:cs="Garamond"/>
              </w:rPr>
              <w:t xml:space="preserve"> theory by incorporating an additional manifest variable of gratitude. A total of 121 guidance and counseling teachers in </w:t>
            </w:r>
            <w:proofErr w:type="spellStart"/>
            <w:r w:rsidRPr="007F1BA9">
              <w:rPr>
                <w:rFonts w:ascii="Palatino" w:eastAsia="Garamond" w:hAnsi="Palatino" w:cs="Garamond"/>
              </w:rPr>
              <w:t>Tasikmalaya</w:t>
            </w:r>
            <w:proofErr w:type="spellEnd"/>
            <w:r w:rsidRPr="007F1BA9">
              <w:rPr>
                <w:rFonts w:ascii="Palatino" w:eastAsia="Garamond" w:hAnsi="Palatino" w:cs="Garamond"/>
              </w:rPr>
              <w:t xml:space="preserve"> were randomly selected and completed a career satisfaction questionnaire. The data were analyzed using Confirmatory Factor Analysis with </w:t>
            </w:r>
            <w:proofErr w:type="spellStart"/>
            <w:r w:rsidRPr="007F1BA9">
              <w:rPr>
                <w:rFonts w:ascii="Palatino" w:eastAsia="Garamond" w:hAnsi="Palatino" w:cs="Garamond"/>
              </w:rPr>
              <w:t>SmartPLS</w:t>
            </w:r>
            <w:proofErr w:type="spellEnd"/>
            <w:r w:rsidRPr="007F1BA9">
              <w:rPr>
                <w:rFonts w:ascii="Palatino" w:eastAsia="Garamond" w:hAnsi="Palatino" w:cs="Garamond"/>
              </w:rPr>
              <w:t>. The results indicate that (1) career achievement, (2) fulfillment of career goals, (3) income, (4) career progress, (5) skill development during a career, and (6) gratitude are all valid and reliable indicators for measuring career satisfaction. These findings suggest that researchers measuring career satisfaction should consider including spiritual aspects, such as gratitude, as a component of career satisfaction</w:t>
            </w:r>
            <w:r w:rsidRPr="00C111E5">
              <w:rPr>
                <w:rFonts w:ascii="Garamond" w:eastAsia="Garamond" w:hAnsi="Garamond" w:cs="Garamond"/>
              </w:rPr>
              <w:t>.</w:t>
            </w:r>
          </w:p>
          <w:p w14:paraId="24C0BCB0" w14:textId="47A968A1" w:rsidR="0048254D" w:rsidRPr="00E45249" w:rsidRDefault="0048254D" w:rsidP="00E45249">
            <w:pPr>
              <w:pStyle w:val="Alishlah17abstract"/>
            </w:pPr>
          </w:p>
        </w:tc>
      </w:tr>
      <w:tr w:rsidR="0048254D" w:rsidRPr="0048254D" w14:paraId="55F42CE4"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309C0788"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6CD9C5DE" w14:textId="77777777" w:rsidR="0048254D" w:rsidRPr="006A6719" w:rsidRDefault="0048254D" w:rsidP="00E45249">
            <w:pPr>
              <w:pStyle w:val="Alishlah14history"/>
            </w:pPr>
            <w:r w:rsidRPr="006A6719">
              <w:t xml:space="preserve">Received </w:t>
            </w:r>
            <w:r w:rsidR="00FA43FF" w:rsidRPr="00FA43FF">
              <w:t>2021-08-14</w:t>
            </w:r>
          </w:p>
          <w:p w14:paraId="7988D134"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10CEA5F7"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62C1A1C3"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3967960C"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16F73D72" w14:textId="77777777" w:rsidTr="0048254D">
        <w:trPr>
          <w:trHeight w:val="70"/>
          <w:jc w:val="center"/>
        </w:trPr>
        <w:tc>
          <w:tcPr>
            <w:tcW w:w="2787" w:type="dxa"/>
            <w:vMerge/>
            <w:tcBorders>
              <w:top w:val="single" w:sz="4" w:space="0" w:color="auto"/>
              <w:left w:val="nil"/>
              <w:bottom w:val="single" w:sz="4" w:space="0" w:color="auto"/>
              <w:right w:val="nil"/>
            </w:tcBorders>
          </w:tcPr>
          <w:p w14:paraId="136AFB33"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0A339B3D"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78D7201D"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6FF7F823"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32B0B0F1" wp14:editId="3F80CB24">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74C9185F" w14:textId="77777777" w:rsidTr="0048254D">
        <w:trPr>
          <w:jc w:val="center"/>
        </w:trPr>
        <w:tc>
          <w:tcPr>
            <w:tcW w:w="8845" w:type="dxa"/>
            <w:gridSpan w:val="3"/>
            <w:tcBorders>
              <w:top w:val="nil"/>
              <w:left w:val="nil"/>
              <w:bottom w:val="double" w:sz="4" w:space="0" w:color="auto"/>
              <w:right w:val="nil"/>
            </w:tcBorders>
          </w:tcPr>
          <w:p w14:paraId="25FCF317" w14:textId="77777777"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7406876E" w14:textId="77777777" w:rsidR="00457015" w:rsidRDefault="002B31FD" w:rsidP="00E45249">
            <w:pPr>
              <w:pStyle w:val="Alishlah2authorcorrespondence"/>
            </w:pPr>
            <w:r w:rsidRPr="002B31FD">
              <w:t>First name Last name</w:t>
            </w:r>
            <w:r w:rsidR="00457015" w:rsidRPr="00457015">
              <w:t xml:space="preserve"> </w:t>
            </w:r>
          </w:p>
          <w:p w14:paraId="39866B24" w14:textId="77777777" w:rsidR="0048254D" w:rsidRPr="0048254D" w:rsidRDefault="002B31FD" w:rsidP="00E45249">
            <w:pPr>
              <w:pStyle w:val="Alishlah2authorcorrespondence"/>
            </w:pPr>
            <w:r w:rsidRPr="002B31FD">
              <w:rPr>
                <w:color w:val="auto"/>
                <w:lang w:val="en-GB"/>
              </w:rPr>
              <w:t>Affiliation 1; e-mail@e-mail.com</w:t>
            </w:r>
          </w:p>
        </w:tc>
      </w:tr>
    </w:tbl>
    <w:p w14:paraId="61B8DB9C" w14:textId="77777777" w:rsidR="008E64A2" w:rsidRPr="00A75CB1" w:rsidRDefault="0048254D" w:rsidP="00A10E86">
      <w:pPr>
        <w:pStyle w:val="Alishlah21heading1"/>
        <w:rPr>
          <w:lang w:val="en-GB"/>
        </w:rPr>
      </w:pPr>
      <w:r w:rsidRPr="00A75CB1">
        <w:rPr>
          <w:lang w:val="en-GB"/>
        </w:rPr>
        <w:t>INTRODUCTION</w:t>
      </w:r>
    </w:p>
    <w:p w14:paraId="66C8778A" w14:textId="77777777" w:rsidR="007F1BA9" w:rsidRPr="007F1BA9" w:rsidRDefault="007F1BA9" w:rsidP="007F1BA9">
      <w:pPr>
        <w:pStyle w:val="Alishlah31text"/>
        <w:rPr>
          <w:rFonts w:eastAsia="SimSun"/>
          <w:spacing w:val="-2"/>
          <w:lang w:val="en-ID" w:eastAsia="zh-CN"/>
        </w:rPr>
      </w:pPr>
      <w:r w:rsidRPr="007F1BA9">
        <w:rPr>
          <w:rFonts w:eastAsia="SimSun"/>
          <w:spacing w:val="-2"/>
          <w:lang w:val="en-ID" w:eastAsia="zh-CN"/>
        </w:rPr>
        <w:t xml:space="preserve">Teacher engagement is crucial for ensuring high satisfaction, strong performance, and significant contributions to schools. To achieve this engagement, school leaders need to not only mitigate teacher burnout but also create environments that foster higher teacher engagement (ILO, 2000). Teacher burnout can become a serious issue due to the significant emotional burden teachers face and the resulting loss of commitment (Fink, 2003). Therefore, it is vital for school leaders to be fully aware of the adverse conditions leading to teacher burnout and to encourage its positive outcome—work engagement (Bakker et al., 2007; Maslach et al., 2001). Work engagement is generally recognized as an optimal state of worker well-being </w:t>
      </w:r>
      <w:r w:rsidRPr="007F1BA9">
        <w:rPr>
          <w:rFonts w:eastAsia="SimSun"/>
          <w:spacing w:val="-2"/>
          <w:lang w:val="en-ID" w:eastAsia="zh-CN"/>
        </w:rPr>
        <w:lastRenderedPageBreak/>
        <w:t>linked to greater satisfaction, input, and productivity (Schaufeli, 2004). Thus, it is in the interest of school administrators to reduce teacher burnout and promote an environment that supports the development of teacher engagement.</w:t>
      </w:r>
    </w:p>
    <w:p w14:paraId="339ED541" w14:textId="77777777" w:rsidR="007F1BA9" w:rsidRPr="007F1BA9" w:rsidRDefault="007F1BA9" w:rsidP="007F1BA9">
      <w:pPr>
        <w:pStyle w:val="Alishlah31text"/>
        <w:rPr>
          <w:rFonts w:eastAsia="SimSun"/>
          <w:spacing w:val="-2"/>
          <w:lang w:val="en-ID" w:eastAsia="zh-CN"/>
        </w:rPr>
      </w:pPr>
      <w:r w:rsidRPr="007F1BA9">
        <w:rPr>
          <w:rFonts w:eastAsia="SimSun"/>
          <w:spacing w:val="-2"/>
          <w:lang w:val="en-ID" w:eastAsia="zh-CN"/>
        </w:rPr>
        <w:t xml:space="preserve">Career success refers to positive career outcomes over an individual's work experience, assessed based on both objective and subjective criteria (Ng et al., 2005). Objective career success highlights observable career achievements such as salary and promotion history, while subjective career success reflects an individual’s positive feelings about satisfaction and accomplishments in their work experience  (J. H. </w:t>
      </w:r>
      <w:proofErr w:type="spellStart"/>
      <w:r w:rsidRPr="007F1BA9">
        <w:rPr>
          <w:rFonts w:eastAsia="SimSun"/>
          <w:spacing w:val="-2"/>
          <w:lang w:val="en-ID" w:eastAsia="zh-CN"/>
        </w:rPr>
        <w:t>Greenhaus</w:t>
      </w:r>
      <w:proofErr w:type="spellEnd"/>
      <w:r w:rsidRPr="007F1BA9">
        <w:rPr>
          <w:rFonts w:eastAsia="SimSun"/>
          <w:spacing w:val="-2"/>
          <w:lang w:val="en-ID" w:eastAsia="zh-CN"/>
        </w:rPr>
        <w:t xml:space="preserve"> et al., 1990; </w:t>
      </w:r>
      <w:proofErr w:type="spellStart"/>
      <w:r w:rsidRPr="007F1BA9">
        <w:rPr>
          <w:rFonts w:eastAsia="SimSun"/>
          <w:spacing w:val="-2"/>
          <w:lang w:val="en-ID" w:eastAsia="zh-CN"/>
        </w:rPr>
        <w:t>Lortie</w:t>
      </w:r>
      <w:proofErr w:type="spellEnd"/>
      <w:r w:rsidRPr="007F1BA9">
        <w:rPr>
          <w:rFonts w:eastAsia="SimSun"/>
          <w:spacing w:val="-2"/>
          <w:lang w:val="en-ID" w:eastAsia="zh-CN"/>
        </w:rPr>
        <w:t xml:space="preserve">-Lussier &amp; </w:t>
      </w:r>
      <w:proofErr w:type="spellStart"/>
      <w:r w:rsidRPr="007F1BA9">
        <w:rPr>
          <w:rFonts w:eastAsia="SimSun"/>
          <w:spacing w:val="-2"/>
          <w:lang w:val="en-ID" w:eastAsia="zh-CN"/>
        </w:rPr>
        <w:t>Rinfret</w:t>
      </w:r>
      <w:proofErr w:type="spellEnd"/>
      <w:r w:rsidRPr="007F1BA9">
        <w:rPr>
          <w:rFonts w:eastAsia="SimSun"/>
          <w:spacing w:val="-2"/>
          <w:lang w:val="en-ID" w:eastAsia="zh-CN"/>
        </w:rPr>
        <w:t>, 2005; Ng et al., 2005). School climate and leadership also influence teacher satisfaction. Teacher interactions with students, parents, and school staff are crucial, and a positive school culture is associated with higher teacher satisfaction (Mares, 2013).</w:t>
      </w:r>
    </w:p>
    <w:p w14:paraId="6F67FC92" w14:textId="77777777" w:rsidR="007F1BA9" w:rsidRPr="007F1BA9" w:rsidRDefault="007F1BA9" w:rsidP="007F1BA9">
      <w:pPr>
        <w:pStyle w:val="Alishlah31text"/>
        <w:rPr>
          <w:rFonts w:eastAsia="SimSun"/>
          <w:spacing w:val="-2"/>
          <w:lang w:val="en-ID" w:eastAsia="zh-CN"/>
        </w:rPr>
      </w:pPr>
      <w:r w:rsidRPr="007F1BA9">
        <w:rPr>
          <w:rFonts w:eastAsia="SimSun"/>
          <w:spacing w:val="-2"/>
          <w:lang w:val="en-ID" w:eastAsia="zh-CN"/>
        </w:rPr>
        <w:t>Positive emotion expression helps employees gain social support and foster psychological resources (</w:t>
      </w:r>
      <w:proofErr w:type="spellStart"/>
      <w:r w:rsidRPr="007F1BA9">
        <w:rPr>
          <w:rFonts w:eastAsia="SimSun"/>
          <w:spacing w:val="-2"/>
          <w:lang w:val="en-ID" w:eastAsia="zh-CN"/>
        </w:rPr>
        <w:t>Nezlek</w:t>
      </w:r>
      <w:proofErr w:type="spellEnd"/>
      <w:r w:rsidRPr="007F1BA9">
        <w:rPr>
          <w:rFonts w:eastAsia="SimSun"/>
          <w:spacing w:val="-2"/>
          <w:lang w:val="en-ID" w:eastAsia="zh-CN"/>
        </w:rPr>
        <w:t xml:space="preserve"> et al., 2019; Williams &amp; Bartlett, 2015). However, few studies have explored the impact of specific positive emotions, such as gratitude, on employee performance and subjective career success. Gratitude expression involves the recipient conveying their appreciation to the benefactor (Lambert et al., 2010; Lambert &amp; Fincham, 2011). Experts have demonstrated that gratitude, as a distinctive positive emotion, is one of the most meaningful and connecting human experiences (Fredrickson, 2013; Yoshimura &amp; </w:t>
      </w:r>
      <w:proofErr w:type="spellStart"/>
      <w:r w:rsidRPr="007F1BA9">
        <w:rPr>
          <w:rFonts w:eastAsia="SimSun"/>
          <w:spacing w:val="-2"/>
          <w:lang w:val="en-ID" w:eastAsia="zh-CN"/>
        </w:rPr>
        <w:t>Berzins</w:t>
      </w:r>
      <w:proofErr w:type="spellEnd"/>
      <w:r w:rsidRPr="007F1BA9">
        <w:rPr>
          <w:rFonts w:eastAsia="SimSun"/>
          <w:spacing w:val="-2"/>
          <w:lang w:val="en-ID" w:eastAsia="zh-CN"/>
        </w:rPr>
        <w:t>, 2017). Gratitude towards God increases worldly blessings and rewards in the afterlife, while ingratitude brings about punishment both in this life and the next. Gratitude is a primary motivation in worship, making it enduring and sincere without seeking personal gain (</w:t>
      </w:r>
      <w:proofErr w:type="spellStart"/>
      <w:r w:rsidRPr="007F1BA9">
        <w:rPr>
          <w:rFonts w:eastAsia="SimSun"/>
          <w:spacing w:val="-2"/>
          <w:lang w:val="en-ID" w:eastAsia="zh-CN"/>
        </w:rPr>
        <w:t>Madany</w:t>
      </w:r>
      <w:proofErr w:type="spellEnd"/>
      <w:r w:rsidRPr="007F1BA9">
        <w:rPr>
          <w:rFonts w:eastAsia="SimSun"/>
          <w:spacing w:val="-2"/>
          <w:lang w:val="en-ID" w:eastAsia="zh-CN"/>
        </w:rPr>
        <w:t>, 2015). Nevertheless, previous research on gratitude expression in social sciences has largely focused on its interpersonal benefits and individual subjective well-being (McCullough et al., 2002). Recent years have seen calls for more research to expand the benefits of gratitude expression in organizational contexts (Fehr et al., 2017).</w:t>
      </w:r>
    </w:p>
    <w:p w14:paraId="761C3A2F" w14:textId="035164B4" w:rsidR="00727D5A" w:rsidRDefault="007F1BA9" w:rsidP="007F1BA9">
      <w:pPr>
        <w:pStyle w:val="Alishlah31text"/>
        <w:rPr>
          <w:rFonts w:eastAsia="SimSun"/>
          <w:spacing w:val="-2"/>
          <w:lang w:val="en-ID" w:eastAsia="zh-CN"/>
        </w:rPr>
      </w:pPr>
      <w:r w:rsidRPr="007F1BA9">
        <w:rPr>
          <w:rFonts w:eastAsia="SimSun"/>
          <w:spacing w:val="-2"/>
          <w:lang w:val="en-ID" w:eastAsia="zh-CN"/>
        </w:rPr>
        <w:t>High career satisfaction reduces teacher turnover rates. Teachers who are satisfied with their jobs are more likely to stay and contribute in the long term (Ingersoll, 2001). Career satisfaction also contributes to teachers’ mental and physical well-being. Satisfied teachers tend to experience lower levels of stress and better health (</w:t>
      </w:r>
      <w:proofErr w:type="spellStart"/>
      <w:r w:rsidRPr="007F1BA9">
        <w:rPr>
          <w:rFonts w:eastAsia="SimSun"/>
          <w:spacing w:val="-2"/>
          <w:lang w:val="en-ID" w:eastAsia="zh-CN"/>
        </w:rPr>
        <w:t>Kyriacou</w:t>
      </w:r>
      <w:proofErr w:type="spellEnd"/>
      <w:r w:rsidRPr="007F1BA9">
        <w:rPr>
          <w:rFonts w:eastAsia="SimSun"/>
          <w:spacing w:val="-2"/>
          <w:lang w:val="en-ID" w:eastAsia="zh-CN"/>
        </w:rPr>
        <w:t>, 2001). Satisfied teachers are often more enthusiastic and creative in their teaching methods, enhancing the quality of education provided to students (Day &amp; Sachs, 2005). Satisfied teachers are usually more motivated to achieve high performance and show greater productivity in their teaching tasks (</w:t>
      </w:r>
      <w:proofErr w:type="spellStart"/>
      <w:r w:rsidRPr="007F1BA9">
        <w:rPr>
          <w:rFonts w:eastAsia="SimSun"/>
          <w:spacing w:val="-2"/>
          <w:lang w:val="en-ID" w:eastAsia="zh-CN"/>
        </w:rPr>
        <w:t>Skakon</w:t>
      </w:r>
      <w:proofErr w:type="spellEnd"/>
      <w:r w:rsidRPr="007F1BA9">
        <w:rPr>
          <w:rFonts w:eastAsia="SimSun"/>
          <w:spacing w:val="-2"/>
          <w:lang w:val="en-ID" w:eastAsia="zh-CN"/>
        </w:rPr>
        <w:t xml:space="preserve"> et al., 2010). Career satisfaction is often associated with greater involvement in professional development, which can improve teachers’ skills and knowledge (Darling-Hammond, 2000). Additionally, satisfied teachers contribute to a positive and supportive school culture, impacting the overall learning environment (Marsh &amp; Martin, 2011). </w:t>
      </w:r>
      <w:proofErr w:type="spellStart"/>
      <w:r w:rsidRPr="007F1BA9">
        <w:rPr>
          <w:rFonts w:eastAsia="SimSun"/>
          <w:spacing w:val="-2"/>
          <w:lang w:val="en-ID" w:eastAsia="zh-CN"/>
        </w:rPr>
        <w:t>Tasikmalaya</w:t>
      </w:r>
      <w:proofErr w:type="spellEnd"/>
      <w:r w:rsidRPr="007F1BA9">
        <w:rPr>
          <w:rFonts w:eastAsia="SimSun"/>
          <w:spacing w:val="-2"/>
          <w:lang w:val="en-ID" w:eastAsia="zh-CN"/>
        </w:rPr>
        <w:t xml:space="preserve">, with approximately 99.6% of its population being Muslim, is known as the "City of </w:t>
      </w:r>
      <w:proofErr w:type="spellStart"/>
      <w:r w:rsidRPr="007F1BA9">
        <w:rPr>
          <w:rFonts w:eastAsia="SimSun"/>
          <w:spacing w:val="-2"/>
          <w:lang w:val="en-ID" w:eastAsia="zh-CN"/>
        </w:rPr>
        <w:t>Santri</w:t>
      </w:r>
      <w:proofErr w:type="spellEnd"/>
      <w:r w:rsidRPr="007F1BA9">
        <w:rPr>
          <w:rFonts w:eastAsia="SimSun"/>
          <w:spacing w:val="-2"/>
          <w:lang w:val="en-ID" w:eastAsia="zh-CN"/>
        </w:rPr>
        <w:t xml:space="preserve">" due to its around 700 Islamic boarding schools educating hundreds of thousands of students. This designation underscores </w:t>
      </w:r>
      <w:proofErr w:type="spellStart"/>
      <w:r w:rsidRPr="007F1BA9">
        <w:rPr>
          <w:rFonts w:eastAsia="SimSun"/>
          <w:spacing w:val="-2"/>
          <w:lang w:val="en-ID" w:eastAsia="zh-CN"/>
        </w:rPr>
        <w:t>Tasikmalaya’s</w:t>
      </w:r>
      <w:proofErr w:type="spellEnd"/>
      <w:r w:rsidRPr="007F1BA9">
        <w:rPr>
          <w:rFonts w:eastAsia="SimSun"/>
          <w:spacing w:val="-2"/>
          <w:lang w:val="en-ID" w:eastAsia="zh-CN"/>
        </w:rPr>
        <w:t xml:space="preserve"> strong Islamic identity (</w:t>
      </w:r>
      <w:proofErr w:type="spellStart"/>
      <w:r w:rsidRPr="007F1BA9">
        <w:rPr>
          <w:rFonts w:eastAsia="SimSun"/>
          <w:spacing w:val="-2"/>
          <w:lang w:val="en-ID" w:eastAsia="zh-CN"/>
        </w:rPr>
        <w:t>Zubaidy</w:t>
      </w:r>
      <w:proofErr w:type="spellEnd"/>
      <w:r w:rsidRPr="007F1BA9">
        <w:rPr>
          <w:rFonts w:eastAsia="SimSun"/>
          <w:spacing w:val="-2"/>
          <w:lang w:val="en-ID" w:eastAsia="zh-CN"/>
        </w:rPr>
        <w:t xml:space="preserve">, 2008). This study aims to explore how adding the gratitude variable can enrich the </w:t>
      </w:r>
      <w:proofErr w:type="spellStart"/>
      <w:r w:rsidRPr="007F1BA9">
        <w:rPr>
          <w:rFonts w:eastAsia="SimSun"/>
          <w:spacing w:val="-2"/>
          <w:lang w:val="en-ID" w:eastAsia="zh-CN"/>
        </w:rPr>
        <w:t>Greenhaus</w:t>
      </w:r>
      <w:proofErr w:type="spellEnd"/>
      <w:r w:rsidRPr="007F1BA9">
        <w:rPr>
          <w:rFonts w:eastAsia="SimSun"/>
          <w:spacing w:val="-2"/>
          <w:lang w:val="en-ID" w:eastAsia="zh-CN"/>
        </w:rPr>
        <w:t xml:space="preserve"> model in measuring career satisfaction among teachers in </w:t>
      </w:r>
      <w:proofErr w:type="spellStart"/>
      <w:r w:rsidRPr="007F1BA9">
        <w:rPr>
          <w:rFonts w:eastAsia="SimSun"/>
          <w:spacing w:val="-2"/>
          <w:lang w:val="en-ID" w:eastAsia="zh-CN"/>
        </w:rPr>
        <w:t>Tasikmalaya</w:t>
      </w:r>
      <w:proofErr w:type="spellEnd"/>
      <w:r w:rsidRPr="007F1BA9">
        <w:rPr>
          <w:rFonts w:eastAsia="SimSun"/>
          <w:spacing w:val="-2"/>
          <w:lang w:val="en-ID" w:eastAsia="zh-CN"/>
        </w:rPr>
        <w:t xml:space="preserve">, particularly within the context of Islamic Guidance and </w:t>
      </w:r>
      <w:proofErr w:type="spellStart"/>
      <w:r w:rsidRPr="007F1BA9">
        <w:rPr>
          <w:rFonts w:eastAsia="SimSun"/>
          <w:spacing w:val="-2"/>
          <w:lang w:val="en-ID" w:eastAsia="zh-CN"/>
        </w:rPr>
        <w:t>Counseling</w:t>
      </w:r>
      <w:proofErr w:type="spellEnd"/>
      <w:r w:rsidRPr="007F1BA9">
        <w:rPr>
          <w:rFonts w:eastAsia="SimSun"/>
          <w:spacing w:val="-2"/>
          <w:lang w:val="en-ID" w:eastAsia="zh-CN"/>
        </w:rPr>
        <w:t xml:space="preserve"> teachers and provide deeper insights into the factors affecting career satisfaction and work engagement.</w:t>
      </w:r>
    </w:p>
    <w:p w14:paraId="33F10740" w14:textId="77777777" w:rsidR="005B5AEC" w:rsidRDefault="005B5AEC" w:rsidP="005B5AEC">
      <w:pPr>
        <w:pStyle w:val="Alishlah21heading1"/>
        <w:rPr>
          <w:rFonts w:eastAsia="Arial"/>
        </w:rPr>
      </w:pPr>
      <w:r w:rsidRPr="00723B12">
        <w:rPr>
          <w:rFonts w:eastAsia="Arial"/>
        </w:rPr>
        <w:t xml:space="preserve">METHODS </w:t>
      </w:r>
    </w:p>
    <w:p w14:paraId="54FB04EE" w14:textId="77777777" w:rsidR="007F1BA9" w:rsidRPr="007C0FE7" w:rsidRDefault="007F1BA9" w:rsidP="007C0FE7">
      <w:pPr>
        <w:pStyle w:val="Alishlah21heading1"/>
        <w:numPr>
          <w:ilvl w:val="0"/>
          <w:numId w:val="0"/>
        </w:numPr>
        <w:ind w:firstLine="567"/>
        <w:rPr>
          <w:rFonts w:eastAsia="Garamond"/>
          <w:b w:val="0"/>
          <w:bCs/>
        </w:rPr>
      </w:pPr>
      <w:r w:rsidRPr="007C0FE7">
        <w:rPr>
          <w:rFonts w:eastAsia="Garamond"/>
          <w:b w:val="0"/>
          <w:bCs/>
        </w:rPr>
        <w:t xml:space="preserve">This study is quantitative research with a confirmatory factor analysis model aimed at testing whether the career satisfaction of guidance and counseling teachers according to </w:t>
      </w:r>
      <w:proofErr w:type="spellStart"/>
      <w:r w:rsidRPr="007C0FE7">
        <w:rPr>
          <w:rFonts w:eastAsia="Garamond"/>
          <w:b w:val="0"/>
          <w:bCs/>
        </w:rPr>
        <w:t>Greenhaus</w:t>
      </w:r>
      <w:proofErr w:type="spellEnd"/>
      <w:r w:rsidRPr="007C0FE7">
        <w:rPr>
          <w:rFonts w:eastAsia="Garamond"/>
          <w:b w:val="0"/>
          <w:bCs/>
        </w:rPr>
        <w:t xml:space="preserve">' Theory will be empirically valid if one manifest variable of "gratitude" is added in the context of Islamic guidance and counseling. Data were obtained through the </w:t>
      </w:r>
      <w:proofErr w:type="spellStart"/>
      <w:r w:rsidRPr="007C0FE7">
        <w:rPr>
          <w:rFonts w:eastAsia="Garamond"/>
          <w:b w:val="0"/>
          <w:bCs/>
        </w:rPr>
        <w:t>Tasikmalaya</w:t>
      </w:r>
      <w:proofErr w:type="spellEnd"/>
      <w:r w:rsidRPr="007C0FE7">
        <w:rPr>
          <w:rFonts w:eastAsia="Garamond"/>
          <w:b w:val="0"/>
          <w:bCs/>
        </w:rPr>
        <w:t xml:space="preserve"> Guidance and Counseling Teachers Association with bureaucratic support from the </w:t>
      </w:r>
      <w:proofErr w:type="spellStart"/>
      <w:r w:rsidRPr="007C0FE7">
        <w:rPr>
          <w:rFonts w:eastAsia="Garamond"/>
          <w:b w:val="0"/>
          <w:bCs/>
        </w:rPr>
        <w:t>Tasikmalaya</w:t>
      </w:r>
      <w:proofErr w:type="spellEnd"/>
      <w:r w:rsidRPr="007C0FE7">
        <w:rPr>
          <w:rFonts w:eastAsia="Garamond"/>
          <w:b w:val="0"/>
          <w:bCs/>
        </w:rPr>
        <w:t xml:space="preserve"> City and West Java Province Education Offices. The population in this study was 165 guidance and counseling teachers in </w:t>
      </w:r>
      <w:proofErr w:type="spellStart"/>
      <w:r w:rsidRPr="007C0FE7">
        <w:rPr>
          <w:rFonts w:eastAsia="Garamond"/>
          <w:b w:val="0"/>
          <w:bCs/>
        </w:rPr>
        <w:t>Tasikmalaya</w:t>
      </w:r>
      <w:proofErr w:type="spellEnd"/>
      <w:r w:rsidRPr="007C0FE7">
        <w:rPr>
          <w:rFonts w:eastAsia="Garamond"/>
          <w:b w:val="0"/>
          <w:bCs/>
        </w:rPr>
        <w:t xml:space="preserve"> City. The researcher joined a workshop attended by 121 representatives of guidance and counseling association teachers in </w:t>
      </w:r>
      <w:proofErr w:type="spellStart"/>
      <w:r w:rsidRPr="007C0FE7">
        <w:rPr>
          <w:rFonts w:eastAsia="Garamond"/>
          <w:b w:val="0"/>
          <w:bCs/>
        </w:rPr>
        <w:t>Tasikmalaya</w:t>
      </w:r>
      <w:proofErr w:type="spellEnd"/>
      <w:r w:rsidRPr="007C0FE7">
        <w:rPr>
          <w:rFonts w:eastAsia="Garamond"/>
          <w:b w:val="0"/>
          <w:bCs/>
        </w:rPr>
        <w:t xml:space="preserve"> City. All participants who attended were involved as samples of research.</w:t>
      </w:r>
    </w:p>
    <w:p w14:paraId="3CF91213" w14:textId="77777777" w:rsidR="007F1BA9" w:rsidRPr="007C0FE7" w:rsidRDefault="007F1BA9" w:rsidP="007C0FE7">
      <w:pPr>
        <w:pStyle w:val="Alishlah21heading1"/>
        <w:numPr>
          <w:ilvl w:val="0"/>
          <w:numId w:val="0"/>
        </w:numPr>
        <w:ind w:firstLine="567"/>
        <w:rPr>
          <w:rFonts w:eastAsia="Garamond"/>
          <w:b w:val="0"/>
          <w:bCs/>
        </w:rPr>
      </w:pPr>
      <w:r w:rsidRPr="007C0FE7">
        <w:rPr>
          <w:rFonts w:eastAsia="Garamond"/>
          <w:b w:val="0"/>
          <w:bCs/>
        </w:rPr>
        <w:lastRenderedPageBreak/>
        <w:t xml:space="preserve">Career satisfaction was measured using a Likert scale questionnaire with a score range of 1 to 5. The questionnaire used adopted </w:t>
      </w:r>
      <w:proofErr w:type="spellStart"/>
      <w:r w:rsidRPr="007C0FE7">
        <w:rPr>
          <w:rFonts w:eastAsia="Garamond"/>
          <w:b w:val="0"/>
          <w:bCs/>
        </w:rPr>
        <w:t>Greenhaus</w:t>
      </w:r>
      <w:proofErr w:type="spellEnd"/>
      <w:r w:rsidRPr="007C0FE7">
        <w:rPr>
          <w:rFonts w:eastAsia="Garamond"/>
          <w:b w:val="0"/>
          <w:bCs/>
        </w:rPr>
        <w:t xml:space="preserve">' Career Satisfaction Theory </w:t>
      </w:r>
      <w:r w:rsidRPr="007C0FE7">
        <w:rPr>
          <w:rFonts w:eastAsia="Garamond"/>
          <w:b w:val="0"/>
          <w:bCs/>
        </w:rPr>
        <w:fldChar w:fldCharType="begin" w:fldLock="1"/>
      </w:r>
      <w:r w:rsidRPr="007C0FE7">
        <w:rPr>
          <w:rFonts w:eastAsia="Garamond"/>
          <w:b w:val="0"/>
          <w:bCs/>
        </w:rPr>
        <w:instrText>ADDIN CSL_CITATION {"citationItems":[{"id":"ITEM-1","itemData":{"ISBN":"1-4129-0537-0","author":[{"dropping-particle":"","family":"Greenhaus","given":"Jeffrey H.","non-dropping-particle":"","parse-names":false,"suffix":""},{"dropping-particle":"","family":"Callanan","given":"Gerald A.","non-dropping-particle":"","parse-names":false,"suffix":""}],"edition":"2nd","editor":[{"dropping-particle":"","family":"Greenhaus","given":"Jeffrey H.","non-dropping-particle":"","parse-names":false,"suffix":""},{"dropping-particle":"","family":"Callanan","given":"Gerald A.","non-dropping-particle":"","parse-names":false,"suffix":""}],"id":"ITEM-1","issued":{"date-parts":[["2006"]]},"publisher":"Sage Publication Inc.","publisher-place":"London","title":"Encyclopedia of Career Development","type":"book"},"uris":["http://www.mendeley.com/documents/?uuid=76d9dbb5-2aef-3598-954b-d311079ef9f4"]},{"id":"ITEM-2","itemData":{"abstract":"Career Management for Life provides students and employees with an integrative approach to managing their careers on an ongoing basis to achieve a satisfying balance between their work and their family responsibilities, community involvement, and personal interests. The career management model guides individuals through the different phases of their career from figuring out what their first job should be right to navigating the road to retirement. Expert authors Greenhaus, Callanan, and Godshalk bring their wealth of research experience to the book and demonstrate the individual and organizational sides of career management, allowing an appreciation of both. This material is well balanced by a set of practical tools, including self-assessments, case studies, and recommended interviews. The new edition also includes: • An emphasis on attaining work-life balance, a topic that is of growing concern to workers at all stages of their careers. • An updated focus on today's career contexts and stages. • Material on technology and social media, now integrated throughout the book, to reflect the growing importance of these tools in career management and development. • A chapter on international careers, helping individuals face a globalized world. • Greater emphasis on alternative career paths, reflecting the newest trends and helping individuals understand all the different career options available to them. This rich and engaging book will help individuals understand themselves better, which in turn allows them to understand what they really want out of their career. Those taking (or offering) classes in career management or career development will come to rely on this book for years to follow.","author":[{"dropping-particle":"","family":"Greenhaus","given":"Jeffrey H.","non-dropping-particle":"","parse-names":false,"suffix":""},{"dropping-particle":"","family":"Callanan","given":"Gerald A.","non-dropping-particle":"","parse-names":false,"suffix":""},{"dropping-particle":"","family":"Godshalk","given":"Veronica M.","non-dropping-particle":"","parse-names":false,"suffix":""}],"edition":"5th","editor":[{"dropping-particle":"","family":"Greenhaus","given":"Jeffrey H.","non-dropping-particle":"","parse-names":false,"suffix":""},{"dropping-particle":"","family":"Callanan","given":"Gerald A.","non-dropping-particle":"","parse-names":false,"suffix":""},{"dropping-particle":"","family":"Godshalk","given":"Veronica M.","non-dropping-particle":"","parse-names":false,"suffix":""}],"id":"ITEM-2","issued":{"date-parts":[["2019"]]},"publisher":"Routledge Taylor &amp; Francis","publisher-place":"USA","title":"Career Management for Life","type":"book"},"uris":["http://www.mendeley.com/documents/?uuid=bef492c7-0915-378b-b2b0-62c684d59c1b"]}],"mendeley":{"formattedCitation":"(Jeffrey H. Greenhaus et al., 2019; Jeffrey H. Greenhaus &amp; Callanan, 2006)","plainTextFormattedCitation":"(Jeffrey H. Greenhaus et al., 2019; Jeffrey H. Greenhaus &amp; Callanan, 2006)","previouslyFormattedCitation":"(Jeffrey H. Greenhaus et al., 2019; Jeffrey H. Greenhaus &amp; Callanan, 2006)"},"properties":{"noteIndex":0},"schema":"https://github.com/citation-style-language/schema/raw/master/csl-citation.json"}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(Jeffrey H. Greenhaus et al., 2019; Jeffrey H. Greenhaus &amp; Callanan, 2006)</w:t>
      </w:r>
      <w:r w:rsidRPr="007C0FE7">
        <w:rPr>
          <w:rFonts w:eastAsia="Garamond"/>
          <w:b w:val="0"/>
          <w:bCs/>
        </w:rPr>
        <w:fldChar w:fldCharType="end"/>
      </w:r>
      <w:r w:rsidRPr="007C0FE7">
        <w:rPr>
          <w:rFonts w:eastAsia="Garamond"/>
          <w:b w:val="0"/>
          <w:bCs/>
        </w:rPr>
        <w:t>, which was measured through 5 manifest variables, including (1) career achievement, (2) fulfillment of career goals, (3) income, (4) career progress, and (5) development of abilities during a career. one manifest variable “gratitude” was added in this study. Thus, there are 6 manifest variables that are tested as valid indicators for career satisfaction of guidance and counseling teachers. The scaling method used in this study is the Likert scale with the summed rating method (Method of Summated Ratings) with five alternative answers.</w:t>
      </w:r>
    </w:p>
    <w:p w14:paraId="3A374728" w14:textId="77777777" w:rsidR="007F1BA9" w:rsidRPr="007C0FE7" w:rsidRDefault="007F1BA9" w:rsidP="00044FE0">
      <w:pPr>
        <w:pStyle w:val="Alishlah21heading1"/>
        <w:numPr>
          <w:ilvl w:val="0"/>
          <w:numId w:val="0"/>
        </w:numPr>
        <w:ind w:left="426" w:hanging="426"/>
        <w:jc w:val="center"/>
        <w:rPr>
          <w:rFonts w:eastAsia="Garamond"/>
          <w:b w:val="0"/>
          <w:bCs/>
        </w:rPr>
      </w:pPr>
      <w:bookmarkStart w:id="1" w:name="_heading=h.1fob9te" w:colFirst="0" w:colLast="0"/>
      <w:bookmarkEnd w:id="1"/>
      <w:r w:rsidRPr="007C0FE7">
        <w:rPr>
          <w:rFonts w:eastAsia="Garamond"/>
          <w:b w:val="0"/>
          <w:bCs/>
        </w:rPr>
        <w:t>Table 1 Indicators of Career Satisfaction</w:t>
      </w:r>
    </w:p>
    <w:tbl>
      <w:tblPr>
        <w:tblW w:w="8789" w:type="dxa"/>
        <w:tblLayout w:type="fixed"/>
        <w:tblLook w:val="0400" w:firstRow="0" w:lastRow="0" w:firstColumn="0" w:lastColumn="0" w:noHBand="0" w:noVBand="1"/>
      </w:tblPr>
      <w:tblGrid>
        <w:gridCol w:w="567"/>
        <w:gridCol w:w="1560"/>
        <w:gridCol w:w="3118"/>
        <w:gridCol w:w="2268"/>
        <w:gridCol w:w="1276"/>
      </w:tblGrid>
      <w:tr w:rsidR="007F1BA9" w:rsidRPr="00332F6D" w14:paraId="078CAC46" w14:textId="77777777" w:rsidTr="00A91B80">
        <w:trPr>
          <w:trHeight w:val="199"/>
        </w:trPr>
        <w:tc>
          <w:tcPr>
            <w:tcW w:w="567" w:type="dxa"/>
            <w:tcBorders>
              <w:top w:val="single" w:sz="4" w:space="0" w:color="000000"/>
              <w:left w:val="nil"/>
              <w:bottom w:val="single" w:sz="4" w:space="0" w:color="000000"/>
              <w:right w:val="nil"/>
            </w:tcBorders>
            <w:shd w:val="clear" w:color="auto" w:fill="BFBFBF"/>
          </w:tcPr>
          <w:p w14:paraId="75B1A4B7" w14:textId="77777777" w:rsidR="007F1BA9" w:rsidRPr="00332F6D" w:rsidRDefault="007F1BA9" w:rsidP="00A91B80">
            <w:pPr>
              <w:spacing w:after="0" w:line="240" w:lineRule="auto"/>
              <w:jc w:val="center"/>
              <w:rPr>
                <w:rFonts w:ascii="Garamond" w:eastAsia="Garamond" w:hAnsi="Garamond" w:cs="Garamond"/>
                <w:b/>
                <w:color w:val="000000"/>
                <w:sz w:val="20"/>
                <w:szCs w:val="20"/>
              </w:rPr>
            </w:pPr>
            <w:r w:rsidRPr="00332F6D">
              <w:rPr>
                <w:rFonts w:ascii="Garamond" w:eastAsia="Garamond" w:hAnsi="Garamond" w:cs="Garamond"/>
                <w:b/>
                <w:color w:val="000000"/>
                <w:sz w:val="20"/>
                <w:szCs w:val="20"/>
              </w:rPr>
              <w:t>No.</w:t>
            </w:r>
          </w:p>
        </w:tc>
        <w:tc>
          <w:tcPr>
            <w:tcW w:w="1560" w:type="dxa"/>
            <w:tcBorders>
              <w:top w:val="single" w:sz="4" w:space="0" w:color="000000"/>
              <w:left w:val="nil"/>
              <w:bottom w:val="single" w:sz="4" w:space="0" w:color="000000"/>
              <w:right w:val="nil"/>
            </w:tcBorders>
            <w:shd w:val="clear" w:color="auto" w:fill="BFBFBF"/>
          </w:tcPr>
          <w:p w14:paraId="3B0902DB" w14:textId="77777777" w:rsidR="007F1BA9" w:rsidRPr="00332F6D" w:rsidRDefault="007F1BA9" w:rsidP="00A91B80">
            <w:pPr>
              <w:spacing w:after="0" w:line="240" w:lineRule="auto"/>
              <w:jc w:val="center"/>
              <w:rPr>
                <w:rFonts w:ascii="Garamond" w:eastAsia="Garamond" w:hAnsi="Garamond" w:cs="Garamond"/>
                <w:b/>
                <w:color w:val="000000"/>
                <w:sz w:val="20"/>
                <w:szCs w:val="20"/>
              </w:rPr>
            </w:pPr>
            <w:r w:rsidRPr="00332F6D">
              <w:rPr>
                <w:rFonts w:ascii="Garamond" w:eastAsia="Garamond" w:hAnsi="Garamond" w:cs="Garamond"/>
                <w:b/>
                <w:color w:val="000000"/>
                <w:sz w:val="20"/>
                <w:szCs w:val="20"/>
              </w:rPr>
              <w:t>Indicators</w:t>
            </w:r>
          </w:p>
        </w:tc>
        <w:tc>
          <w:tcPr>
            <w:tcW w:w="3118" w:type="dxa"/>
            <w:tcBorders>
              <w:top w:val="single" w:sz="4" w:space="0" w:color="000000"/>
              <w:left w:val="nil"/>
              <w:bottom w:val="single" w:sz="4" w:space="0" w:color="000000"/>
              <w:right w:val="nil"/>
            </w:tcBorders>
            <w:shd w:val="clear" w:color="auto" w:fill="BFBFBF"/>
          </w:tcPr>
          <w:p w14:paraId="63BF677E" w14:textId="77777777" w:rsidR="007F1BA9" w:rsidRPr="00332F6D" w:rsidRDefault="007F1BA9" w:rsidP="00A91B80">
            <w:pPr>
              <w:spacing w:after="0" w:line="240" w:lineRule="auto"/>
              <w:jc w:val="center"/>
              <w:rPr>
                <w:rFonts w:ascii="Garamond" w:eastAsia="Garamond" w:hAnsi="Garamond" w:cs="Garamond"/>
                <w:b/>
                <w:color w:val="000000"/>
                <w:sz w:val="20"/>
                <w:szCs w:val="20"/>
              </w:rPr>
            </w:pPr>
            <w:r w:rsidRPr="00332F6D">
              <w:rPr>
                <w:rFonts w:ascii="Garamond" w:eastAsia="Garamond" w:hAnsi="Garamond" w:cs="Garamond"/>
                <w:b/>
                <w:color w:val="000000"/>
                <w:sz w:val="20"/>
                <w:szCs w:val="20"/>
              </w:rPr>
              <w:t>Questioner</w:t>
            </w:r>
          </w:p>
        </w:tc>
        <w:tc>
          <w:tcPr>
            <w:tcW w:w="2268" w:type="dxa"/>
            <w:tcBorders>
              <w:top w:val="single" w:sz="4" w:space="0" w:color="000000"/>
              <w:left w:val="nil"/>
              <w:bottom w:val="single" w:sz="4" w:space="0" w:color="000000"/>
              <w:right w:val="nil"/>
            </w:tcBorders>
            <w:shd w:val="clear" w:color="auto" w:fill="BFBFBF"/>
          </w:tcPr>
          <w:p w14:paraId="40F2481B" w14:textId="77777777" w:rsidR="007F1BA9" w:rsidRPr="00332F6D" w:rsidRDefault="007F1BA9" w:rsidP="00A91B80">
            <w:pPr>
              <w:spacing w:after="0" w:line="240" w:lineRule="auto"/>
              <w:jc w:val="center"/>
              <w:rPr>
                <w:rFonts w:ascii="Garamond" w:eastAsia="Garamond" w:hAnsi="Garamond" w:cs="Garamond"/>
                <w:b/>
                <w:color w:val="000000"/>
                <w:sz w:val="20"/>
                <w:szCs w:val="20"/>
              </w:rPr>
            </w:pPr>
            <w:r w:rsidRPr="00332F6D">
              <w:rPr>
                <w:rFonts w:ascii="Garamond" w:eastAsia="Garamond" w:hAnsi="Garamond" w:cs="Garamond"/>
                <w:b/>
                <w:color w:val="000000"/>
                <w:sz w:val="20"/>
                <w:szCs w:val="20"/>
              </w:rPr>
              <w:t>Statements</w:t>
            </w:r>
          </w:p>
        </w:tc>
        <w:tc>
          <w:tcPr>
            <w:tcW w:w="1276" w:type="dxa"/>
            <w:tcBorders>
              <w:top w:val="single" w:sz="4" w:space="0" w:color="000000"/>
              <w:left w:val="nil"/>
              <w:bottom w:val="single" w:sz="4" w:space="0" w:color="000000"/>
              <w:right w:val="nil"/>
            </w:tcBorders>
            <w:shd w:val="clear" w:color="auto" w:fill="BFBFBF"/>
          </w:tcPr>
          <w:p w14:paraId="29C50CE6" w14:textId="77777777" w:rsidR="007F1BA9" w:rsidRPr="00332F6D" w:rsidRDefault="007F1BA9" w:rsidP="00A91B80">
            <w:pPr>
              <w:spacing w:after="0" w:line="240" w:lineRule="auto"/>
              <w:jc w:val="center"/>
              <w:rPr>
                <w:rFonts w:ascii="Garamond" w:eastAsia="Garamond" w:hAnsi="Garamond" w:cs="Garamond"/>
                <w:b/>
                <w:color w:val="000000"/>
                <w:sz w:val="20"/>
                <w:szCs w:val="20"/>
              </w:rPr>
            </w:pPr>
            <w:r w:rsidRPr="00332F6D">
              <w:rPr>
                <w:rFonts w:ascii="Garamond" w:eastAsia="Garamond" w:hAnsi="Garamond" w:cs="Garamond"/>
                <w:b/>
                <w:color w:val="000000"/>
                <w:sz w:val="20"/>
                <w:szCs w:val="20"/>
              </w:rPr>
              <w:t>Likert Scale</w:t>
            </w:r>
          </w:p>
        </w:tc>
      </w:tr>
      <w:tr w:rsidR="007F1BA9" w:rsidRPr="00332F6D" w14:paraId="347C59BD" w14:textId="77777777" w:rsidTr="00A91B80">
        <w:trPr>
          <w:trHeight w:val="386"/>
        </w:trPr>
        <w:tc>
          <w:tcPr>
            <w:tcW w:w="567" w:type="dxa"/>
            <w:tcBorders>
              <w:top w:val="single" w:sz="4" w:space="0" w:color="000000"/>
              <w:left w:val="nil"/>
              <w:bottom w:val="single" w:sz="4" w:space="0" w:color="000000"/>
              <w:right w:val="nil"/>
            </w:tcBorders>
            <w:shd w:val="clear" w:color="auto" w:fill="auto"/>
          </w:tcPr>
          <w:p w14:paraId="3AB9AF4E" w14:textId="77777777" w:rsidR="007F1BA9" w:rsidRPr="00332F6D" w:rsidRDefault="007F1BA9" w:rsidP="00A91B80">
            <w:pPr>
              <w:spacing w:after="0" w:line="240" w:lineRule="auto"/>
              <w:jc w:val="center"/>
              <w:rPr>
                <w:rFonts w:ascii="Garamond" w:eastAsia="Garamond" w:hAnsi="Garamond" w:cs="Garamond"/>
                <w:color w:val="000000"/>
                <w:sz w:val="20"/>
                <w:szCs w:val="20"/>
              </w:rPr>
            </w:pPr>
            <w:r w:rsidRPr="00332F6D">
              <w:rPr>
                <w:rFonts w:ascii="Garamond" w:eastAsia="Garamond" w:hAnsi="Garamond" w:cs="Garamond"/>
                <w:color w:val="000000"/>
                <w:sz w:val="20"/>
                <w:szCs w:val="20"/>
              </w:rPr>
              <w:t>1</w:t>
            </w:r>
          </w:p>
        </w:tc>
        <w:tc>
          <w:tcPr>
            <w:tcW w:w="1560" w:type="dxa"/>
            <w:tcBorders>
              <w:top w:val="single" w:sz="4" w:space="0" w:color="000000"/>
              <w:left w:val="nil"/>
              <w:bottom w:val="single" w:sz="4" w:space="0" w:color="000000"/>
              <w:right w:val="nil"/>
            </w:tcBorders>
            <w:shd w:val="clear" w:color="auto" w:fill="auto"/>
          </w:tcPr>
          <w:p w14:paraId="00870DD2" w14:textId="77777777" w:rsidR="007F1BA9" w:rsidRPr="00332F6D" w:rsidRDefault="007F1BA9" w:rsidP="00A91B80">
            <w:pPr>
              <w:spacing w:after="0" w:line="240" w:lineRule="auto"/>
              <w:rPr>
                <w:rFonts w:ascii="Garamond" w:eastAsia="Garamond" w:hAnsi="Garamond" w:cs="Garamond"/>
                <w:color w:val="000000"/>
                <w:sz w:val="20"/>
                <w:szCs w:val="20"/>
              </w:rPr>
            </w:pPr>
            <w:r w:rsidRPr="00332F6D">
              <w:rPr>
                <w:rFonts w:ascii="Garamond" w:eastAsia="Garamond" w:hAnsi="Garamond" w:cs="Garamond"/>
                <w:sz w:val="20"/>
                <w:szCs w:val="20"/>
              </w:rPr>
              <w:t>Career Achievement (CA)</w:t>
            </w:r>
          </w:p>
        </w:tc>
        <w:tc>
          <w:tcPr>
            <w:tcW w:w="3118" w:type="dxa"/>
            <w:tcBorders>
              <w:top w:val="single" w:sz="4" w:space="0" w:color="000000"/>
              <w:left w:val="nil"/>
              <w:bottom w:val="single" w:sz="4" w:space="0" w:color="000000"/>
              <w:right w:val="nil"/>
            </w:tcBorders>
            <w:shd w:val="clear" w:color="auto" w:fill="auto"/>
          </w:tcPr>
          <w:p w14:paraId="5829D388" w14:textId="77777777" w:rsidR="007F1BA9" w:rsidRPr="00332F6D" w:rsidRDefault="007F1BA9" w:rsidP="00A91B80">
            <w:pPr>
              <w:spacing w:after="0" w:line="240" w:lineRule="auto"/>
              <w:rPr>
                <w:rFonts w:ascii="Garamond" w:eastAsia="Garamond" w:hAnsi="Garamond" w:cs="Garamond"/>
                <w:color w:val="000000"/>
                <w:sz w:val="20"/>
                <w:szCs w:val="20"/>
              </w:rPr>
            </w:pPr>
            <w:r w:rsidRPr="00332F6D">
              <w:rPr>
                <w:rFonts w:ascii="Garamond" w:eastAsia="Garamond" w:hAnsi="Garamond" w:cs="Garamond"/>
                <w:color w:val="000000"/>
                <w:sz w:val="20"/>
                <w:szCs w:val="20"/>
              </w:rPr>
              <w:t>I am satisfied with the success achieved in my career up to now.</w:t>
            </w:r>
          </w:p>
        </w:tc>
        <w:tc>
          <w:tcPr>
            <w:tcW w:w="2268" w:type="dxa"/>
            <w:vMerge w:val="restart"/>
            <w:tcBorders>
              <w:top w:val="single" w:sz="4" w:space="0" w:color="000000"/>
              <w:left w:val="nil"/>
              <w:right w:val="nil"/>
            </w:tcBorders>
          </w:tcPr>
          <w:p w14:paraId="57A4E29F" w14:textId="77777777" w:rsidR="007F1BA9" w:rsidRPr="00332F6D" w:rsidRDefault="007F1BA9" w:rsidP="00A91B80">
            <w:pPr>
              <w:spacing w:after="0" w:line="360" w:lineRule="auto"/>
              <w:rPr>
                <w:rFonts w:ascii="Garamond" w:eastAsia="Garamond" w:hAnsi="Garamond" w:cs="Garamond"/>
                <w:color w:val="000000"/>
                <w:sz w:val="20"/>
                <w:szCs w:val="20"/>
              </w:rPr>
            </w:pPr>
            <w:r w:rsidRPr="00332F6D">
              <w:rPr>
                <w:rFonts w:ascii="Garamond" w:eastAsia="Garamond" w:hAnsi="Garamond" w:cs="Garamond"/>
                <w:color w:val="000000"/>
                <w:sz w:val="20"/>
                <w:szCs w:val="20"/>
              </w:rPr>
              <w:t>SS (Strongly Agree)</w:t>
            </w:r>
          </w:p>
          <w:p w14:paraId="6B96C760" w14:textId="77777777" w:rsidR="007F1BA9" w:rsidRPr="00332F6D" w:rsidRDefault="007F1BA9" w:rsidP="00A91B80">
            <w:pPr>
              <w:spacing w:after="0" w:line="360" w:lineRule="auto"/>
              <w:rPr>
                <w:rFonts w:ascii="Garamond" w:eastAsia="Garamond" w:hAnsi="Garamond" w:cs="Garamond"/>
                <w:color w:val="000000"/>
                <w:sz w:val="20"/>
                <w:szCs w:val="20"/>
              </w:rPr>
            </w:pPr>
            <w:r w:rsidRPr="00332F6D">
              <w:rPr>
                <w:rFonts w:ascii="Garamond" w:eastAsia="Garamond" w:hAnsi="Garamond" w:cs="Garamond"/>
                <w:color w:val="000000"/>
                <w:sz w:val="20"/>
                <w:szCs w:val="20"/>
              </w:rPr>
              <w:t xml:space="preserve">S (Agree) </w:t>
            </w:r>
          </w:p>
          <w:p w14:paraId="126B9102" w14:textId="77777777" w:rsidR="007F1BA9" w:rsidRPr="00332F6D" w:rsidRDefault="007F1BA9" w:rsidP="00A91B80">
            <w:pPr>
              <w:spacing w:after="0" w:line="360" w:lineRule="auto"/>
              <w:rPr>
                <w:rFonts w:ascii="Garamond" w:eastAsia="Garamond" w:hAnsi="Garamond" w:cs="Garamond"/>
                <w:color w:val="000000"/>
                <w:sz w:val="20"/>
                <w:szCs w:val="20"/>
              </w:rPr>
            </w:pPr>
            <w:r w:rsidRPr="00332F6D">
              <w:rPr>
                <w:rFonts w:ascii="Garamond" w:eastAsia="Garamond" w:hAnsi="Garamond" w:cs="Garamond"/>
                <w:color w:val="000000"/>
                <w:sz w:val="20"/>
                <w:szCs w:val="20"/>
              </w:rPr>
              <w:t>R (Undecided)</w:t>
            </w:r>
          </w:p>
          <w:p w14:paraId="43A6B931" w14:textId="77777777" w:rsidR="007F1BA9" w:rsidRPr="00332F6D" w:rsidRDefault="007F1BA9" w:rsidP="00A91B80">
            <w:pPr>
              <w:spacing w:after="0" w:line="360" w:lineRule="auto"/>
              <w:rPr>
                <w:rFonts w:ascii="Garamond" w:eastAsia="Garamond" w:hAnsi="Garamond" w:cs="Garamond"/>
                <w:color w:val="000000"/>
                <w:sz w:val="20"/>
                <w:szCs w:val="20"/>
              </w:rPr>
            </w:pPr>
            <w:r w:rsidRPr="00332F6D">
              <w:rPr>
                <w:rFonts w:ascii="Garamond" w:eastAsia="Garamond" w:hAnsi="Garamond" w:cs="Garamond"/>
                <w:color w:val="000000"/>
                <w:sz w:val="20"/>
                <w:szCs w:val="20"/>
              </w:rPr>
              <w:t>TS (Disagree)</w:t>
            </w:r>
          </w:p>
          <w:p w14:paraId="6E1B60DE" w14:textId="77777777" w:rsidR="007F1BA9" w:rsidRPr="00332F6D" w:rsidRDefault="007F1BA9" w:rsidP="00A91B80">
            <w:pPr>
              <w:spacing w:after="0" w:line="360" w:lineRule="auto"/>
              <w:rPr>
                <w:rFonts w:ascii="Garamond" w:eastAsia="Garamond" w:hAnsi="Garamond" w:cs="Garamond"/>
                <w:color w:val="000000"/>
                <w:sz w:val="20"/>
                <w:szCs w:val="20"/>
              </w:rPr>
            </w:pPr>
            <w:r w:rsidRPr="00332F6D">
              <w:rPr>
                <w:rFonts w:ascii="Garamond" w:eastAsia="Garamond" w:hAnsi="Garamond" w:cs="Garamond"/>
                <w:color w:val="000000"/>
                <w:sz w:val="20"/>
                <w:szCs w:val="20"/>
              </w:rPr>
              <w:t>STS (Strongly Disagree)</w:t>
            </w:r>
          </w:p>
        </w:tc>
        <w:tc>
          <w:tcPr>
            <w:tcW w:w="1276" w:type="dxa"/>
            <w:vMerge w:val="restart"/>
            <w:tcBorders>
              <w:top w:val="single" w:sz="4" w:space="0" w:color="000000"/>
              <w:left w:val="nil"/>
              <w:right w:val="nil"/>
            </w:tcBorders>
          </w:tcPr>
          <w:p w14:paraId="2B601D36" w14:textId="77777777" w:rsidR="007F1BA9" w:rsidRPr="00332F6D" w:rsidRDefault="007F1BA9" w:rsidP="00A91B80">
            <w:pPr>
              <w:spacing w:after="0" w:line="360" w:lineRule="auto"/>
              <w:jc w:val="center"/>
              <w:rPr>
                <w:rFonts w:ascii="Garamond" w:eastAsia="Garamond" w:hAnsi="Garamond" w:cs="Garamond"/>
                <w:color w:val="000000"/>
                <w:sz w:val="20"/>
                <w:szCs w:val="20"/>
              </w:rPr>
            </w:pPr>
            <w:r w:rsidRPr="00332F6D">
              <w:rPr>
                <w:rFonts w:ascii="Garamond" w:eastAsia="Garamond" w:hAnsi="Garamond" w:cs="Garamond"/>
                <w:color w:val="000000"/>
                <w:sz w:val="20"/>
                <w:szCs w:val="20"/>
              </w:rPr>
              <w:t>5</w:t>
            </w:r>
          </w:p>
          <w:p w14:paraId="214D5E23" w14:textId="77777777" w:rsidR="007F1BA9" w:rsidRPr="00332F6D" w:rsidRDefault="007F1BA9" w:rsidP="00A91B80">
            <w:pPr>
              <w:spacing w:after="0" w:line="360" w:lineRule="auto"/>
              <w:jc w:val="center"/>
              <w:rPr>
                <w:rFonts w:ascii="Garamond" w:eastAsia="Garamond" w:hAnsi="Garamond" w:cs="Garamond"/>
                <w:color w:val="000000"/>
                <w:sz w:val="20"/>
                <w:szCs w:val="20"/>
              </w:rPr>
            </w:pPr>
            <w:r w:rsidRPr="00332F6D">
              <w:rPr>
                <w:rFonts w:ascii="Garamond" w:eastAsia="Garamond" w:hAnsi="Garamond" w:cs="Garamond"/>
                <w:color w:val="000000"/>
                <w:sz w:val="20"/>
                <w:szCs w:val="20"/>
              </w:rPr>
              <w:t>4</w:t>
            </w:r>
          </w:p>
          <w:p w14:paraId="30211D10" w14:textId="77777777" w:rsidR="007F1BA9" w:rsidRPr="00332F6D" w:rsidRDefault="007F1BA9" w:rsidP="00A91B80">
            <w:pPr>
              <w:spacing w:after="0" w:line="360" w:lineRule="auto"/>
              <w:jc w:val="center"/>
              <w:rPr>
                <w:rFonts w:ascii="Garamond" w:eastAsia="Garamond" w:hAnsi="Garamond" w:cs="Garamond"/>
                <w:color w:val="000000"/>
                <w:sz w:val="20"/>
                <w:szCs w:val="20"/>
              </w:rPr>
            </w:pPr>
            <w:r w:rsidRPr="00332F6D">
              <w:rPr>
                <w:rFonts w:ascii="Garamond" w:eastAsia="Garamond" w:hAnsi="Garamond" w:cs="Garamond"/>
                <w:color w:val="000000"/>
                <w:sz w:val="20"/>
                <w:szCs w:val="20"/>
              </w:rPr>
              <w:t>3</w:t>
            </w:r>
          </w:p>
          <w:p w14:paraId="0164B912" w14:textId="77777777" w:rsidR="007F1BA9" w:rsidRPr="00332F6D" w:rsidRDefault="007F1BA9" w:rsidP="00A91B80">
            <w:pPr>
              <w:spacing w:after="0" w:line="360" w:lineRule="auto"/>
              <w:jc w:val="center"/>
              <w:rPr>
                <w:rFonts w:ascii="Garamond" w:eastAsia="Garamond" w:hAnsi="Garamond" w:cs="Garamond"/>
                <w:color w:val="000000"/>
                <w:sz w:val="20"/>
                <w:szCs w:val="20"/>
              </w:rPr>
            </w:pPr>
            <w:r w:rsidRPr="00332F6D">
              <w:rPr>
                <w:rFonts w:ascii="Garamond" w:eastAsia="Garamond" w:hAnsi="Garamond" w:cs="Garamond"/>
                <w:color w:val="000000"/>
                <w:sz w:val="20"/>
                <w:szCs w:val="20"/>
              </w:rPr>
              <w:t>2</w:t>
            </w:r>
          </w:p>
          <w:p w14:paraId="101C9B3E" w14:textId="77777777" w:rsidR="007F1BA9" w:rsidRPr="00332F6D" w:rsidRDefault="007F1BA9" w:rsidP="00A91B80">
            <w:pPr>
              <w:spacing w:after="0" w:line="360" w:lineRule="auto"/>
              <w:jc w:val="center"/>
              <w:rPr>
                <w:rFonts w:ascii="Garamond" w:eastAsia="Garamond" w:hAnsi="Garamond" w:cs="Garamond"/>
                <w:color w:val="000000"/>
                <w:sz w:val="20"/>
                <w:szCs w:val="20"/>
              </w:rPr>
            </w:pPr>
            <w:r w:rsidRPr="00332F6D">
              <w:rPr>
                <w:rFonts w:ascii="Garamond" w:eastAsia="Garamond" w:hAnsi="Garamond" w:cs="Garamond"/>
                <w:color w:val="000000"/>
                <w:sz w:val="20"/>
                <w:szCs w:val="20"/>
              </w:rPr>
              <w:t>1</w:t>
            </w:r>
          </w:p>
        </w:tc>
      </w:tr>
      <w:tr w:rsidR="007F1BA9" w:rsidRPr="00332F6D" w14:paraId="27C27A97" w14:textId="77777777" w:rsidTr="00A91B80">
        <w:trPr>
          <w:trHeight w:val="203"/>
        </w:trPr>
        <w:tc>
          <w:tcPr>
            <w:tcW w:w="567" w:type="dxa"/>
            <w:tcBorders>
              <w:top w:val="single" w:sz="4" w:space="0" w:color="000000"/>
              <w:left w:val="nil"/>
              <w:bottom w:val="single" w:sz="4" w:space="0" w:color="000000"/>
              <w:right w:val="nil"/>
            </w:tcBorders>
            <w:shd w:val="clear" w:color="auto" w:fill="auto"/>
          </w:tcPr>
          <w:p w14:paraId="218B8031" w14:textId="77777777" w:rsidR="007F1BA9" w:rsidRPr="00332F6D" w:rsidRDefault="007F1BA9" w:rsidP="00A91B80">
            <w:pPr>
              <w:spacing w:after="0" w:line="240" w:lineRule="auto"/>
              <w:jc w:val="center"/>
              <w:rPr>
                <w:rFonts w:ascii="Garamond" w:eastAsia="Garamond" w:hAnsi="Garamond" w:cs="Garamond"/>
                <w:color w:val="000000"/>
                <w:sz w:val="20"/>
                <w:szCs w:val="20"/>
              </w:rPr>
            </w:pPr>
            <w:r w:rsidRPr="00332F6D">
              <w:rPr>
                <w:rFonts w:ascii="Garamond" w:eastAsia="Garamond" w:hAnsi="Garamond" w:cs="Garamond"/>
                <w:color w:val="000000"/>
                <w:sz w:val="20"/>
                <w:szCs w:val="20"/>
              </w:rPr>
              <w:t>2</w:t>
            </w:r>
          </w:p>
        </w:tc>
        <w:tc>
          <w:tcPr>
            <w:tcW w:w="1560" w:type="dxa"/>
            <w:tcBorders>
              <w:top w:val="single" w:sz="4" w:space="0" w:color="000000"/>
              <w:left w:val="nil"/>
              <w:bottom w:val="single" w:sz="4" w:space="0" w:color="000000"/>
              <w:right w:val="nil"/>
            </w:tcBorders>
            <w:shd w:val="clear" w:color="auto" w:fill="auto"/>
          </w:tcPr>
          <w:p w14:paraId="7FC18F6E" w14:textId="77777777" w:rsidR="007F1BA9" w:rsidRPr="00332F6D" w:rsidRDefault="007F1BA9" w:rsidP="00A91B80">
            <w:pPr>
              <w:spacing w:after="0" w:line="240" w:lineRule="auto"/>
              <w:rPr>
                <w:rFonts w:ascii="Garamond" w:eastAsia="Garamond" w:hAnsi="Garamond" w:cs="Garamond"/>
                <w:color w:val="000000"/>
                <w:sz w:val="20"/>
                <w:szCs w:val="20"/>
              </w:rPr>
            </w:pPr>
            <w:proofErr w:type="spellStart"/>
            <w:r w:rsidRPr="00332F6D">
              <w:rPr>
                <w:rFonts w:ascii="Garamond" w:eastAsia="Garamond" w:hAnsi="Garamond" w:cs="Garamond"/>
                <w:sz w:val="20"/>
                <w:szCs w:val="20"/>
              </w:rPr>
              <w:t>Fulfillment</w:t>
            </w:r>
            <w:proofErr w:type="spellEnd"/>
            <w:r w:rsidRPr="00332F6D">
              <w:rPr>
                <w:rFonts w:ascii="Garamond" w:eastAsia="Garamond" w:hAnsi="Garamond" w:cs="Garamond"/>
                <w:sz w:val="20"/>
                <w:szCs w:val="20"/>
              </w:rPr>
              <w:t xml:space="preserve"> of Career Goals (CG)</w:t>
            </w:r>
          </w:p>
        </w:tc>
        <w:tc>
          <w:tcPr>
            <w:tcW w:w="3118" w:type="dxa"/>
            <w:tcBorders>
              <w:top w:val="single" w:sz="4" w:space="0" w:color="000000"/>
              <w:left w:val="nil"/>
              <w:bottom w:val="single" w:sz="4" w:space="0" w:color="000000"/>
              <w:right w:val="nil"/>
            </w:tcBorders>
            <w:shd w:val="clear" w:color="auto" w:fill="auto"/>
          </w:tcPr>
          <w:p w14:paraId="3FA87D4A" w14:textId="77777777" w:rsidR="007F1BA9" w:rsidRPr="00332F6D" w:rsidRDefault="007F1BA9" w:rsidP="00A91B80">
            <w:pPr>
              <w:spacing w:after="0" w:line="240" w:lineRule="auto"/>
              <w:rPr>
                <w:rFonts w:ascii="Garamond" w:eastAsia="Garamond" w:hAnsi="Garamond" w:cs="Garamond"/>
                <w:color w:val="000000"/>
                <w:sz w:val="20"/>
                <w:szCs w:val="20"/>
              </w:rPr>
            </w:pPr>
            <w:r w:rsidRPr="00332F6D">
              <w:rPr>
                <w:rFonts w:ascii="Garamond" w:eastAsia="Garamond" w:hAnsi="Garamond" w:cs="Garamond"/>
                <w:color w:val="000000"/>
                <w:sz w:val="20"/>
                <w:szCs w:val="20"/>
              </w:rPr>
              <w:t>I am satisfied with the overall fulfilment of my career goals.</w:t>
            </w:r>
          </w:p>
        </w:tc>
        <w:tc>
          <w:tcPr>
            <w:tcW w:w="2268" w:type="dxa"/>
            <w:vMerge/>
            <w:tcBorders>
              <w:top w:val="single" w:sz="4" w:space="0" w:color="000000"/>
              <w:left w:val="nil"/>
              <w:right w:val="nil"/>
            </w:tcBorders>
          </w:tcPr>
          <w:p w14:paraId="3DDB4797" w14:textId="77777777" w:rsidR="007F1BA9" w:rsidRPr="00332F6D" w:rsidRDefault="007F1BA9" w:rsidP="00A91B80">
            <w:pPr>
              <w:widowControl w:val="0"/>
              <w:pBdr>
                <w:top w:val="nil"/>
                <w:left w:val="nil"/>
                <w:bottom w:val="nil"/>
                <w:right w:val="nil"/>
                <w:between w:val="nil"/>
              </w:pBdr>
              <w:spacing w:after="0"/>
              <w:rPr>
                <w:rFonts w:ascii="Garamond" w:eastAsia="Garamond" w:hAnsi="Garamond" w:cs="Garamond"/>
                <w:color w:val="000000"/>
                <w:sz w:val="20"/>
                <w:szCs w:val="20"/>
              </w:rPr>
            </w:pPr>
          </w:p>
        </w:tc>
        <w:tc>
          <w:tcPr>
            <w:tcW w:w="1276" w:type="dxa"/>
            <w:vMerge/>
            <w:tcBorders>
              <w:top w:val="single" w:sz="4" w:space="0" w:color="000000"/>
              <w:left w:val="nil"/>
              <w:right w:val="nil"/>
            </w:tcBorders>
          </w:tcPr>
          <w:p w14:paraId="20563F2E" w14:textId="77777777" w:rsidR="007F1BA9" w:rsidRPr="00332F6D" w:rsidRDefault="007F1BA9" w:rsidP="00A91B80">
            <w:pPr>
              <w:widowControl w:val="0"/>
              <w:pBdr>
                <w:top w:val="nil"/>
                <w:left w:val="nil"/>
                <w:bottom w:val="nil"/>
                <w:right w:val="nil"/>
                <w:between w:val="nil"/>
              </w:pBdr>
              <w:spacing w:after="0"/>
              <w:rPr>
                <w:rFonts w:ascii="Garamond" w:eastAsia="Garamond" w:hAnsi="Garamond" w:cs="Garamond"/>
                <w:color w:val="000000"/>
                <w:sz w:val="20"/>
                <w:szCs w:val="20"/>
              </w:rPr>
            </w:pPr>
          </w:p>
        </w:tc>
      </w:tr>
      <w:tr w:rsidR="007F1BA9" w:rsidRPr="00332F6D" w14:paraId="7C7E5EE6" w14:textId="77777777" w:rsidTr="00A91B80">
        <w:trPr>
          <w:trHeight w:val="406"/>
        </w:trPr>
        <w:tc>
          <w:tcPr>
            <w:tcW w:w="567" w:type="dxa"/>
            <w:tcBorders>
              <w:top w:val="single" w:sz="4" w:space="0" w:color="000000"/>
              <w:left w:val="nil"/>
              <w:bottom w:val="single" w:sz="4" w:space="0" w:color="000000"/>
              <w:right w:val="nil"/>
            </w:tcBorders>
            <w:shd w:val="clear" w:color="auto" w:fill="auto"/>
          </w:tcPr>
          <w:p w14:paraId="6AE5B324" w14:textId="77777777" w:rsidR="007F1BA9" w:rsidRPr="00332F6D" w:rsidRDefault="007F1BA9" w:rsidP="00A91B80">
            <w:pPr>
              <w:spacing w:after="0" w:line="240" w:lineRule="auto"/>
              <w:jc w:val="center"/>
              <w:rPr>
                <w:rFonts w:ascii="Garamond" w:eastAsia="Garamond" w:hAnsi="Garamond" w:cs="Garamond"/>
                <w:color w:val="000000"/>
                <w:sz w:val="20"/>
                <w:szCs w:val="20"/>
              </w:rPr>
            </w:pPr>
            <w:r w:rsidRPr="00332F6D">
              <w:rPr>
                <w:rFonts w:ascii="Garamond" w:eastAsia="Garamond" w:hAnsi="Garamond" w:cs="Garamond"/>
                <w:color w:val="000000"/>
                <w:sz w:val="20"/>
                <w:szCs w:val="20"/>
              </w:rPr>
              <w:t>3</w:t>
            </w:r>
          </w:p>
        </w:tc>
        <w:tc>
          <w:tcPr>
            <w:tcW w:w="1560" w:type="dxa"/>
            <w:tcBorders>
              <w:top w:val="single" w:sz="4" w:space="0" w:color="000000"/>
              <w:left w:val="nil"/>
              <w:bottom w:val="single" w:sz="4" w:space="0" w:color="000000"/>
              <w:right w:val="nil"/>
            </w:tcBorders>
            <w:shd w:val="clear" w:color="auto" w:fill="auto"/>
          </w:tcPr>
          <w:p w14:paraId="09166671" w14:textId="77777777" w:rsidR="007F1BA9" w:rsidRPr="00332F6D" w:rsidRDefault="007F1BA9" w:rsidP="00A91B80">
            <w:pPr>
              <w:spacing w:after="0" w:line="240" w:lineRule="auto"/>
              <w:rPr>
                <w:rFonts w:ascii="Garamond" w:eastAsia="Garamond" w:hAnsi="Garamond" w:cs="Garamond"/>
                <w:color w:val="000000"/>
                <w:sz w:val="20"/>
                <w:szCs w:val="20"/>
              </w:rPr>
            </w:pPr>
            <w:r w:rsidRPr="00332F6D">
              <w:rPr>
                <w:rFonts w:ascii="Garamond" w:eastAsia="Garamond" w:hAnsi="Garamond" w:cs="Garamond"/>
                <w:sz w:val="20"/>
                <w:szCs w:val="20"/>
              </w:rPr>
              <w:t>Income (I)</w:t>
            </w:r>
          </w:p>
        </w:tc>
        <w:tc>
          <w:tcPr>
            <w:tcW w:w="3118" w:type="dxa"/>
            <w:tcBorders>
              <w:top w:val="single" w:sz="4" w:space="0" w:color="000000"/>
              <w:left w:val="nil"/>
              <w:bottom w:val="single" w:sz="4" w:space="0" w:color="000000"/>
              <w:right w:val="nil"/>
            </w:tcBorders>
            <w:shd w:val="clear" w:color="auto" w:fill="auto"/>
          </w:tcPr>
          <w:p w14:paraId="3B64A1FE" w14:textId="77777777" w:rsidR="007F1BA9" w:rsidRPr="00332F6D" w:rsidRDefault="007F1BA9" w:rsidP="00A91B80">
            <w:pPr>
              <w:spacing w:after="0" w:line="240" w:lineRule="auto"/>
              <w:rPr>
                <w:rFonts w:ascii="Garamond" w:eastAsia="Garamond" w:hAnsi="Garamond" w:cs="Garamond"/>
                <w:color w:val="000000"/>
                <w:sz w:val="20"/>
                <w:szCs w:val="20"/>
              </w:rPr>
            </w:pPr>
            <w:r w:rsidRPr="00332F6D">
              <w:rPr>
                <w:rFonts w:ascii="Garamond" w:eastAsia="Garamond" w:hAnsi="Garamond" w:cs="Garamond"/>
                <w:color w:val="000000"/>
                <w:sz w:val="20"/>
                <w:szCs w:val="20"/>
              </w:rPr>
              <w:t>I am satisfied with the progress made in meeting income requirements.</w:t>
            </w:r>
          </w:p>
        </w:tc>
        <w:tc>
          <w:tcPr>
            <w:tcW w:w="2268" w:type="dxa"/>
            <w:vMerge/>
            <w:tcBorders>
              <w:top w:val="single" w:sz="4" w:space="0" w:color="000000"/>
              <w:left w:val="nil"/>
              <w:right w:val="nil"/>
            </w:tcBorders>
          </w:tcPr>
          <w:p w14:paraId="1EA755CE" w14:textId="77777777" w:rsidR="007F1BA9" w:rsidRPr="00332F6D" w:rsidRDefault="007F1BA9" w:rsidP="00A91B80">
            <w:pPr>
              <w:widowControl w:val="0"/>
              <w:pBdr>
                <w:top w:val="nil"/>
                <w:left w:val="nil"/>
                <w:bottom w:val="nil"/>
                <w:right w:val="nil"/>
                <w:between w:val="nil"/>
              </w:pBdr>
              <w:spacing w:after="0"/>
              <w:rPr>
                <w:rFonts w:ascii="Garamond" w:eastAsia="Garamond" w:hAnsi="Garamond" w:cs="Garamond"/>
                <w:color w:val="000000"/>
                <w:sz w:val="20"/>
                <w:szCs w:val="20"/>
              </w:rPr>
            </w:pPr>
          </w:p>
        </w:tc>
        <w:tc>
          <w:tcPr>
            <w:tcW w:w="1276" w:type="dxa"/>
            <w:vMerge/>
            <w:tcBorders>
              <w:top w:val="single" w:sz="4" w:space="0" w:color="000000"/>
              <w:left w:val="nil"/>
              <w:right w:val="nil"/>
            </w:tcBorders>
          </w:tcPr>
          <w:p w14:paraId="14939316" w14:textId="77777777" w:rsidR="007F1BA9" w:rsidRPr="00332F6D" w:rsidRDefault="007F1BA9" w:rsidP="00A91B80">
            <w:pPr>
              <w:widowControl w:val="0"/>
              <w:pBdr>
                <w:top w:val="nil"/>
                <w:left w:val="nil"/>
                <w:bottom w:val="nil"/>
                <w:right w:val="nil"/>
                <w:between w:val="nil"/>
              </w:pBdr>
              <w:spacing w:after="0"/>
              <w:rPr>
                <w:rFonts w:ascii="Garamond" w:eastAsia="Garamond" w:hAnsi="Garamond" w:cs="Garamond"/>
                <w:color w:val="000000"/>
                <w:sz w:val="20"/>
                <w:szCs w:val="20"/>
              </w:rPr>
            </w:pPr>
          </w:p>
        </w:tc>
      </w:tr>
      <w:tr w:rsidR="007F1BA9" w:rsidRPr="00332F6D" w14:paraId="5B3591BB" w14:textId="77777777" w:rsidTr="00A91B80">
        <w:trPr>
          <w:trHeight w:val="369"/>
        </w:trPr>
        <w:tc>
          <w:tcPr>
            <w:tcW w:w="567" w:type="dxa"/>
            <w:tcBorders>
              <w:top w:val="single" w:sz="4" w:space="0" w:color="000000"/>
              <w:left w:val="nil"/>
              <w:bottom w:val="single" w:sz="4" w:space="0" w:color="000000"/>
              <w:right w:val="nil"/>
            </w:tcBorders>
            <w:shd w:val="clear" w:color="auto" w:fill="auto"/>
          </w:tcPr>
          <w:p w14:paraId="170B8855" w14:textId="77777777" w:rsidR="007F1BA9" w:rsidRPr="00332F6D" w:rsidRDefault="007F1BA9" w:rsidP="00A91B80">
            <w:pPr>
              <w:spacing w:after="0" w:line="240" w:lineRule="auto"/>
              <w:jc w:val="center"/>
              <w:rPr>
                <w:rFonts w:ascii="Garamond" w:eastAsia="Garamond" w:hAnsi="Garamond" w:cs="Garamond"/>
                <w:color w:val="000000"/>
                <w:sz w:val="20"/>
                <w:szCs w:val="20"/>
              </w:rPr>
            </w:pPr>
            <w:r w:rsidRPr="00332F6D">
              <w:rPr>
                <w:rFonts w:ascii="Garamond" w:eastAsia="Garamond" w:hAnsi="Garamond" w:cs="Garamond"/>
                <w:color w:val="000000"/>
                <w:sz w:val="20"/>
                <w:szCs w:val="20"/>
              </w:rPr>
              <w:t>4</w:t>
            </w:r>
          </w:p>
        </w:tc>
        <w:tc>
          <w:tcPr>
            <w:tcW w:w="1560" w:type="dxa"/>
            <w:tcBorders>
              <w:top w:val="single" w:sz="4" w:space="0" w:color="000000"/>
              <w:left w:val="nil"/>
              <w:bottom w:val="single" w:sz="4" w:space="0" w:color="000000"/>
              <w:right w:val="nil"/>
            </w:tcBorders>
            <w:shd w:val="clear" w:color="auto" w:fill="auto"/>
          </w:tcPr>
          <w:p w14:paraId="3079D236" w14:textId="77777777" w:rsidR="007F1BA9" w:rsidRPr="00332F6D" w:rsidRDefault="007F1BA9" w:rsidP="00A91B80">
            <w:pPr>
              <w:spacing w:after="0" w:line="240" w:lineRule="auto"/>
              <w:rPr>
                <w:rFonts w:ascii="Garamond" w:eastAsia="Garamond" w:hAnsi="Garamond" w:cs="Garamond"/>
                <w:color w:val="000000"/>
                <w:sz w:val="20"/>
                <w:szCs w:val="20"/>
              </w:rPr>
            </w:pPr>
            <w:r w:rsidRPr="00332F6D">
              <w:rPr>
                <w:rFonts w:ascii="Garamond" w:eastAsia="Garamond" w:hAnsi="Garamond" w:cs="Garamond"/>
                <w:sz w:val="20"/>
                <w:szCs w:val="20"/>
              </w:rPr>
              <w:t>Career Progress (CP)</w:t>
            </w:r>
          </w:p>
        </w:tc>
        <w:tc>
          <w:tcPr>
            <w:tcW w:w="3118" w:type="dxa"/>
            <w:tcBorders>
              <w:top w:val="single" w:sz="4" w:space="0" w:color="000000"/>
              <w:left w:val="nil"/>
              <w:bottom w:val="single" w:sz="4" w:space="0" w:color="000000"/>
              <w:right w:val="nil"/>
            </w:tcBorders>
            <w:shd w:val="clear" w:color="auto" w:fill="auto"/>
          </w:tcPr>
          <w:p w14:paraId="4C823756" w14:textId="77777777" w:rsidR="007F1BA9" w:rsidRPr="00332F6D" w:rsidRDefault="007F1BA9" w:rsidP="00A91B80">
            <w:pPr>
              <w:spacing w:after="0" w:line="240" w:lineRule="auto"/>
              <w:rPr>
                <w:rFonts w:ascii="Garamond" w:eastAsia="Garamond" w:hAnsi="Garamond" w:cs="Garamond"/>
                <w:color w:val="000000"/>
                <w:sz w:val="20"/>
                <w:szCs w:val="20"/>
              </w:rPr>
            </w:pPr>
            <w:r w:rsidRPr="00332F6D">
              <w:rPr>
                <w:rFonts w:ascii="Garamond" w:eastAsia="Garamond" w:hAnsi="Garamond" w:cs="Garamond"/>
                <w:color w:val="000000"/>
                <w:sz w:val="20"/>
                <w:szCs w:val="20"/>
              </w:rPr>
              <w:t>I am satisfied with the progress achieved in fulfilling my career advancement goals.</w:t>
            </w:r>
          </w:p>
        </w:tc>
        <w:tc>
          <w:tcPr>
            <w:tcW w:w="2268" w:type="dxa"/>
            <w:vMerge/>
            <w:tcBorders>
              <w:top w:val="single" w:sz="4" w:space="0" w:color="000000"/>
              <w:left w:val="nil"/>
              <w:right w:val="nil"/>
            </w:tcBorders>
          </w:tcPr>
          <w:p w14:paraId="3A91B04A" w14:textId="77777777" w:rsidR="007F1BA9" w:rsidRPr="00332F6D" w:rsidRDefault="007F1BA9" w:rsidP="00A91B80">
            <w:pPr>
              <w:widowControl w:val="0"/>
              <w:pBdr>
                <w:top w:val="nil"/>
                <w:left w:val="nil"/>
                <w:bottom w:val="nil"/>
                <w:right w:val="nil"/>
                <w:between w:val="nil"/>
              </w:pBdr>
              <w:spacing w:after="0"/>
              <w:rPr>
                <w:rFonts w:ascii="Garamond" w:eastAsia="Garamond" w:hAnsi="Garamond" w:cs="Garamond"/>
                <w:color w:val="000000"/>
                <w:sz w:val="20"/>
                <w:szCs w:val="20"/>
              </w:rPr>
            </w:pPr>
          </w:p>
        </w:tc>
        <w:tc>
          <w:tcPr>
            <w:tcW w:w="1276" w:type="dxa"/>
            <w:vMerge/>
            <w:tcBorders>
              <w:top w:val="single" w:sz="4" w:space="0" w:color="000000"/>
              <w:left w:val="nil"/>
              <w:right w:val="nil"/>
            </w:tcBorders>
          </w:tcPr>
          <w:p w14:paraId="0224DCC1" w14:textId="77777777" w:rsidR="007F1BA9" w:rsidRPr="00332F6D" w:rsidRDefault="007F1BA9" w:rsidP="00A91B80">
            <w:pPr>
              <w:widowControl w:val="0"/>
              <w:pBdr>
                <w:top w:val="nil"/>
                <w:left w:val="nil"/>
                <w:bottom w:val="nil"/>
                <w:right w:val="nil"/>
                <w:between w:val="nil"/>
              </w:pBdr>
              <w:spacing w:after="0"/>
              <w:rPr>
                <w:rFonts w:ascii="Garamond" w:eastAsia="Garamond" w:hAnsi="Garamond" w:cs="Garamond"/>
                <w:color w:val="000000"/>
                <w:sz w:val="20"/>
                <w:szCs w:val="20"/>
              </w:rPr>
            </w:pPr>
          </w:p>
        </w:tc>
      </w:tr>
      <w:tr w:rsidR="007F1BA9" w:rsidRPr="00332F6D" w14:paraId="4E732CF0" w14:textId="77777777" w:rsidTr="00A91B80">
        <w:trPr>
          <w:trHeight w:val="475"/>
        </w:trPr>
        <w:tc>
          <w:tcPr>
            <w:tcW w:w="567" w:type="dxa"/>
            <w:tcBorders>
              <w:top w:val="single" w:sz="4" w:space="0" w:color="000000"/>
              <w:left w:val="nil"/>
              <w:bottom w:val="single" w:sz="4" w:space="0" w:color="000000"/>
              <w:right w:val="nil"/>
            </w:tcBorders>
            <w:shd w:val="clear" w:color="auto" w:fill="auto"/>
          </w:tcPr>
          <w:p w14:paraId="3124A6ED" w14:textId="77777777" w:rsidR="007F1BA9" w:rsidRPr="00332F6D" w:rsidRDefault="007F1BA9" w:rsidP="00A91B80">
            <w:pPr>
              <w:spacing w:after="0" w:line="240" w:lineRule="auto"/>
              <w:jc w:val="center"/>
              <w:rPr>
                <w:rFonts w:ascii="Garamond" w:eastAsia="Garamond" w:hAnsi="Garamond" w:cs="Garamond"/>
                <w:color w:val="000000"/>
                <w:sz w:val="20"/>
                <w:szCs w:val="20"/>
              </w:rPr>
            </w:pPr>
            <w:r w:rsidRPr="00332F6D">
              <w:rPr>
                <w:rFonts w:ascii="Garamond" w:eastAsia="Garamond" w:hAnsi="Garamond" w:cs="Garamond"/>
                <w:color w:val="000000"/>
                <w:sz w:val="20"/>
                <w:szCs w:val="20"/>
              </w:rPr>
              <w:t>5</w:t>
            </w:r>
          </w:p>
        </w:tc>
        <w:tc>
          <w:tcPr>
            <w:tcW w:w="1560" w:type="dxa"/>
            <w:tcBorders>
              <w:top w:val="single" w:sz="4" w:space="0" w:color="000000"/>
              <w:left w:val="nil"/>
              <w:bottom w:val="single" w:sz="4" w:space="0" w:color="000000"/>
              <w:right w:val="nil"/>
            </w:tcBorders>
            <w:shd w:val="clear" w:color="auto" w:fill="auto"/>
          </w:tcPr>
          <w:p w14:paraId="6624A378" w14:textId="77777777" w:rsidR="007F1BA9" w:rsidRPr="00332F6D" w:rsidRDefault="007F1BA9" w:rsidP="00A91B80">
            <w:pPr>
              <w:spacing w:after="0" w:line="240" w:lineRule="auto"/>
              <w:rPr>
                <w:rFonts w:ascii="Garamond" w:eastAsia="Garamond" w:hAnsi="Garamond" w:cs="Garamond"/>
                <w:color w:val="000000"/>
                <w:sz w:val="20"/>
                <w:szCs w:val="20"/>
              </w:rPr>
            </w:pPr>
            <w:r w:rsidRPr="00332F6D">
              <w:rPr>
                <w:rFonts w:ascii="Garamond" w:eastAsia="Garamond" w:hAnsi="Garamond" w:cs="Garamond"/>
                <w:sz w:val="20"/>
                <w:szCs w:val="20"/>
              </w:rPr>
              <w:t>Development of Abilities During a Career (AD)</w:t>
            </w:r>
          </w:p>
        </w:tc>
        <w:tc>
          <w:tcPr>
            <w:tcW w:w="3118" w:type="dxa"/>
            <w:tcBorders>
              <w:top w:val="single" w:sz="4" w:space="0" w:color="000000"/>
              <w:left w:val="nil"/>
              <w:bottom w:val="single" w:sz="4" w:space="0" w:color="000000"/>
              <w:right w:val="nil"/>
            </w:tcBorders>
            <w:shd w:val="clear" w:color="auto" w:fill="auto"/>
          </w:tcPr>
          <w:p w14:paraId="26A0167A" w14:textId="77777777" w:rsidR="007F1BA9" w:rsidRPr="00332F6D" w:rsidRDefault="007F1BA9" w:rsidP="00A91B80">
            <w:pPr>
              <w:spacing w:after="0" w:line="240" w:lineRule="auto"/>
              <w:rPr>
                <w:rFonts w:ascii="Garamond" w:eastAsia="Garamond" w:hAnsi="Garamond" w:cs="Garamond"/>
                <w:color w:val="000000"/>
                <w:sz w:val="20"/>
                <w:szCs w:val="20"/>
              </w:rPr>
            </w:pPr>
            <w:r w:rsidRPr="00332F6D">
              <w:rPr>
                <w:rFonts w:ascii="Garamond" w:eastAsia="Garamond" w:hAnsi="Garamond" w:cs="Garamond"/>
                <w:color w:val="000000"/>
                <w:sz w:val="20"/>
                <w:szCs w:val="20"/>
              </w:rPr>
              <w:t>I am satisfied with the progress made in developing new skills in the job.</w:t>
            </w:r>
          </w:p>
        </w:tc>
        <w:tc>
          <w:tcPr>
            <w:tcW w:w="2268" w:type="dxa"/>
            <w:vMerge/>
            <w:tcBorders>
              <w:top w:val="single" w:sz="4" w:space="0" w:color="000000"/>
              <w:left w:val="nil"/>
              <w:right w:val="nil"/>
            </w:tcBorders>
          </w:tcPr>
          <w:p w14:paraId="668AFEAA" w14:textId="77777777" w:rsidR="007F1BA9" w:rsidRPr="00332F6D" w:rsidRDefault="007F1BA9" w:rsidP="00A91B80">
            <w:pPr>
              <w:widowControl w:val="0"/>
              <w:pBdr>
                <w:top w:val="nil"/>
                <w:left w:val="nil"/>
                <w:bottom w:val="nil"/>
                <w:right w:val="nil"/>
                <w:between w:val="nil"/>
              </w:pBdr>
              <w:spacing w:after="0"/>
              <w:rPr>
                <w:rFonts w:ascii="Garamond" w:eastAsia="Garamond" w:hAnsi="Garamond" w:cs="Garamond"/>
                <w:color w:val="000000"/>
                <w:sz w:val="20"/>
                <w:szCs w:val="20"/>
              </w:rPr>
            </w:pPr>
          </w:p>
        </w:tc>
        <w:tc>
          <w:tcPr>
            <w:tcW w:w="1276" w:type="dxa"/>
            <w:vMerge/>
            <w:tcBorders>
              <w:top w:val="single" w:sz="4" w:space="0" w:color="000000"/>
              <w:left w:val="nil"/>
              <w:right w:val="nil"/>
            </w:tcBorders>
          </w:tcPr>
          <w:p w14:paraId="7D58B05F" w14:textId="77777777" w:rsidR="007F1BA9" w:rsidRPr="00332F6D" w:rsidRDefault="007F1BA9" w:rsidP="00A91B80">
            <w:pPr>
              <w:widowControl w:val="0"/>
              <w:pBdr>
                <w:top w:val="nil"/>
                <w:left w:val="nil"/>
                <w:bottom w:val="nil"/>
                <w:right w:val="nil"/>
                <w:between w:val="nil"/>
              </w:pBdr>
              <w:spacing w:after="0"/>
              <w:rPr>
                <w:rFonts w:ascii="Garamond" w:eastAsia="Garamond" w:hAnsi="Garamond" w:cs="Garamond"/>
                <w:color w:val="000000"/>
                <w:sz w:val="20"/>
                <w:szCs w:val="20"/>
              </w:rPr>
            </w:pPr>
          </w:p>
        </w:tc>
      </w:tr>
      <w:tr w:rsidR="007F1BA9" w:rsidRPr="00332F6D" w14:paraId="7A84DC64" w14:textId="77777777" w:rsidTr="00A91B80">
        <w:trPr>
          <w:trHeight w:val="499"/>
        </w:trPr>
        <w:tc>
          <w:tcPr>
            <w:tcW w:w="567" w:type="dxa"/>
            <w:tcBorders>
              <w:top w:val="single" w:sz="4" w:space="0" w:color="000000"/>
              <w:left w:val="nil"/>
              <w:bottom w:val="single" w:sz="4" w:space="0" w:color="000000"/>
              <w:right w:val="nil"/>
            </w:tcBorders>
            <w:shd w:val="clear" w:color="auto" w:fill="auto"/>
          </w:tcPr>
          <w:p w14:paraId="338FD9EA" w14:textId="77777777" w:rsidR="007F1BA9" w:rsidRPr="00332F6D" w:rsidRDefault="007F1BA9" w:rsidP="00A91B80">
            <w:pPr>
              <w:spacing w:after="0" w:line="240" w:lineRule="auto"/>
              <w:jc w:val="center"/>
              <w:rPr>
                <w:rFonts w:ascii="Garamond" w:eastAsia="Garamond" w:hAnsi="Garamond" w:cs="Garamond"/>
                <w:color w:val="000000"/>
                <w:sz w:val="20"/>
                <w:szCs w:val="20"/>
              </w:rPr>
            </w:pPr>
            <w:r w:rsidRPr="00332F6D">
              <w:rPr>
                <w:rFonts w:ascii="Garamond" w:eastAsia="Garamond" w:hAnsi="Garamond" w:cs="Garamond"/>
                <w:color w:val="000000"/>
                <w:sz w:val="20"/>
                <w:szCs w:val="20"/>
              </w:rPr>
              <w:t>6</w:t>
            </w:r>
          </w:p>
        </w:tc>
        <w:tc>
          <w:tcPr>
            <w:tcW w:w="1560" w:type="dxa"/>
            <w:tcBorders>
              <w:top w:val="single" w:sz="4" w:space="0" w:color="000000"/>
              <w:left w:val="nil"/>
              <w:bottom w:val="single" w:sz="4" w:space="0" w:color="000000"/>
              <w:right w:val="nil"/>
            </w:tcBorders>
            <w:shd w:val="clear" w:color="auto" w:fill="auto"/>
          </w:tcPr>
          <w:p w14:paraId="30A7C0F9" w14:textId="77777777" w:rsidR="007F1BA9" w:rsidRPr="00332F6D" w:rsidRDefault="007F1BA9" w:rsidP="00A91B80">
            <w:pPr>
              <w:spacing w:after="0" w:line="240" w:lineRule="auto"/>
              <w:rPr>
                <w:rFonts w:ascii="Garamond" w:eastAsia="Garamond" w:hAnsi="Garamond" w:cs="Garamond"/>
                <w:color w:val="000000"/>
                <w:sz w:val="20"/>
                <w:szCs w:val="20"/>
              </w:rPr>
            </w:pPr>
            <w:r w:rsidRPr="00332F6D">
              <w:rPr>
                <w:rFonts w:ascii="Garamond" w:eastAsia="Garamond" w:hAnsi="Garamond" w:cs="Garamond"/>
                <w:sz w:val="20"/>
                <w:szCs w:val="20"/>
              </w:rPr>
              <w:t>Gratitude (G)</w:t>
            </w:r>
          </w:p>
        </w:tc>
        <w:tc>
          <w:tcPr>
            <w:tcW w:w="3118" w:type="dxa"/>
            <w:tcBorders>
              <w:top w:val="single" w:sz="4" w:space="0" w:color="000000"/>
              <w:left w:val="nil"/>
              <w:bottom w:val="single" w:sz="4" w:space="0" w:color="000000"/>
              <w:right w:val="nil"/>
            </w:tcBorders>
            <w:shd w:val="clear" w:color="auto" w:fill="auto"/>
          </w:tcPr>
          <w:p w14:paraId="2EA2D791" w14:textId="77777777" w:rsidR="007F1BA9" w:rsidRPr="00332F6D" w:rsidRDefault="007F1BA9" w:rsidP="00A91B80">
            <w:pPr>
              <w:spacing w:after="0" w:line="240" w:lineRule="auto"/>
              <w:rPr>
                <w:rFonts w:ascii="Garamond" w:eastAsia="Garamond" w:hAnsi="Garamond" w:cs="Garamond"/>
                <w:color w:val="000000"/>
                <w:sz w:val="20"/>
                <w:szCs w:val="20"/>
              </w:rPr>
            </w:pPr>
            <w:r w:rsidRPr="00332F6D">
              <w:rPr>
                <w:rFonts w:ascii="Garamond" w:eastAsia="Garamond" w:hAnsi="Garamond" w:cs="Garamond"/>
                <w:color w:val="000000"/>
                <w:sz w:val="20"/>
                <w:szCs w:val="20"/>
              </w:rPr>
              <w:t>I am grateful for the blessings that Almighty God has bestowed on life</w:t>
            </w:r>
            <w:r>
              <w:rPr>
                <w:rFonts w:ascii="Garamond" w:eastAsia="Garamond" w:hAnsi="Garamond" w:cs="Garamond"/>
                <w:color w:val="000000"/>
                <w:sz w:val="20"/>
                <w:szCs w:val="20"/>
              </w:rPr>
              <w:t>.</w:t>
            </w:r>
          </w:p>
        </w:tc>
        <w:tc>
          <w:tcPr>
            <w:tcW w:w="2268" w:type="dxa"/>
            <w:vMerge/>
            <w:tcBorders>
              <w:top w:val="single" w:sz="4" w:space="0" w:color="000000"/>
              <w:left w:val="nil"/>
              <w:right w:val="nil"/>
            </w:tcBorders>
          </w:tcPr>
          <w:p w14:paraId="3834979D" w14:textId="77777777" w:rsidR="007F1BA9" w:rsidRPr="00332F6D" w:rsidRDefault="007F1BA9" w:rsidP="00A91B80">
            <w:pPr>
              <w:widowControl w:val="0"/>
              <w:pBdr>
                <w:top w:val="nil"/>
                <w:left w:val="nil"/>
                <w:bottom w:val="nil"/>
                <w:right w:val="nil"/>
                <w:between w:val="nil"/>
              </w:pBdr>
              <w:spacing w:after="0"/>
              <w:rPr>
                <w:rFonts w:ascii="Garamond" w:eastAsia="Garamond" w:hAnsi="Garamond" w:cs="Garamond"/>
                <w:color w:val="000000"/>
                <w:sz w:val="20"/>
                <w:szCs w:val="20"/>
              </w:rPr>
            </w:pPr>
          </w:p>
        </w:tc>
        <w:tc>
          <w:tcPr>
            <w:tcW w:w="1276" w:type="dxa"/>
            <w:vMerge/>
            <w:tcBorders>
              <w:top w:val="single" w:sz="4" w:space="0" w:color="000000"/>
              <w:left w:val="nil"/>
              <w:right w:val="nil"/>
            </w:tcBorders>
          </w:tcPr>
          <w:p w14:paraId="54A935E1" w14:textId="77777777" w:rsidR="007F1BA9" w:rsidRPr="00332F6D" w:rsidRDefault="007F1BA9" w:rsidP="00A91B80">
            <w:pPr>
              <w:widowControl w:val="0"/>
              <w:pBdr>
                <w:top w:val="nil"/>
                <w:left w:val="nil"/>
                <w:bottom w:val="nil"/>
                <w:right w:val="nil"/>
                <w:between w:val="nil"/>
              </w:pBdr>
              <w:spacing w:after="0"/>
              <w:rPr>
                <w:rFonts w:ascii="Garamond" w:eastAsia="Garamond" w:hAnsi="Garamond" w:cs="Garamond"/>
                <w:color w:val="000000"/>
                <w:sz w:val="20"/>
                <w:szCs w:val="20"/>
              </w:rPr>
            </w:pPr>
          </w:p>
        </w:tc>
      </w:tr>
    </w:tbl>
    <w:p w14:paraId="5607D87F" w14:textId="77777777" w:rsidR="007F1BA9" w:rsidRPr="00C111E5" w:rsidRDefault="007F1BA9" w:rsidP="007C0FE7">
      <w:pPr>
        <w:pStyle w:val="Alishlah21heading1"/>
        <w:numPr>
          <w:ilvl w:val="0"/>
          <w:numId w:val="0"/>
        </w:numPr>
        <w:rPr>
          <w:rFonts w:eastAsia="Garamond"/>
        </w:rPr>
      </w:pPr>
    </w:p>
    <w:p w14:paraId="060956D5" w14:textId="4D34CC67" w:rsidR="007F1BA9" w:rsidRPr="007C0FE7" w:rsidRDefault="007F1BA9" w:rsidP="007C0FE7">
      <w:pPr>
        <w:pStyle w:val="Alishlah21heading1"/>
        <w:numPr>
          <w:ilvl w:val="0"/>
          <w:numId w:val="0"/>
        </w:numPr>
        <w:ind w:firstLine="567"/>
        <w:jc w:val="both"/>
        <w:rPr>
          <w:rFonts w:eastAsia="Garamond"/>
          <w:b w:val="0"/>
          <w:bCs/>
        </w:rPr>
      </w:pPr>
      <w:r w:rsidRPr="007C0FE7">
        <w:rPr>
          <w:rFonts w:eastAsia="Garamond"/>
          <w:b w:val="0"/>
          <w:bCs/>
        </w:rPr>
        <w:t xml:space="preserve">The construct validity test of this research uses the reflective constructs validity that are confirmatory in nature to show how well the results obtained from the use of measuring instruments with a theoretical reference are used to define the construct of Career Satisfaction. There are 2 validity tests in construct validity, i.e.: a) Convergent validity, measuring the magnitude of the correlation between item scores and construct scores, is assessed based on loading factors. According to Hair et al </w:t>
      </w:r>
      <w:r w:rsidRPr="007C0FE7">
        <w:rPr>
          <w:rFonts w:eastAsia="Garamond"/>
          <w:b w:val="0"/>
          <w:bCs/>
        </w:rPr>
        <w:fldChar w:fldCharType="begin" w:fldLock="1"/>
      </w:r>
      <w:r w:rsidRPr="007C0FE7">
        <w:rPr>
          <w:rFonts w:eastAsia="Garamond"/>
          <w:b w:val="0"/>
          <w:bCs/>
        </w:rPr>
        <w:instrText>ADDIN CSL_CITATION {"citationItems":[{"id":"ITEM-1","itemData":{"ISBN":"9781483377445","abstract":"Second edition. With applications using SmartPLS (www.smartpls.com) - the primary software used in partial least squares structural equation modeling (PLS-SEM) - this practical guide provides concise instructions on how to use this evolving statistical technique to conduct research and obtain solutions. Featuring the latest research, new examples, and expanded discussions throughout, the Second Edition is designed to be easily understood by those with limited statistical and mathematical training who want to pursue research opportunities in new ways -- page 4 of cover. An introduction to structural equation modeling -- Specifying the path model and examining data -- Path model estimation -- Assessing PLS-SEM results part I: evaluation of reflective measurement models -- Assessing PLS-SEM results part II: evaluation of the formative measurement models -- Assessing PLS-SEM results part III: evaluation of the structural model -- Mediator and moderator analysis -- Outlook on advanced methods.","author":[{"dropping-particle":"","family":"Hair","given":"Jr. 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edition":"2nd","id":"ITEM-1","issued":{"date-parts":[["2017"]]},"number-of-pages":"1-374","publisher":"Sagepub","title":"A Primer on Partial Least Squares Structural Equation Modeling (PLS-SEM)","type":"book"},"suppress-author":1,"uris":["http://www.mendeley.com/documents/?uuid=2aff91e9-772c-37f7-b549-b626fe886ac7"]}],"mendeley":{"formattedCitation":"(2017)","plainTextFormattedCitation":"(2017)","previouslyFormattedCitation":"(2017)"},"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(2017)</w:t>
      </w:r>
      <w:r w:rsidRPr="007C0FE7">
        <w:rPr>
          <w:rFonts w:eastAsia="Garamond"/>
          <w:b w:val="0"/>
          <w:bCs/>
        </w:rPr>
        <w:fldChar w:fldCharType="end"/>
      </w:r>
      <w:r w:rsidRPr="007C0FE7">
        <w:rPr>
          <w:rFonts w:eastAsia="Garamond"/>
          <w:b w:val="0"/>
          <w:bCs/>
        </w:rPr>
        <w:t xml:space="preserve"> the higher the loading factor score, the more important the role of loading in interpreting the factor matrix. With a minimum limit of loading factor values </w:t>
      </w:r>
      <w:r w:rsidRPr="007C0FE7">
        <w:rPr>
          <w:rFonts w:ascii="Times New Roman" w:hAnsi="Times New Roman"/>
          <w:b w:val="0"/>
          <w:bCs/>
        </w:rPr>
        <w:t>​​</w:t>
      </w:r>
      <w:r w:rsidRPr="007C0FE7">
        <w:rPr>
          <w:rFonts w:eastAsia="Garamond"/>
          <w:b w:val="0"/>
          <w:bCs/>
        </w:rPr>
        <w:t>considered significant &gt; 0.5, the average variance extracted (AVE) value &gt; 0.5. b) Discriminant validity, measured by comparing the AVE root of a construct must be higher than the correlation between latent variables.</w:t>
      </w:r>
    </w:p>
    <w:p w14:paraId="2F54E2ED" w14:textId="77777777" w:rsidR="007F1BA9" w:rsidRPr="007C0FE7" w:rsidRDefault="007F1BA9" w:rsidP="007C0FE7">
      <w:pPr>
        <w:pStyle w:val="Alishlah21heading1"/>
        <w:numPr>
          <w:ilvl w:val="0"/>
          <w:numId w:val="0"/>
        </w:numPr>
        <w:ind w:firstLine="567"/>
        <w:jc w:val="both"/>
        <w:rPr>
          <w:rFonts w:eastAsia="Garamond"/>
          <w:b w:val="0"/>
          <w:bCs/>
        </w:rPr>
      </w:pPr>
      <w:r w:rsidRPr="007C0FE7">
        <w:rPr>
          <w:rFonts w:eastAsia="Garamond"/>
          <w:b w:val="0"/>
          <w:bCs/>
        </w:rPr>
        <w:t xml:space="preserve">Reliability testing is carried out to show the internal consistency of the measuring instrument by looking at the composite reliability and Cronbach's alpha values. The greater the value, the better the consistency value of each item in measuring the latent variable. According to Hair et al </w:t>
      </w:r>
      <w:r w:rsidRPr="007C0FE7">
        <w:rPr>
          <w:rFonts w:eastAsia="Garamond"/>
          <w:b w:val="0"/>
          <w:bCs/>
        </w:rPr>
        <w:fldChar w:fldCharType="begin" w:fldLock="1"/>
      </w:r>
      <w:r w:rsidRPr="007C0FE7">
        <w:rPr>
          <w:rFonts w:eastAsia="Garamond"/>
          <w:b w:val="0"/>
          <w:bCs/>
        </w:rPr>
        <w:instrText>ADDIN CSL_CITATION {"citationItems":[{"id":"ITEM-1","itemData":{"ISBN":"9781483377445","abstract":"Second edition. With applications using SmartPLS (www.smartpls.com) - the primary software used in partial least squares structural equation modeling (PLS-SEM) - this practical guide provides concise instructions on how to use this evolving statistical technique to conduct research and obtain solutions. Featuring the latest research, new examples, and expanded discussions throughout, the Second Edition is designed to be easily understood by those with limited statistical and mathematical training who want to pursue research opportunities in new ways -- page 4 of cover. An introduction to structural equation modeling -- Specifying the path model and examining data -- Path model estimation -- Assessing PLS-SEM results part I: evaluation of reflective measurement models -- Assessing PLS-SEM results part II: evaluation of the formative measurement models -- Assessing PLS-SEM results part III: evaluation of the structural model -- Mediator and moderator analysis -- Outlook on advanced methods.","author":[{"dropping-particle":"","family":"Hair","given":"Jr. 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edition":"2nd","id":"ITEM-1","issued":{"date-parts":[["2017"]]},"number-of-pages":"1-374","publisher":"Sagepub","title":"A Primer on Partial Least Squares Structural Equation Modeling (PLS-SEM)","type":"book"},"suppress-author":1,"uris":["http://www.mendeley.com/documents/?uuid=2aff91e9-772c-37f7-b549-b626fe886ac7"]}],"mendeley":{"formattedCitation":"(2017)","plainTextFormattedCitation":"(2017)","previouslyFormattedCitation":"(2017)"},"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(2017)</w:t>
      </w:r>
      <w:r w:rsidRPr="007C0FE7">
        <w:rPr>
          <w:rFonts w:eastAsia="Garamond"/>
          <w:b w:val="0"/>
          <w:bCs/>
        </w:rPr>
        <w:fldChar w:fldCharType="end"/>
      </w:r>
      <w:r w:rsidRPr="007C0FE7">
        <w:rPr>
          <w:rFonts w:eastAsia="Garamond"/>
          <w:b w:val="0"/>
          <w:bCs/>
        </w:rPr>
        <w:t xml:space="preserve"> the expected composite reliability and Cronbach's alpha values </w:t>
      </w:r>
      <w:r w:rsidRPr="007C0FE7">
        <w:rPr>
          <w:rFonts w:ascii="Times New Roman" w:hAnsi="Times New Roman"/>
          <w:b w:val="0"/>
          <w:bCs/>
        </w:rPr>
        <w:t>​​</w:t>
      </w:r>
      <w:r w:rsidRPr="007C0FE7">
        <w:rPr>
          <w:rFonts w:eastAsia="Garamond"/>
          <w:b w:val="0"/>
          <w:bCs/>
        </w:rPr>
        <w:t xml:space="preserve">&gt; 0.7 and a value of 0.6 are still acceptable. Cooper </w:t>
      </w:r>
      <w:r w:rsidRPr="007C0FE7">
        <w:rPr>
          <w:rFonts w:eastAsia="Garamond"/>
          <w:b w:val="0"/>
          <w:bCs/>
        </w:rPr>
        <w:fldChar w:fldCharType="begin" w:fldLock="1"/>
      </w:r>
      <w:r w:rsidRPr="007C0FE7">
        <w:rPr>
          <w:rFonts w:eastAsia="Garamond"/>
          <w:b w:val="0"/>
          <w:bCs/>
        </w:rPr>
        <w:instrText>ADDIN CSL_CITATION {"citationItems":[{"id":"ITEM-1","itemData":{"ISBN":"9781483377445","abstract":"Second edition. With applications using SmartPLS (www.smartpls.com) - the primary software used in partial least squares structural equation modeling (PLS-SEM) - this practical guide provides concise instructions on how to use this evolving statistical technique to conduct research and obtain solutions. Featuring the latest research, new examples, and expanded discussions throughout, the Second Edition is designed to be easily understood by those with limited statistical and mathematical training who want to pursue research opportunities in new ways -- page 4 of cover. An introduction to structural equation modeling -- Specifying the path model and examining data -- Path model estimation -- Assessing PLS-SEM results part I: evaluation of reflective measurement models -- Assessing PLS-SEM results part II: evaluation of the formative measurement models -- Assessing PLS-SEM results part III: evaluation of the structural model -- Mediator and moderator analysis -- Outlook on advanced methods.","author":[{"dropping-particle":"","family":"Hair","given":"Jr. 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edition":"2nd","id":"ITEM-1","issued":{"date-parts":[["2017"]]},"number-of-pages":"1-374","publisher":"Sagepub","title":"A Primer on Partial Least Squares Structural Equation Modeling (PLS-SEM)","type":"book"},"uris":["http://www.mendeley.com/documents/?uuid=2aff91e9-772c-37f7-b549-b626fe886ac7"]}],"mendeley":{"formattedCitation":"(Hair et al., 2017)","plainTextFormattedCitation":"(Hair et al., 2017)","previouslyFormattedCitation":"(Hair et al., 2017)"},"properties":{"noteIndex":0},"schema":"https://github.com/citation-style-language/schema/raw/master/csl-citation.json"}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(Hair et al., 2017)</w:t>
      </w:r>
      <w:r w:rsidRPr="007C0FE7">
        <w:rPr>
          <w:rFonts w:eastAsia="Garamond"/>
          <w:b w:val="0"/>
          <w:bCs/>
        </w:rPr>
        <w:fldChar w:fldCharType="end"/>
      </w:r>
      <w:r w:rsidRPr="007C0FE7">
        <w:rPr>
          <w:rFonts w:eastAsia="Garamond"/>
          <w:b w:val="0"/>
          <w:bCs/>
        </w:rPr>
        <w:t xml:space="preserve"> explains that the internal consistency test has also been met if the validity of the extract has met the criteria so that the average variance extracted (AVE) value has described internal consistency, because the construct is valid, the construct is reliable but conversely a reliable construct is not necessarily a valid construct. The data in this research were analyzed using </w:t>
      </w:r>
      <w:proofErr w:type="spellStart"/>
      <w:r w:rsidRPr="007C0FE7">
        <w:rPr>
          <w:rFonts w:eastAsia="Garamond"/>
          <w:b w:val="0"/>
          <w:bCs/>
        </w:rPr>
        <w:t>SmartPLS</w:t>
      </w:r>
      <w:proofErr w:type="spellEnd"/>
      <w:r w:rsidRPr="007C0FE7">
        <w:rPr>
          <w:rFonts w:eastAsia="Garamond"/>
          <w:b w:val="0"/>
          <w:bCs/>
        </w:rPr>
        <w:t xml:space="preserve"> 4.1.0.3, utilizing reflective constructs through the first Order CFA. </w:t>
      </w:r>
    </w:p>
    <w:p w14:paraId="43FD2770" w14:textId="77777777" w:rsidR="007F1BA9" w:rsidRPr="00723B12" w:rsidRDefault="007F1BA9" w:rsidP="007F1BA9">
      <w:pPr>
        <w:pStyle w:val="Alishlah21heading1"/>
        <w:numPr>
          <w:ilvl w:val="0"/>
          <w:numId w:val="0"/>
        </w:numPr>
        <w:ind w:left="426"/>
        <w:rPr>
          <w:rFonts w:eastAsia="Arial"/>
        </w:rPr>
      </w:pPr>
    </w:p>
    <w:p w14:paraId="36E038A3" w14:textId="77777777" w:rsidR="005B5AEC" w:rsidRDefault="005B5AEC" w:rsidP="005B5AEC">
      <w:pPr>
        <w:pStyle w:val="Alishlah21heading1"/>
        <w:rPr>
          <w:rFonts w:eastAsia="Arial"/>
        </w:rPr>
      </w:pPr>
      <w:r>
        <w:rPr>
          <w:rFonts w:eastAsia="Arial"/>
        </w:rPr>
        <w:t xml:space="preserve">FINDINGS </w:t>
      </w:r>
      <w:r w:rsidRPr="00723B12">
        <w:rPr>
          <w:rFonts w:eastAsia="Arial"/>
        </w:rPr>
        <w:t>AND DISCUSSION</w:t>
      </w:r>
    </w:p>
    <w:p w14:paraId="36DEEF3C" w14:textId="77777777" w:rsidR="007C0FE7" w:rsidRPr="00A120B2" w:rsidRDefault="007C0FE7" w:rsidP="00A120B2">
      <w:pPr>
        <w:pStyle w:val="Alishlah21heading1"/>
        <w:numPr>
          <w:ilvl w:val="0"/>
          <w:numId w:val="0"/>
        </w:numPr>
        <w:ind w:firstLine="567"/>
        <w:jc w:val="both"/>
        <w:rPr>
          <w:rFonts w:eastAsia="Garamond"/>
          <w:b w:val="0"/>
          <w:bCs/>
        </w:rPr>
      </w:pPr>
      <w:r w:rsidRPr="00A120B2">
        <w:rPr>
          <w:rFonts w:eastAsia="Garamond"/>
          <w:b w:val="0"/>
          <w:bCs/>
        </w:rPr>
        <w:lastRenderedPageBreak/>
        <w:t xml:space="preserve">Testing the measurement model through CFA, especially when tested through several software such as </w:t>
      </w:r>
      <w:proofErr w:type="spellStart"/>
      <w:r w:rsidRPr="00A120B2">
        <w:rPr>
          <w:rFonts w:eastAsia="Garamond"/>
          <w:b w:val="0"/>
          <w:bCs/>
        </w:rPr>
        <w:t>SmartPLS</w:t>
      </w:r>
      <w:proofErr w:type="spellEnd"/>
      <w:r w:rsidRPr="00A120B2">
        <w:rPr>
          <w:rFonts w:eastAsia="Garamond"/>
          <w:b w:val="0"/>
          <w:bCs/>
        </w:rPr>
        <w:t xml:space="preserve">, requires a large number of samples </w:t>
      </w:r>
      <w:r w:rsidRPr="00A120B2">
        <w:rPr>
          <w:rFonts w:eastAsia="Garamond"/>
          <w:b w:val="0"/>
          <w:bCs/>
        </w:rPr>
        <w:fldChar w:fldCharType="begin" w:fldLock="1"/>
      </w:r>
      <w:r w:rsidRPr="00A120B2">
        <w:rPr>
          <w:rFonts w:eastAsia="Garamond"/>
          <w:b w:val="0"/>
          <w:bCs/>
        </w:rPr>
        <w:instrText>ADDIN CSL_CITATION {"citationItems":[{"id":"ITEM-1","itemData":{"ISBN":"9786026802408","abstract":"Buku ini dibuat untuk membantu para mahasiswa untuk bisa mandiri dalam mengerjakan olah data skripsi dan tesis dengan program SPSS. Isi materi pada buku ini mengarah kepada analisis dan pengujian yang sering digunakan dalam penelitian dan juga tercantum langkah-langkah yang disusun dengan teratur dan mudah dipahami, berbasis aplikasi SPSS.","author":[{"dropping-particle":"","family":"Muhson","given":"Ali","non-dropping-particle":"","parse-names":false,"suffix":""}],"container-title":"Universitas Negeri Yogyakarta","id":"ITEM-1","issued":{"date-parts":[["2022"]]},"page":"1-34","publisher-place":"Yogyakarta","title":"Analisis Statistik Dengan SmartPLS: Path Analysis. Confirmatory Factor Analysis % Stuctural Equation Modeling","type":"article"},"uris":["http://www.mendeley.com/documents/?uuid=c60be6ad-0357-4974-a634-3819dce629e0"]}],"mendeley":{"formattedCitation":"(Muhson, 2022)","plainTextFormattedCitation":"(Muhson, 2022)","previouslyFormattedCitation":"(Muhson, 2022)"},"properties":{"noteIndex":0},"schema":"https://github.com/citation-style-language/schema/raw/master/csl-citation.json"}</w:instrText>
      </w:r>
      <w:r w:rsidRPr="00A120B2">
        <w:rPr>
          <w:rFonts w:eastAsia="Garamond"/>
          <w:b w:val="0"/>
          <w:bCs/>
        </w:rPr>
        <w:fldChar w:fldCharType="separate"/>
      </w:r>
      <w:r w:rsidRPr="00A120B2">
        <w:rPr>
          <w:rFonts w:eastAsia="Garamond"/>
          <w:b w:val="0"/>
          <w:bCs/>
          <w:noProof/>
        </w:rPr>
        <w:t>(Muhson, 2022)</w:t>
      </w:r>
      <w:r w:rsidRPr="00A120B2">
        <w:rPr>
          <w:rFonts w:eastAsia="Garamond"/>
          <w:b w:val="0"/>
          <w:bCs/>
        </w:rPr>
        <w:fldChar w:fldCharType="end"/>
      </w:r>
      <w:r w:rsidRPr="00A120B2">
        <w:rPr>
          <w:rFonts w:eastAsia="Garamond"/>
          <w:b w:val="0"/>
          <w:bCs/>
        </w:rPr>
        <w:t xml:space="preserve">. If the sample is small, it will be difficult to get the Root Mean Square Error of Approximation (RMSEA) value &lt; 0.1. To ensure that this confirmatory factor analysis can be carried out based on the adequacy of the sample size, the researcher conducted the Kaiser–Meyer–Olkin (KMO) Test. KMO is a statistical measure to determine how suitable the data is for factor analysis. This test measures the adequacy of the sample for each variable in the model and the complete model. This statistic is a measure of the proportion of variance among variables that may be common variance. The higher the proportion, the higher the KMO value, the more suitable the data is for factor analysis. </w:t>
      </w:r>
      <w:r w:rsidRPr="00A120B2">
        <w:rPr>
          <w:rFonts w:eastAsia="Garamond"/>
          <w:b w:val="0"/>
          <w:bCs/>
        </w:rPr>
        <w:fldChar w:fldCharType="begin" w:fldLock="1"/>
      </w:r>
      <w:r w:rsidRPr="00A120B2">
        <w:rPr>
          <w:rFonts w:eastAsia="Garamond"/>
          <w:b w:val="0"/>
          <w:bCs/>
        </w:rPr>
        <w:instrText>ADDIN CSL_CITATION {"citationItems":[{"id":"ITEM-1","itemData":{"URL":"https://www.ibm.com/docs/en/spss-statistics/28.0.0?topic=detection-kmo-bartletts-test","accessed":{"date-parts":[["2024","8","9"]]},"author":[{"dropping-particle":"","family":"IBM","given":"","non-dropping-particle":"","parse-names":false,"suffix":""}],"id":"ITEM-1","issued":{"date-parts":[["2021"]]},"page":"1-2","title":"KMO and Bartlett's Test","type":"webpage"},"uris":["http://www.mendeley.com/documents/?uuid=583a9423-4b7c-4103-9df9-46fff9862de5"]}],"mendeley":{"formattedCitation":"(IBM, 2021)","plainTextFormattedCitation":"(IBM, 2021)","previouslyFormattedCitation":"(IBM, 2021)"},"properties":{"noteIndex":0},"schema":"https://github.com/citation-style-language/schema/raw/master/csl-citation.json"}</w:instrText>
      </w:r>
      <w:r w:rsidRPr="00A120B2">
        <w:rPr>
          <w:rFonts w:eastAsia="Garamond"/>
          <w:b w:val="0"/>
          <w:bCs/>
        </w:rPr>
        <w:fldChar w:fldCharType="separate"/>
      </w:r>
      <w:r w:rsidRPr="00A120B2">
        <w:rPr>
          <w:rFonts w:eastAsia="Garamond"/>
          <w:b w:val="0"/>
          <w:bCs/>
          <w:noProof/>
        </w:rPr>
        <w:t>(IBM, 2021)</w:t>
      </w:r>
      <w:r w:rsidRPr="00A120B2">
        <w:rPr>
          <w:rFonts w:eastAsia="Garamond"/>
          <w:b w:val="0"/>
          <w:bCs/>
        </w:rPr>
        <w:fldChar w:fldCharType="end"/>
      </w:r>
      <w:r w:rsidRPr="00A120B2">
        <w:rPr>
          <w:rFonts w:eastAsia="Garamond"/>
          <w:b w:val="0"/>
          <w:bCs/>
        </w:rPr>
        <w:t>. Researchers used SPSS 26 to look at KMO and Bartlett's Test.</w:t>
      </w:r>
    </w:p>
    <w:p w14:paraId="218CA2D8" w14:textId="77777777" w:rsidR="007C0FE7" w:rsidRPr="00C111E5" w:rsidRDefault="007C0FE7" w:rsidP="007C0FE7">
      <w:pPr>
        <w:pStyle w:val="Alishlah21heading1"/>
        <w:numPr>
          <w:ilvl w:val="0"/>
          <w:numId w:val="0"/>
        </w:numPr>
        <w:ind w:left="426" w:hanging="426"/>
        <w:jc w:val="center"/>
        <w:rPr>
          <w:rFonts w:eastAsia="Garamond"/>
        </w:rPr>
      </w:pPr>
      <w:r w:rsidRPr="00C111E5">
        <w:rPr>
          <w:rFonts w:eastAsia="Garamond"/>
          <w:noProof/>
        </w:rPr>
        <w:drawing>
          <wp:inline distT="0" distB="0" distL="0" distR="0" wp14:anchorId="1280F955" wp14:editId="064BA1B0">
            <wp:extent cx="2820112" cy="666572"/>
            <wp:effectExtent l="0" t="0" r="0" b="0"/>
            <wp:docPr id="1803665807" name="image5.png" descr="A close-up of a computer screen&#10;&#10;Description automatically generated"/>
            <wp:cNvGraphicFramePr/>
            <a:graphic xmlns:a="http://schemas.openxmlformats.org/drawingml/2006/main">
              <a:graphicData uri="http://schemas.openxmlformats.org/drawingml/2006/picture">
                <pic:pic xmlns:pic="http://schemas.openxmlformats.org/drawingml/2006/picture">
                  <pic:nvPicPr>
                    <pic:cNvPr id="1803665807" name="image5.png" descr="A close-up of a computer screen&#10;&#10;Description automatically generated"/>
                    <pic:cNvPicPr preferRelativeResize="0"/>
                  </pic:nvPicPr>
                  <pic:blipFill>
                    <a:blip r:embed="rId10"/>
                    <a:srcRect t="19775" b="7711"/>
                    <a:stretch>
                      <a:fillRect/>
                    </a:stretch>
                  </pic:blipFill>
                  <pic:spPr>
                    <a:xfrm>
                      <a:off x="0" y="0"/>
                      <a:ext cx="2891191" cy="683373"/>
                    </a:xfrm>
                    <a:prstGeom prst="rect">
                      <a:avLst/>
                    </a:prstGeom>
                    <a:ln/>
                  </pic:spPr>
                </pic:pic>
              </a:graphicData>
            </a:graphic>
          </wp:inline>
        </w:drawing>
      </w:r>
    </w:p>
    <w:p w14:paraId="2B500E57" w14:textId="77777777" w:rsidR="007C0FE7" w:rsidRPr="00C111E5" w:rsidRDefault="007C0FE7" w:rsidP="007C0FE7">
      <w:pPr>
        <w:pStyle w:val="Alishlah21heading1"/>
        <w:numPr>
          <w:ilvl w:val="0"/>
          <w:numId w:val="0"/>
        </w:numPr>
        <w:ind w:left="426" w:hanging="426"/>
        <w:jc w:val="center"/>
        <w:rPr>
          <w:rFonts w:eastAsia="Garamond"/>
        </w:rPr>
      </w:pPr>
      <w:bookmarkStart w:id="2" w:name="_heading=h.3znysh7" w:colFirst="0" w:colLast="0"/>
      <w:bookmarkEnd w:id="2"/>
      <w:r w:rsidRPr="00C111E5">
        <w:rPr>
          <w:rFonts w:eastAsia="Garamond"/>
        </w:rPr>
        <w:t>Figure 1. KMO and Bartlett's Test</w:t>
      </w:r>
    </w:p>
    <w:p w14:paraId="3942D93A" w14:textId="77777777" w:rsidR="007C0FE7" w:rsidRPr="00A120B2" w:rsidRDefault="007C0FE7" w:rsidP="00A120B2">
      <w:pPr>
        <w:pStyle w:val="Alishlah21heading1"/>
        <w:numPr>
          <w:ilvl w:val="0"/>
          <w:numId w:val="0"/>
        </w:numPr>
        <w:jc w:val="both"/>
        <w:rPr>
          <w:rFonts w:eastAsia="Garamond"/>
          <w:b w:val="0"/>
          <w:bCs/>
        </w:rPr>
      </w:pPr>
      <w:r w:rsidRPr="00A120B2">
        <w:rPr>
          <w:rFonts w:eastAsia="Garamond"/>
          <w:b w:val="0"/>
          <w:bCs/>
        </w:rPr>
        <w:t>Based on Figure 1, it is known that the KMO value of 0.892 with a significance of &lt;0.05 indicates that as many as 121 samples involved in the study from a total of 165 populations have met the analysis adequacy for CFA. Based on the results of the outer model test analysis conducted in this study using the Smart PLS 4.1.0.3 program, a model was obtained as shown in the following figure:</w:t>
      </w:r>
    </w:p>
    <w:p w14:paraId="549453B2" w14:textId="77777777" w:rsidR="007C0FE7" w:rsidRPr="00C111E5" w:rsidRDefault="007C0FE7" w:rsidP="007C0FE7">
      <w:pPr>
        <w:pStyle w:val="Alishlah21heading1"/>
        <w:numPr>
          <w:ilvl w:val="0"/>
          <w:numId w:val="0"/>
        </w:numPr>
        <w:jc w:val="center"/>
        <w:rPr>
          <w:rFonts w:eastAsia="Garamond"/>
        </w:rPr>
      </w:pPr>
      <w:r w:rsidRPr="00C111E5">
        <w:rPr>
          <w:rFonts w:eastAsia="Garamond"/>
          <w:noProof/>
        </w:rPr>
        <w:drawing>
          <wp:inline distT="0" distB="0" distL="0" distR="0" wp14:anchorId="3F643BDC" wp14:editId="1E868BEB">
            <wp:extent cx="3240000" cy="1648800"/>
            <wp:effectExtent l="0" t="0" r="0" b="2540"/>
            <wp:docPr id="1803665808" name="image2.png" descr="A diagram of a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803665808" name="image2.png" descr="A diagram of a diagram&#10;&#10;Description automatically generated"/>
                    <pic:cNvPicPr preferRelativeResize="0"/>
                  </pic:nvPicPr>
                  <pic:blipFill>
                    <a:blip r:embed="rId11"/>
                    <a:srcRect/>
                    <a:stretch>
                      <a:fillRect/>
                    </a:stretch>
                  </pic:blipFill>
                  <pic:spPr>
                    <a:xfrm>
                      <a:off x="0" y="0"/>
                      <a:ext cx="3286511" cy="1672469"/>
                    </a:xfrm>
                    <a:prstGeom prst="rect">
                      <a:avLst/>
                    </a:prstGeom>
                    <a:ln/>
                  </pic:spPr>
                </pic:pic>
              </a:graphicData>
            </a:graphic>
          </wp:inline>
        </w:drawing>
      </w:r>
    </w:p>
    <w:p w14:paraId="595BB465" w14:textId="77777777" w:rsidR="007C0FE7" w:rsidRPr="00C111E5" w:rsidRDefault="007C0FE7" w:rsidP="007C0FE7">
      <w:pPr>
        <w:pStyle w:val="Alishlah21heading1"/>
        <w:numPr>
          <w:ilvl w:val="0"/>
          <w:numId w:val="0"/>
        </w:numPr>
        <w:jc w:val="center"/>
        <w:rPr>
          <w:rFonts w:eastAsia="Garamond"/>
        </w:rPr>
      </w:pPr>
      <w:bookmarkStart w:id="3" w:name="_heading=h.2et92p0" w:colFirst="0" w:colLast="0"/>
      <w:bookmarkEnd w:id="3"/>
      <w:r w:rsidRPr="00C111E5">
        <w:rPr>
          <w:rFonts w:eastAsia="Garamond"/>
        </w:rPr>
        <w:t>Figure 2. Output of the Career Satisfaction Construct</w:t>
      </w:r>
    </w:p>
    <w:p w14:paraId="2E2473A3" w14:textId="77777777" w:rsidR="007C0FE7" w:rsidRPr="00A120B2" w:rsidRDefault="007C0FE7" w:rsidP="00A120B2">
      <w:pPr>
        <w:pStyle w:val="Alishlah21heading1"/>
        <w:numPr>
          <w:ilvl w:val="0"/>
          <w:numId w:val="0"/>
        </w:numPr>
        <w:jc w:val="both"/>
        <w:rPr>
          <w:rFonts w:eastAsia="Garamond"/>
          <w:b w:val="0"/>
          <w:bCs/>
        </w:rPr>
      </w:pPr>
      <w:r w:rsidRPr="00A120B2">
        <w:rPr>
          <w:rFonts w:eastAsia="Garamond"/>
          <w:b w:val="0"/>
          <w:bCs/>
        </w:rPr>
        <w:t xml:space="preserve">Loading factor is a coefficient that shows how strongly the manifest variable is related to the latent variable expressed in standardized or unstandardized form. Figure 2 shows the unstandardized loading factor value with all values </w:t>
      </w:r>
      <w:r w:rsidRPr="00A120B2">
        <w:rPr>
          <w:rFonts w:ascii="Times New Roman" w:eastAsia="Garamond" w:hAnsi="Times New Roman"/>
          <w:b w:val="0"/>
          <w:bCs/>
        </w:rPr>
        <w:t>​​</w:t>
      </w:r>
      <w:r w:rsidRPr="00A120B2">
        <w:rPr>
          <w:rFonts w:eastAsia="Garamond"/>
          <w:b w:val="0"/>
          <w:bCs/>
        </w:rPr>
        <w:t xml:space="preserve">&gt; 0.70 except for the Fulfillment of Career Goals (CG) indicator with a loading factor of 0.641. However, for a sample size of 200 or less, the loading factor value of 0.641 is still acceptable or meets the criteria </w:t>
      </w:r>
      <w:r w:rsidRPr="00A120B2">
        <w:rPr>
          <w:rFonts w:eastAsia="Garamond"/>
          <w:b w:val="0"/>
          <w:bCs/>
        </w:rPr>
        <w:fldChar w:fldCharType="begin" w:fldLock="1"/>
      </w:r>
      <w:r w:rsidRPr="00A120B2">
        <w:rPr>
          <w:rFonts w:eastAsia="Garamond"/>
          <w:b w:val="0"/>
          <w:bCs/>
        </w:rPr>
        <w:instrText>ADDIN CSL_CITATION {"citationItems":[{"id":"ITEM-1","itemData":{"abstract":"Analise multivariada","author":[{"dropping-particle":"","family":"Hair","given":"Jr. Joseph F.","non-dropping-particle":"","parse-names":false,"suffix":""},{"dropping-particle":"","family":"Black","given":"Wiiliam C.","non-dropping-particle":"","parse-names":false,"suffix":""},{"dropping-particle":"","family":"Babin","given":"Barry J.","non-dropping-particle":"","parse-names":false,"suffix":""},{"dropping-particle":"","family":"Anderson","given":"Rolph E.","non-dropping-particle":"","parse-names":false,"suffix":""}],"container-title":"Australia: Cengage","edition":"7th","id":"ITEM-1","issued":{"date-parts":[["2010"]]},"number-of-pages":"758","title":"Multivariate Data Analysis","type":"book","volume":"7 edition"},"uris":["http://www.mendeley.com/documents/?uuid=93c36b64-2c7f-4570-ba7c-61757ac58fd5"]}],"mendeley":{"formattedCitation":"(Hair et al., 2010)","plainTextFormattedCitation":"(Hair et al., 2010)","previouslyFormattedCitation":"(Hair et al., 2010)"},"properties":{"noteIndex":0},"schema":"https://github.com/citation-style-language/schema/raw/master/csl-citation.json"}</w:instrText>
      </w:r>
      <w:r w:rsidRPr="00A120B2">
        <w:rPr>
          <w:rFonts w:eastAsia="Garamond"/>
          <w:b w:val="0"/>
          <w:bCs/>
        </w:rPr>
        <w:fldChar w:fldCharType="separate"/>
      </w:r>
      <w:r w:rsidRPr="00A120B2">
        <w:rPr>
          <w:rFonts w:eastAsia="Garamond"/>
          <w:b w:val="0"/>
          <w:bCs/>
          <w:noProof/>
        </w:rPr>
        <w:t>(Hair et al., 2010)</w:t>
      </w:r>
      <w:r w:rsidRPr="00A120B2">
        <w:rPr>
          <w:rFonts w:eastAsia="Garamond"/>
          <w:b w:val="0"/>
          <w:bCs/>
        </w:rPr>
        <w:fldChar w:fldCharType="end"/>
      </w:r>
      <w:r w:rsidRPr="00A120B2">
        <w:rPr>
          <w:rFonts w:eastAsia="Garamond"/>
          <w:b w:val="0"/>
          <w:bCs/>
        </w:rPr>
        <w:t>. Meanwhile, the Standardized Loading Factor value is shown in the following table.</w:t>
      </w:r>
    </w:p>
    <w:p w14:paraId="4775121A" w14:textId="77777777" w:rsidR="007C0FE7" w:rsidRPr="00C111E5" w:rsidRDefault="007C0FE7" w:rsidP="007C0FE7">
      <w:pPr>
        <w:pStyle w:val="Alishlah21heading1"/>
        <w:numPr>
          <w:ilvl w:val="0"/>
          <w:numId w:val="0"/>
        </w:numPr>
        <w:ind w:left="426" w:hanging="426"/>
        <w:jc w:val="center"/>
        <w:rPr>
          <w:rFonts w:eastAsia="Garamond"/>
        </w:rPr>
      </w:pPr>
      <w:bookmarkStart w:id="4" w:name="_heading=h.tyjcwt" w:colFirst="0" w:colLast="0"/>
      <w:bookmarkEnd w:id="4"/>
      <w:r w:rsidRPr="00C111E5">
        <w:rPr>
          <w:rFonts w:eastAsia="Garamond"/>
        </w:rPr>
        <w:t>Table 2. Standardized Loading Factor</w:t>
      </w:r>
    </w:p>
    <w:tbl>
      <w:tblPr>
        <w:tblW w:w="8789" w:type="dxa"/>
        <w:tblBorders>
          <w:top w:val="nil"/>
          <w:left w:val="nil"/>
          <w:bottom w:val="nil"/>
          <w:right w:val="nil"/>
          <w:insideH w:val="nil"/>
          <w:insideV w:val="nil"/>
        </w:tblBorders>
        <w:tblLayout w:type="fixed"/>
        <w:tblLook w:val="0400" w:firstRow="0" w:lastRow="0" w:firstColumn="0" w:lastColumn="0" w:noHBand="0" w:noVBand="1"/>
      </w:tblPr>
      <w:tblGrid>
        <w:gridCol w:w="5529"/>
        <w:gridCol w:w="3260"/>
      </w:tblGrid>
      <w:tr w:rsidR="007C0FE7" w:rsidRPr="00C111E5" w14:paraId="1E145CE6" w14:textId="77777777" w:rsidTr="00A91B80">
        <w:tc>
          <w:tcPr>
            <w:tcW w:w="5529" w:type="dxa"/>
            <w:tcBorders>
              <w:top w:val="single" w:sz="4" w:space="0" w:color="000000"/>
              <w:bottom w:val="single" w:sz="4" w:space="0" w:color="000000"/>
            </w:tcBorders>
            <w:shd w:val="clear" w:color="auto" w:fill="BFBFBF"/>
            <w:vAlign w:val="center"/>
          </w:tcPr>
          <w:p w14:paraId="714439C6" w14:textId="77777777" w:rsidR="007C0FE7" w:rsidRPr="00C111E5" w:rsidRDefault="007C0FE7" w:rsidP="00A91B80">
            <w:pPr>
              <w:jc w:val="center"/>
              <w:rPr>
                <w:rFonts w:ascii="Garamond" w:eastAsia="Garamond" w:hAnsi="Garamond" w:cs="Garamond"/>
                <w:sz w:val="20"/>
                <w:szCs w:val="20"/>
              </w:rPr>
            </w:pPr>
            <w:proofErr w:type="spellStart"/>
            <w:r w:rsidRPr="00C111E5">
              <w:rPr>
                <w:rFonts w:ascii="Garamond" w:eastAsia="Garamond" w:hAnsi="Garamond" w:cs="Garamond"/>
                <w:sz w:val="20"/>
                <w:szCs w:val="20"/>
              </w:rPr>
              <w:t>CareerSatisfaction</w:t>
            </w:r>
            <w:proofErr w:type="spellEnd"/>
          </w:p>
        </w:tc>
        <w:tc>
          <w:tcPr>
            <w:tcW w:w="3260" w:type="dxa"/>
            <w:tcBorders>
              <w:top w:val="single" w:sz="4" w:space="0" w:color="000000"/>
              <w:bottom w:val="single" w:sz="4" w:space="0" w:color="000000"/>
            </w:tcBorders>
            <w:shd w:val="clear" w:color="auto" w:fill="BFBFBF"/>
            <w:vAlign w:val="center"/>
          </w:tcPr>
          <w:p w14:paraId="616941F6" w14:textId="77777777" w:rsidR="007C0FE7" w:rsidRPr="00C111E5" w:rsidRDefault="007C0FE7" w:rsidP="00A91B80">
            <w:pPr>
              <w:jc w:val="center"/>
              <w:rPr>
                <w:rFonts w:ascii="Garamond" w:eastAsia="Garamond" w:hAnsi="Garamond" w:cs="Garamond"/>
                <w:sz w:val="20"/>
                <w:szCs w:val="20"/>
              </w:rPr>
            </w:pPr>
            <w:r w:rsidRPr="00C111E5">
              <w:rPr>
                <w:rFonts w:ascii="Garamond" w:eastAsia="Garamond" w:hAnsi="Garamond" w:cs="Garamond"/>
                <w:sz w:val="20"/>
                <w:szCs w:val="20"/>
              </w:rPr>
              <w:t>Outer Loading</w:t>
            </w:r>
          </w:p>
        </w:tc>
      </w:tr>
      <w:tr w:rsidR="007C0FE7" w:rsidRPr="00C111E5" w14:paraId="309FA028" w14:textId="77777777" w:rsidTr="00A91B80">
        <w:tc>
          <w:tcPr>
            <w:tcW w:w="5529" w:type="dxa"/>
            <w:tcBorders>
              <w:top w:val="single" w:sz="4" w:space="0" w:color="000000"/>
            </w:tcBorders>
            <w:vAlign w:val="center"/>
          </w:tcPr>
          <w:p w14:paraId="0E3CB7ED" w14:textId="77777777" w:rsidR="007C0FE7" w:rsidRPr="00C111E5" w:rsidRDefault="007C0FE7" w:rsidP="00A91B80">
            <w:pPr>
              <w:rPr>
                <w:rFonts w:ascii="Garamond" w:eastAsia="Garamond" w:hAnsi="Garamond" w:cs="Garamond"/>
                <w:sz w:val="20"/>
                <w:szCs w:val="20"/>
              </w:rPr>
            </w:pPr>
            <w:r w:rsidRPr="00C111E5">
              <w:rPr>
                <w:rFonts w:ascii="Garamond" w:eastAsia="Garamond" w:hAnsi="Garamond" w:cs="Garamond"/>
                <w:sz w:val="20"/>
                <w:szCs w:val="20"/>
              </w:rPr>
              <w:t>Career Achievement (CA)</w:t>
            </w:r>
          </w:p>
        </w:tc>
        <w:tc>
          <w:tcPr>
            <w:tcW w:w="3260" w:type="dxa"/>
            <w:tcBorders>
              <w:top w:val="single" w:sz="4" w:space="0" w:color="000000"/>
            </w:tcBorders>
            <w:vAlign w:val="center"/>
          </w:tcPr>
          <w:p w14:paraId="4A68C6CE" w14:textId="77777777" w:rsidR="007C0FE7" w:rsidRPr="00C111E5" w:rsidRDefault="007C0FE7" w:rsidP="00A91B80">
            <w:pPr>
              <w:jc w:val="center"/>
              <w:rPr>
                <w:rFonts w:ascii="Garamond" w:eastAsia="Garamond" w:hAnsi="Garamond" w:cs="Garamond"/>
                <w:sz w:val="20"/>
                <w:szCs w:val="20"/>
              </w:rPr>
            </w:pPr>
            <w:r w:rsidRPr="00C111E5">
              <w:rPr>
                <w:rFonts w:ascii="Garamond" w:eastAsia="Garamond" w:hAnsi="Garamond" w:cs="Garamond"/>
                <w:color w:val="008000"/>
                <w:sz w:val="20"/>
                <w:szCs w:val="20"/>
              </w:rPr>
              <w:t>0.755</w:t>
            </w:r>
          </w:p>
        </w:tc>
      </w:tr>
      <w:tr w:rsidR="007C0FE7" w:rsidRPr="00C111E5" w14:paraId="612A637D" w14:textId="77777777" w:rsidTr="00A91B80">
        <w:tc>
          <w:tcPr>
            <w:tcW w:w="5529" w:type="dxa"/>
            <w:vAlign w:val="center"/>
          </w:tcPr>
          <w:p w14:paraId="76CFF7C5" w14:textId="77777777" w:rsidR="007C0FE7" w:rsidRPr="00C111E5" w:rsidRDefault="007C0FE7" w:rsidP="00A91B80">
            <w:pPr>
              <w:rPr>
                <w:rFonts w:ascii="Garamond" w:eastAsia="Garamond" w:hAnsi="Garamond" w:cs="Garamond"/>
                <w:sz w:val="20"/>
                <w:szCs w:val="20"/>
              </w:rPr>
            </w:pPr>
            <w:r w:rsidRPr="00C111E5">
              <w:rPr>
                <w:rFonts w:ascii="Garamond" w:eastAsia="Garamond" w:hAnsi="Garamond" w:cs="Garamond"/>
                <w:sz w:val="20"/>
                <w:szCs w:val="20"/>
              </w:rPr>
              <w:t>Career Progress (CP)</w:t>
            </w:r>
          </w:p>
        </w:tc>
        <w:tc>
          <w:tcPr>
            <w:tcW w:w="3260" w:type="dxa"/>
            <w:vAlign w:val="center"/>
          </w:tcPr>
          <w:p w14:paraId="23612738" w14:textId="77777777" w:rsidR="007C0FE7" w:rsidRPr="00C111E5" w:rsidRDefault="007C0FE7" w:rsidP="00A91B80">
            <w:pPr>
              <w:jc w:val="center"/>
              <w:rPr>
                <w:rFonts w:ascii="Garamond" w:eastAsia="Garamond" w:hAnsi="Garamond" w:cs="Garamond"/>
                <w:sz w:val="20"/>
                <w:szCs w:val="20"/>
              </w:rPr>
            </w:pPr>
            <w:r w:rsidRPr="00C111E5">
              <w:rPr>
                <w:rFonts w:ascii="Garamond" w:eastAsia="Garamond" w:hAnsi="Garamond" w:cs="Garamond"/>
                <w:color w:val="008000"/>
                <w:sz w:val="20"/>
                <w:szCs w:val="20"/>
              </w:rPr>
              <w:t>0.831</w:t>
            </w:r>
          </w:p>
        </w:tc>
      </w:tr>
      <w:tr w:rsidR="007C0FE7" w:rsidRPr="00C111E5" w14:paraId="4943321C" w14:textId="77777777" w:rsidTr="00A91B80">
        <w:tc>
          <w:tcPr>
            <w:tcW w:w="5529" w:type="dxa"/>
            <w:vAlign w:val="center"/>
          </w:tcPr>
          <w:p w14:paraId="32378B93" w14:textId="77777777" w:rsidR="007C0FE7" w:rsidRPr="00C111E5" w:rsidRDefault="007C0FE7" w:rsidP="00A91B80">
            <w:pPr>
              <w:rPr>
                <w:rFonts w:ascii="Garamond" w:eastAsia="Garamond" w:hAnsi="Garamond" w:cs="Garamond"/>
                <w:sz w:val="20"/>
                <w:szCs w:val="20"/>
              </w:rPr>
            </w:pPr>
            <w:r w:rsidRPr="00C111E5">
              <w:rPr>
                <w:rFonts w:ascii="Garamond" w:eastAsia="Garamond" w:hAnsi="Garamond" w:cs="Garamond"/>
                <w:sz w:val="20"/>
                <w:szCs w:val="20"/>
              </w:rPr>
              <w:t>Development of Abilities During a Career (AD)</w:t>
            </w:r>
          </w:p>
        </w:tc>
        <w:tc>
          <w:tcPr>
            <w:tcW w:w="3260" w:type="dxa"/>
            <w:vAlign w:val="center"/>
          </w:tcPr>
          <w:p w14:paraId="17F26617" w14:textId="77777777" w:rsidR="007C0FE7" w:rsidRPr="00C111E5" w:rsidRDefault="007C0FE7" w:rsidP="00A91B80">
            <w:pPr>
              <w:jc w:val="center"/>
              <w:rPr>
                <w:rFonts w:ascii="Garamond" w:eastAsia="Garamond" w:hAnsi="Garamond" w:cs="Garamond"/>
                <w:sz w:val="20"/>
                <w:szCs w:val="20"/>
              </w:rPr>
            </w:pPr>
            <w:r w:rsidRPr="00C111E5">
              <w:rPr>
                <w:rFonts w:ascii="Garamond" w:eastAsia="Garamond" w:hAnsi="Garamond" w:cs="Garamond"/>
                <w:color w:val="008000"/>
                <w:sz w:val="20"/>
                <w:szCs w:val="20"/>
              </w:rPr>
              <w:t>0.860</w:t>
            </w:r>
          </w:p>
        </w:tc>
      </w:tr>
      <w:tr w:rsidR="007C0FE7" w:rsidRPr="00C111E5" w14:paraId="2DAF7219" w14:textId="77777777" w:rsidTr="00A91B80">
        <w:tc>
          <w:tcPr>
            <w:tcW w:w="5529" w:type="dxa"/>
            <w:vAlign w:val="center"/>
          </w:tcPr>
          <w:p w14:paraId="31E62707" w14:textId="77777777" w:rsidR="007C0FE7" w:rsidRPr="00C111E5" w:rsidRDefault="007C0FE7" w:rsidP="00A91B80">
            <w:pPr>
              <w:rPr>
                <w:rFonts w:ascii="Garamond" w:eastAsia="Garamond" w:hAnsi="Garamond" w:cs="Garamond"/>
                <w:sz w:val="20"/>
                <w:szCs w:val="20"/>
              </w:rPr>
            </w:pPr>
            <w:proofErr w:type="spellStart"/>
            <w:r w:rsidRPr="00C111E5">
              <w:rPr>
                <w:rFonts w:ascii="Garamond" w:eastAsia="Garamond" w:hAnsi="Garamond" w:cs="Garamond"/>
                <w:sz w:val="20"/>
                <w:szCs w:val="20"/>
              </w:rPr>
              <w:lastRenderedPageBreak/>
              <w:t>Fulfillment</w:t>
            </w:r>
            <w:proofErr w:type="spellEnd"/>
            <w:r w:rsidRPr="00C111E5">
              <w:rPr>
                <w:rFonts w:ascii="Garamond" w:eastAsia="Garamond" w:hAnsi="Garamond" w:cs="Garamond"/>
                <w:sz w:val="20"/>
                <w:szCs w:val="20"/>
              </w:rPr>
              <w:t xml:space="preserve"> of Career Goals (CG)</w:t>
            </w:r>
          </w:p>
        </w:tc>
        <w:tc>
          <w:tcPr>
            <w:tcW w:w="3260" w:type="dxa"/>
            <w:vAlign w:val="center"/>
          </w:tcPr>
          <w:p w14:paraId="6573FCA0" w14:textId="77777777" w:rsidR="007C0FE7" w:rsidRPr="00C111E5" w:rsidRDefault="007C0FE7" w:rsidP="00A91B80">
            <w:pPr>
              <w:jc w:val="center"/>
              <w:rPr>
                <w:rFonts w:ascii="Garamond" w:eastAsia="Garamond" w:hAnsi="Garamond" w:cs="Garamond"/>
                <w:sz w:val="20"/>
                <w:szCs w:val="20"/>
              </w:rPr>
            </w:pPr>
            <w:r w:rsidRPr="00C111E5">
              <w:rPr>
                <w:rFonts w:ascii="Garamond" w:eastAsia="Garamond" w:hAnsi="Garamond" w:cs="Garamond"/>
                <w:color w:val="008000"/>
                <w:sz w:val="20"/>
                <w:szCs w:val="20"/>
              </w:rPr>
              <w:t>0.833</w:t>
            </w:r>
          </w:p>
        </w:tc>
      </w:tr>
      <w:tr w:rsidR="007C0FE7" w:rsidRPr="00C111E5" w14:paraId="084BE47F" w14:textId="77777777" w:rsidTr="00A91B80">
        <w:tc>
          <w:tcPr>
            <w:tcW w:w="5529" w:type="dxa"/>
            <w:vAlign w:val="center"/>
          </w:tcPr>
          <w:p w14:paraId="3EB8F91B" w14:textId="77777777" w:rsidR="007C0FE7" w:rsidRPr="00C111E5" w:rsidRDefault="007C0FE7" w:rsidP="00A91B80">
            <w:pPr>
              <w:rPr>
                <w:rFonts w:ascii="Garamond" w:eastAsia="Garamond" w:hAnsi="Garamond" w:cs="Garamond"/>
                <w:sz w:val="20"/>
                <w:szCs w:val="20"/>
              </w:rPr>
            </w:pPr>
            <w:r w:rsidRPr="00C111E5">
              <w:rPr>
                <w:rFonts w:ascii="Garamond" w:eastAsia="Garamond" w:hAnsi="Garamond" w:cs="Garamond"/>
                <w:sz w:val="20"/>
                <w:szCs w:val="20"/>
              </w:rPr>
              <w:t>Gratitude (G)</w:t>
            </w:r>
          </w:p>
        </w:tc>
        <w:tc>
          <w:tcPr>
            <w:tcW w:w="3260" w:type="dxa"/>
            <w:vAlign w:val="center"/>
          </w:tcPr>
          <w:p w14:paraId="59395A59" w14:textId="77777777" w:rsidR="007C0FE7" w:rsidRPr="00C111E5" w:rsidRDefault="007C0FE7" w:rsidP="00A91B80">
            <w:pPr>
              <w:jc w:val="center"/>
              <w:rPr>
                <w:rFonts w:ascii="Garamond" w:eastAsia="Garamond" w:hAnsi="Garamond" w:cs="Garamond"/>
                <w:sz w:val="20"/>
                <w:szCs w:val="20"/>
              </w:rPr>
            </w:pPr>
            <w:r w:rsidRPr="00C111E5">
              <w:rPr>
                <w:rFonts w:ascii="Garamond" w:eastAsia="Garamond" w:hAnsi="Garamond" w:cs="Garamond"/>
                <w:color w:val="008000"/>
                <w:sz w:val="20"/>
                <w:szCs w:val="20"/>
              </w:rPr>
              <w:t>0.770</w:t>
            </w:r>
          </w:p>
        </w:tc>
      </w:tr>
      <w:tr w:rsidR="007C0FE7" w:rsidRPr="00C111E5" w14:paraId="28DCBCBF" w14:textId="77777777" w:rsidTr="00A91B80">
        <w:tc>
          <w:tcPr>
            <w:tcW w:w="5529" w:type="dxa"/>
            <w:tcBorders>
              <w:bottom w:val="single" w:sz="4" w:space="0" w:color="000000"/>
            </w:tcBorders>
            <w:vAlign w:val="center"/>
          </w:tcPr>
          <w:p w14:paraId="62899FA5" w14:textId="77777777" w:rsidR="007C0FE7" w:rsidRPr="00C111E5" w:rsidRDefault="007C0FE7" w:rsidP="00A91B80">
            <w:pPr>
              <w:rPr>
                <w:rFonts w:ascii="Garamond" w:eastAsia="Garamond" w:hAnsi="Garamond" w:cs="Garamond"/>
                <w:sz w:val="20"/>
                <w:szCs w:val="20"/>
              </w:rPr>
            </w:pPr>
            <w:r w:rsidRPr="00C111E5">
              <w:rPr>
                <w:rFonts w:ascii="Garamond" w:eastAsia="Garamond" w:hAnsi="Garamond" w:cs="Garamond"/>
                <w:sz w:val="20"/>
                <w:szCs w:val="20"/>
              </w:rPr>
              <w:t>Income (I)</w:t>
            </w:r>
          </w:p>
        </w:tc>
        <w:tc>
          <w:tcPr>
            <w:tcW w:w="3260" w:type="dxa"/>
            <w:tcBorders>
              <w:bottom w:val="single" w:sz="4" w:space="0" w:color="000000"/>
            </w:tcBorders>
            <w:vAlign w:val="center"/>
          </w:tcPr>
          <w:p w14:paraId="54BE7008" w14:textId="77777777" w:rsidR="007C0FE7" w:rsidRPr="00C111E5" w:rsidRDefault="007C0FE7" w:rsidP="00A91B80">
            <w:pPr>
              <w:jc w:val="center"/>
              <w:rPr>
                <w:rFonts w:ascii="Garamond" w:eastAsia="Garamond" w:hAnsi="Garamond" w:cs="Garamond"/>
                <w:sz w:val="20"/>
                <w:szCs w:val="20"/>
              </w:rPr>
            </w:pPr>
            <w:r w:rsidRPr="00C111E5">
              <w:rPr>
                <w:rFonts w:ascii="Garamond" w:eastAsia="Garamond" w:hAnsi="Garamond" w:cs="Garamond"/>
                <w:color w:val="008000"/>
                <w:sz w:val="20"/>
                <w:szCs w:val="20"/>
              </w:rPr>
              <w:t>0.793</w:t>
            </w:r>
          </w:p>
        </w:tc>
      </w:tr>
    </w:tbl>
    <w:p w14:paraId="3741BD0F" w14:textId="77777777" w:rsidR="007C0FE7" w:rsidRPr="007C0FE7" w:rsidRDefault="007C0FE7" w:rsidP="00A120B2">
      <w:pPr>
        <w:pStyle w:val="Alishlah21heading1"/>
        <w:numPr>
          <w:ilvl w:val="0"/>
          <w:numId w:val="0"/>
        </w:numPr>
        <w:jc w:val="both"/>
        <w:rPr>
          <w:rFonts w:eastAsia="Garamond"/>
          <w:b w:val="0"/>
          <w:bCs/>
        </w:rPr>
      </w:pPr>
      <w:bookmarkStart w:id="5" w:name="_heading=h.3dy6vkm" w:colFirst="0" w:colLast="0"/>
      <w:bookmarkEnd w:id="5"/>
      <w:r w:rsidRPr="007C0FE7">
        <w:rPr>
          <w:rFonts w:eastAsia="Garamond"/>
          <w:b w:val="0"/>
          <w:bCs/>
        </w:rPr>
        <w:t xml:space="preserve">Based on Table 2, we can see that the standardized loading factor values </w:t>
      </w:r>
      <w:r w:rsidRPr="007C0FE7">
        <w:rPr>
          <w:rFonts w:ascii="Times New Roman" w:eastAsia="Garamond" w:hAnsi="Times New Roman"/>
          <w:b w:val="0"/>
          <w:bCs/>
        </w:rPr>
        <w:t>​​</w:t>
      </w:r>
      <w:r w:rsidRPr="007C0FE7">
        <w:rPr>
          <w:rFonts w:eastAsia="Garamond"/>
          <w:b w:val="0"/>
          <w:bCs/>
        </w:rPr>
        <w:t>of all manifest variables are also &gt; 0.70. Thus, based on Figure 2 and Table 2, it can be said that the large contribution of the six indicators measured to the career satisfaction variable meets the convergent validity criteria.</w:t>
      </w:r>
    </w:p>
    <w:p w14:paraId="6FFEC1D6" w14:textId="77777777" w:rsidR="007C0FE7" w:rsidRPr="00C111E5" w:rsidRDefault="007C0FE7" w:rsidP="007C0FE7">
      <w:pPr>
        <w:pStyle w:val="Alishlah21heading1"/>
        <w:numPr>
          <w:ilvl w:val="0"/>
          <w:numId w:val="0"/>
        </w:numPr>
        <w:ind w:left="426" w:hanging="426"/>
        <w:jc w:val="center"/>
        <w:rPr>
          <w:rFonts w:eastAsia="Garamond"/>
        </w:rPr>
      </w:pPr>
      <w:r w:rsidRPr="00C111E5">
        <w:rPr>
          <w:rFonts w:eastAsia="Garamond"/>
        </w:rPr>
        <w:t>Table 3 Construct Reliability and Validity</w:t>
      </w:r>
    </w:p>
    <w:tbl>
      <w:tblPr>
        <w:tblW w:w="877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756"/>
        <w:gridCol w:w="1755"/>
        <w:gridCol w:w="1756"/>
        <w:gridCol w:w="1756"/>
        <w:gridCol w:w="1756"/>
      </w:tblGrid>
      <w:tr w:rsidR="007C0FE7" w:rsidRPr="00C111E5" w14:paraId="1F85A08C" w14:textId="77777777" w:rsidTr="00A91B80">
        <w:tc>
          <w:tcPr>
            <w:tcW w:w="1756" w:type="dxa"/>
            <w:shd w:val="clear" w:color="auto" w:fill="BFBFBF"/>
            <w:vAlign w:val="center"/>
          </w:tcPr>
          <w:p w14:paraId="1B5F2355" w14:textId="77777777" w:rsidR="007C0FE7" w:rsidRPr="00C111E5" w:rsidRDefault="007C0FE7" w:rsidP="00A91B80">
            <w:pPr>
              <w:jc w:val="both"/>
              <w:rPr>
                <w:rFonts w:ascii="Garamond" w:eastAsia="Garamond" w:hAnsi="Garamond" w:cs="Garamond"/>
                <w:sz w:val="20"/>
                <w:szCs w:val="20"/>
              </w:rPr>
            </w:pPr>
          </w:p>
        </w:tc>
        <w:tc>
          <w:tcPr>
            <w:tcW w:w="1755" w:type="dxa"/>
            <w:shd w:val="clear" w:color="auto" w:fill="BFBFBF"/>
            <w:vAlign w:val="center"/>
          </w:tcPr>
          <w:p w14:paraId="2BDB3FA2" w14:textId="77777777" w:rsidR="007C0FE7" w:rsidRPr="00C111E5" w:rsidRDefault="007C0FE7" w:rsidP="00A91B80">
            <w:pPr>
              <w:jc w:val="both"/>
              <w:rPr>
                <w:rFonts w:ascii="Garamond" w:eastAsia="Garamond" w:hAnsi="Garamond" w:cs="Garamond"/>
                <w:sz w:val="20"/>
                <w:szCs w:val="20"/>
              </w:rPr>
            </w:pPr>
            <w:r w:rsidRPr="00C111E5">
              <w:rPr>
                <w:rFonts w:ascii="Garamond" w:eastAsia="Garamond" w:hAnsi="Garamond" w:cs="Garamond"/>
                <w:b/>
                <w:sz w:val="20"/>
                <w:szCs w:val="20"/>
              </w:rPr>
              <w:t xml:space="preserve">Cronbach's alpha (standardized) </w:t>
            </w:r>
          </w:p>
        </w:tc>
        <w:tc>
          <w:tcPr>
            <w:tcW w:w="1756" w:type="dxa"/>
            <w:shd w:val="clear" w:color="auto" w:fill="BFBFBF"/>
            <w:vAlign w:val="center"/>
          </w:tcPr>
          <w:p w14:paraId="1524F5D5" w14:textId="77777777" w:rsidR="007C0FE7" w:rsidRPr="00C111E5" w:rsidRDefault="007C0FE7" w:rsidP="00A91B80">
            <w:pPr>
              <w:jc w:val="both"/>
              <w:rPr>
                <w:rFonts w:ascii="Garamond" w:eastAsia="Garamond" w:hAnsi="Garamond" w:cs="Garamond"/>
                <w:sz w:val="20"/>
                <w:szCs w:val="20"/>
              </w:rPr>
            </w:pPr>
            <w:r w:rsidRPr="00C111E5">
              <w:rPr>
                <w:rFonts w:ascii="Garamond" w:eastAsia="Garamond" w:hAnsi="Garamond" w:cs="Garamond"/>
                <w:b/>
                <w:sz w:val="20"/>
                <w:szCs w:val="20"/>
              </w:rPr>
              <w:t xml:space="preserve">Cronbach's alpha (unstandardized) </w:t>
            </w:r>
          </w:p>
        </w:tc>
        <w:tc>
          <w:tcPr>
            <w:tcW w:w="1756" w:type="dxa"/>
            <w:shd w:val="clear" w:color="auto" w:fill="BFBFBF"/>
            <w:vAlign w:val="center"/>
          </w:tcPr>
          <w:p w14:paraId="45F7A6E6" w14:textId="77777777" w:rsidR="007C0FE7" w:rsidRPr="00C111E5" w:rsidRDefault="007C0FE7" w:rsidP="00A91B80">
            <w:pPr>
              <w:jc w:val="both"/>
              <w:rPr>
                <w:rFonts w:ascii="Garamond" w:eastAsia="Garamond" w:hAnsi="Garamond" w:cs="Garamond"/>
                <w:sz w:val="20"/>
                <w:szCs w:val="20"/>
              </w:rPr>
            </w:pPr>
            <w:r w:rsidRPr="00C111E5">
              <w:rPr>
                <w:rFonts w:ascii="Garamond" w:eastAsia="Garamond" w:hAnsi="Garamond" w:cs="Garamond"/>
                <w:b/>
                <w:sz w:val="20"/>
                <w:szCs w:val="20"/>
              </w:rPr>
              <w:t>Composite reliability (</w:t>
            </w:r>
            <w:proofErr w:type="spellStart"/>
            <w:r w:rsidRPr="00C111E5">
              <w:rPr>
                <w:rFonts w:ascii="Garamond" w:eastAsia="Garamond" w:hAnsi="Garamond" w:cs="Garamond"/>
                <w:b/>
                <w:sz w:val="20"/>
                <w:szCs w:val="20"/>
              </w:rPr>
              <w:t>rho_c</w:t>
            </w:r>
            <w:proofErr w:type="spellEnd"/>
            <w:r w:rsidRPr="00C111E5">
              <w:rPr>
                <w:rFonts w:ascii="Garamond" w:eastAsia="Garamond" w:hAnsi="Garamond" w:cs="Garamond"/>
                <w:b/>
                <w:sz w:val="20"/>
                <w:szCs w:val="20"/>
              </w:rPr>
              <w:t xml:space="preserve">) </w:t>
            </w:r>
          </w:p>
        </w:tc>
        <w:tc>
          <w:tcPr>
            <w:tcW w:w="1756" w:type="dxa"/>
            <w:shd w:val="clear" w:color="auto" w:fill="BFBFBF"/>
            <w:vAlign w:val="center"/>
          </w:tcPr>
          <w:p w14:paraId="48CA9A13" w14:textId="77777777" w:rsidR="007C0FE7" w:rsidRPr="00C111E5" w:rsidRDefault="007C0FE7" w:rsidP="00A91B80">
            <w:pPr>
              <w:jc w:val="both"/>
              <w:rPr>
                <w:rFonts w:ascii="Garamond" w:eastAsia="Garamond" w:hAnsi="Garamond" w:cs="Garamond"/>
                <w:sz w:val="20"/>
                <w:szCs w:val="20"/>
              </w:rPr>
            </w:pPr>
            <w:r w:rsidRPr="00C111E5">
              <w:rPr>
                <w:rFonts w:ascii="Garamond" w:eastAsia="Garamond" w:hAnsi="Garamond" w:cs="Garamond"/>
                <w:b/>
                <w:sz w:val="20"/>
                <w:szCs w:val="20"/>
              </w:rPr>
              <w:t xml:space="preserve">Average variance extracted (AVE) </w:t>
            </w:r>
          </w:p>
        </w:tc>
      </w:tr>
      <w:tr w:rsidR="007C0FE7" w:rsidRPr="00C111E5" w14:paraId="67E6764C" w14:textId="77777777" w:rsidTr="00A91B80">
        <w:tc>
          <w:tcPr>
            <w:tcW w:w="1756" w:type="dxa"/>
            <w:vAlign w:val="center"/>
          </w:tcPr>
          <w:p w14:paraId="646CE5F0" w14:textId="77777777" w:rsidR="007C0FE7" w:rsidRPr="00C111E5" w:rsidRDefault="007C0FE7" w:rsidP="00A91B80">
            <w:pPr>
              <w:jc w:val="both"/>
              <w:rPr>
                <w:rFonts w:ascii="Garamond" w:eastAsia="Garamond" w:hAnsi="Garamond" w:cs="Garamond"/>
                <w:sz w:val="20"/>
                <w:szCs w:val="20"/>
              </w:rPr>
            </w:pPr>
            <w:proofErr w:type="spellStart"/>
            <w:r w:rsidRPr="00C111E5">
              <w:rPr>
                <w:rFonts w:ascii="Garamond" w:eastAsia="Garamond" w:hAnsi="Garamond" w:cs="Garamond"/>
                <w:b/>
                <w:sz w:val="20"/>
                <w:szCs w:val="20"/>
              </w:rPr>
              <w:t>CareerSatisfaction</w:t>
            </w:r>
            <w:proofErr w:type="spellEnd"/>
          </w:p>
        </w:tc>
        <w:tc>
          <w:tcPr>
            <w:tcW w:w="1755" w:type="dxa"/>
            <w:vAlign w:val="center"/>
          </w:tcPr>
          <w:p w14:paraId="40BE022D" w14:textId="77777777" w:rsidR="007C0FE7" w:rsidRPr="00C111E5" w:rsidRDefault="007C0FE7" w:rsidP="00A91B80">
            <w:pPr>
              <w:jc w:val="both"/>
              <w:rPr>
                <w:rFonts w:ascii="Garamond" w:eastAsia="Garamond" w:hAnsi="Garamond" w:cs="Garamond"/>
                <w:sz w:val="20"/>
                <w:szCs w:val="20"/>
              </w:rPr>
            </w:pPr>
            <w:r w:rsidRPr="00C111E5">
              <w:rPr>
                <w:rFonts w:ascii="Garamond" w:eastAsia="Garamond" w:hAnsi="Garamond" w:cs="Garamond"/>
                <w:color w:val="008000"/>
                <w:sz w:val="20"/>
                <w:szCs w:val="20"/>
              </w:rPr>
              <w:t xml:space="preserve">0.918 </w:t>
            </w:r>
          </w:p>
        </w:tc>
        <w:tc>
          <w:tcPr>
            <w:tcW w:w="1756" w:type="dxa"/>
            <w:vAlign w:val="center"/>
          </w:tcPr>
          <w:p w14:paraId="546657F5" w14:textId="77777777" w:rsidR="007C0FE7" w:rsidRPr="00C111E5" w:rsidRDefault="007C0FE7" w:rsidP="00A91B80">
            <w:pPr>
              <w:jc w:val="both"/>
              <w:rPr>
                <w:rFonts w:ascii="Garamond" w:eastAsia="Garamond" w:hAnsi="Garamond" w:cs="Garamond"/>
                <w:sz w:val="20"/>
                <w:szCs w:val="20"/>
              </w:rPr>
            </w:pPr>
            <w:r w:rsidRPr="00C111E5">
              <w:rPr>
                <w:rFonts w:ascii="Garamond" w:eastAsia="Garamond" w:hAnsi="Garamond" w:cs="Garamond"/>
                <w:color w:val="008000"/>
                <w:sz w:val="20"/>
                <w:szCs w:val="20"/>
              </w:rPr>
              <w:t xml:space="preserve">0.905 </w:t>
            </w:r>
          </w:p>
        </w:tc>
        <w:tc>
          <w:tcPr>
            <w:tcW w:w="1756" w:type="dxa"/>
            <w:vAlign w:val="center"/>
          </w:tcPr>
          <w:p w14:paraId="75492326" w14:textId="77777777" w:rsidR="007C0FE7" w:rsidRPr="00C111E5" w:rsidRDefault="007C0FE7" w:rsidP="00A91B80">
            <w:pPr>
              <w:jc w:val="both"/>
              <w:rPr>
                <w:rFonts w:ascii="Garamond" w:eastAsia="Garamond" w:hAnsi="Garamond" w:cs="Garamond"/>
                <w:sz w:val="20"/>
                <w:szCs w:val="20"/>
              </w:rPr>
            </w:pPr>
            <w:r w:rsidRPr="00C111E5">
              <w:rPr>
                <w:rFonts w:ascii="Garamond" w:eastAsia="Garamond" w:hAnsi="Garamond" w:cs="Garamond"/>
                <w:color w:val="008000"/>
                <w:sz w:val="20"/>
                <w:szCs w:val="20"/>
              </w:rPr>
              <w:t xml:space="preserve">0.912 </w:t>
            </w:r>
          </w:p>
        </w:tc>
        <w:tc>
          <w:tcPr>
            <w:tcW w:w="1756" w:type="dxa"/>
            <w:vAlign w:val="center"/>
          </w:tcPr>
          <w:p w14:paraId="11D65E25" w14:textId="77777777" w:rsidR="007C0FE7" w:rsidRPr="00C111E5" w:rsidRDefault="007C0FE7" w:rsidP="00A91B80">
            <w:pPr>
              <w:jc w:val="both"/>
              <w:rPr>
                <w:rFonts w:ascii="Garamond" w:eastAsia="Garamond" w:hAnsi="Garamond" w:cs="Garamond"/>
                <w:sz w:val="20"/>
                <w:szCs w:val="20"/>
              </w:rPr>
            </w:pPr>
            <w:r w:rsidRPr="00C111E5">
              <w:rPr>
                <w:rFonts w:ascii="Garamond" w:eastAsia="Garamond" w:hAnsi="Garamond" w:cs="Garamond"/>
                <w:color w:val="008000"/>
                <w:sz w:val="20"/>
                <w:szCs w:val="20"/>
              </w:rPr>
              <w:t xml:space="preserve">0.653 </w:t>
            </w:r>
          </w:p>
        </w:tc>
      </w:tr>
    </w:tbl>
    <w:p w14:paraId="0F553F0B" w14:textId="492A986D" w:rsidR="007C0FE7" w:rsidRPr="00C111E5" w:rsidRDefault="007C0FE7" w:rsidP="007C0FE7">
      <w:pPr>
        <w:pStyle w:val="Alishlah21heading1"/>
        <w:numPr>
          <w:ilvl w:val="0"/>
          <w:numId w:val="0"/>
        </w:numPr>
        <w:jc w:val="both"/>
        <w:rPr>
          <w:rFonts w:eastAsia="Garamond"/>
        </w:rPr>
      </w:pPr>
      <w:r w:rsidRPr="007C0FE7">
        <w:rPr>
          <w:rFonts w:eastAsia="Garamond"/>
          <w:b w:val="0"/>
          <w:bCs/>
        </w:rPr>
        <w:t xml:space="preserve">Table 3 shows the Standardized Cronbach’s Alpha value of 0.918 &gt; 0.70, the Composite Reliability value of 0.912 &gt; 0.70, and the Average Variance Extracted (AVE) value of 0.653 &gt; 0.50. We can calculate the root square of AVE </w:t>
      </w:r>
      <m:oMath>
        <m:rad>
          <m:radPr>
            <m:degHide m:val="1"/>
            <m:ctrlPr>
              <w:rPr>
                <w:rFonts w:ascii="Cambria Math" w:eastAsia="Garamond" w:hAnsi="Cambria Math"/>
                <w:b w:val="0"/>
                <w:bCs/>
                <w:i/>
              </w:rPr>
            </m:ctrlPr>
          </m:radPr>
          <m:deg/>
          <m:e>
            <m:r>
              <w:rPr>
                <w:rFonts w:ascii="Cambria Math" w:eastAsia="Garamond" w:hAnsi="Cambria Math"/>
              </w:rPr>
              <m:t>0.653</m:t>
            </m:r>
          </m:e>
        </m:rad>
        <m:r>
          <w:rPr>
            <w:rFonts w:ascii="Cambria Math" w:eastAsia="Garamond" w:hAnsi="Cambria Math"/>
          </w:rPr>
          <m:t xml:space="preserve">=0.8081 </m:t>
        </m:r>
      </m:oMath>
      <w:r w:rsidRPr="007C0FE7">
        <w:rPr>
          <w:rFonts w:eastAsia="Garamond"/>
          <w:b w:val="0"/>
          <w:bCs/>
        </w:rPr>
        <w:t xml:space="preserve"> (Fornell-Larcker Criterion value) obtained through SmartPLS. Thus, the measurement model above meets the criteria of discriminant validity</w:t>
      </w:r>
      <w:r w:rsidRPr="00332F6D">
        <w:rPr>
          <w:rFonts w:eastAsia="Garamond"/>
        </w:rPr>
        <w:t>.</w:t>
      </w:r>
      <w:r>
        <w:rPr>
          <w:rFonts w:eastAsia="Garamond"/>
        </w:rPr>
        <w:t xml:space="preserve"> </w:t>
      </w:r>
    </w:p>
    <w:p w14:paraId="54603F05" w14:textId="77777777" w:rsidR="007C0FE7" w:rsidRPr="00C111E5" w:rsidRDefault="007C0FE7" w:rsidP="007C0FE7">
      <w:pPr>
        <w:pStyle w:val="Alishlah21heading1"/>
        <w:numPr>
          <w:ilvl w:val="0"/>
          <w:numId w:val="0"/>
        </w:numPr>
        <w:ind w:left="426" w:hanging="426"/>
        <w:jc w:val="center"/>
        <w:rPr>
          <w:rFonts w:eastAsia="Garamond"/>
        </w:rPr>
      </w:pPr>
      <w:r w:rsidRPr="00C111E5">
        <w:rPr>
          <w:rFonts w:eastAsia="Garamond"/>
        </w:rPr>
        <w:t>Table 4 Goodness of Fit Model</w:t>
      </w:r>
    </w:p>
    <w:tbl>
      <w:tblPr>
        <w:tblW w:w="8789"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552"/>
        <w:gridCol w:w="2693"/>
        <w:gridCol w:w="1701"/>
        <w:gridCol w:w="1843"/>
      </w:tblGrid>
      <w:tr w:rsidR="007C0FE7" w:rsidRPr="00C111E5" w14:paraId="17AFAFD9" w14:textId="77777777" w:rsidTr="00A91B80">
        <w:tc>
          <w:tcPr>
            <w:tcW w:w="2552" w:type="dxa"/>
            <w:tcBorders>
              <w:top w:val="single" w:sz="4" w:space="0" w:color="000000"/>
              <w:bottom w:val="single" w:sz="4" w:space="0" w:color="000000"/>
            </w:tcBorders>
            <w:shd w:val="clear" w:color="auto" w:fill="BFBFBF"/>
          </w:tcPr>
          <w:p w14:paraId="0B5E7B3C" w14:textId="77777777" w:rsidR="007C0FE7" w:rsidRPr="00C111E5" w:rsidRDefault="007C0FE7" w:rsidP="00A91B80">
            <w:pPr>
              <w:jc w:val="both"/>
              <w:rPr>
                <w:rFonts w:ascii="Garamond" w:eastAsia="Garamond" w:hAnsi="Garamond" w:cs="Garamond"/>
                <w:sz w:val="24"/>
                <w:szCs w:val="24"/>
              </w:rPr>
            </w:pPr>
            <w:r w:rsidRPr="00C111E5">
              <w:rPr>
                <w:rFonts w:ascii="Garamond" w:eastAsia="Garamond" w:hAnsi="Garamond" w:cs="Garamond"/>
                <w:sz w:val="24"/>
                <w:szCs w:val="24"/>
              </w:rPr>
              <w:t>Model Fit</w:t>
            </w:r>
          </w:p>
        </w:tc>
        <w:tc>
          <w:tcPr>
            <w:tcW w:w="2693" w:type="dxa"/>
            <w:tcBorders>
              <w:top w:val="single" w:sz="4" w:space="0" w:color="000000"/>
              <w:bottom w:val="single" w:sz="4" w:space="0" w:color="000000"/>
            </w:tcBorders>
            <w:shd w:val="clear" w:color="auto" w:fill="BFBFBF"/>
          </w:tcPr>
          <w:p w14:paraId="42AA6D29" w14:textId="77777777" w:rsidR="007C0FE7" w:rsidRPr="00C111E5" w:rsidRDefault="007C0FE7" w:rsidP="00A91B80">
            <w:pPr>
              <w:jc w:val="center"/>
              <w:rPr>
                <w:rFonts w:ascii="Garamond" w:eastAsia="Garamond" w:hAnsi="Garamond" w:cs="Garamond"/>
                <w:sz w:val="24"/>
                <w:szCs w:val="24"/>
              </w:rPr>
            </w:pPr>
            <w:r w:rsidRPr="00C111E5">
              <w:rPr>
                <w:rFonts w:ascii="Garamond" w:eastAsia="Garamond" w:hAnsi="Garamond" w:cs="Garamond"/>
                <w:sz w:val="24"/>
                <w:szCs w:val="24"/>
              </w:rPr>
              <w:t>Estimated Model</w:t>
            </w:r>
          </w:p>
        </w:tc>
        <w:tc>
          <w:tcPr>
            <w:tcW w:w="1701" w:type="dxa"/>
            <w:tcBorders>
              <w:top w:val="single" w:sz="4" w:space="0" w:color="000000"/>
              <w:bottom w:val="single" w:sz="4" w:space="0" w:color="000000"/>
            </w:tcBorders>
            <w:shd w:val="clear" w:color="auto" w:fill="BFBFBF"/>
          </w:tcPr>
          <w:p w14:paraId="1F2A98DC" w14:textId="77777777" w:rsidR="007C0FE7" w:rsidRPr="00C111E5" w:rsidRDefault="007C0FE7" w:rsidP="00A91B80">
            <w:pPr>
              <w:jc w:val="center"/>
              <w:rPr>
                <w:rFonts w:ascii="Garamond" w:eastAsia="Garamond" w:hAnsi="Garamond" w:cs="Garamond"/>
                <w:sz w:val="24"/>
                <w:szCs w:val="24"/>
              </w:rPr>
            </w:pPr>
            <w:r w:rsidRPr="00C111E5">
              <w:rPr>
                <w:rFonts w:ascii="Garamond" w:eastAsia="Garamond" w:hAnsi="Garamond" w:cs="Garamond"/>
                <w:sz w:val="24"/>
                <w:szCs w:val="24"/>
              </w:rPr>
              <w:t>Criterion</w:t>
            </w:r>
          </w:p>
        </w:tc>
        <w:tc>
          <w:tcPr>
            <w:tcW w:w="1843" w:type="dxa"/>
            <w:tcBorders>
              <w:top w:val="single" w:sz="4" w:space="0" w:color="000000"/>
              <w:bottom w:val="single" w:sz="4" w:space="0" w:color="000000"/>
            </w:tcBorders>
            <w:shd w:val="clear" w:color="auto" w:fill="BFBFBF"/>
          </w:tcPr>
          <w:p w14:paraId="4036F707" w14:textId="77777777" w:rsidR="007C0FE7" w:rsidRPr="00C111E5" w:rsidRDefault="007C0FE7" w:rsidP="00A91B80">
            <w:pPr>
              <w:jc w:val="center"/>
              <w:rPr>
                <w:rFonts w:ascii="Garamond" w:eastAsia="Garamond" w:hAnsi="Garamond" w:cs="Garamond"/>
                <w:sz w:val="24"/>
                <w:szCs w:val="24"/>
              </w:rPr>
            </w:pPr>
            <w:r w:rsidRPr="00C111E5">
              <w:rPr>
                <w:rFonts w:ascii="Garamond" w:eastAsia="Garamond" w:hAnsi="Garamond" w:cs="Garamond"/>
                <w:sz w:val="24"/>
                <w:szCs w:val="24"/>
              </w:rPr>
              <w:t>Goodness of Fit</w:t>
            </w:r>
          </w:p>
        </w:tc>
      </w:tr>
      <w:tr w:rsidR="007C0FE7" w:rsidRPr="00C111E5" w14:paraId="6D2CC5AC" w14:textId="77777777" w:rsidTr="00A91B80">
        <w:tc>
          <w:tcPr>
            <w:tcW w:w="2552" w:type="dxa"/>
            <w:tcBorders>
              <w:top w:val="single" w:sz="4" w:space="0" w:color="000000"/>
            </w:tcBorders>
          </w:tcPr>
          <w:p w14:paraId="49F9C550" w14:textId="77777777" w:rsidR="007C0FE7" w:rsidRPr="00C111E5" w:rsidRDefault="007C0FE7" w:rsidP="00A91B80">
            <w:pPr>
              <w:jc w:val="both"/>
              <w:rPr>
                <w:rFonts w:ascii="Garamond" w:eastAsia="Garamond" w:hAnsi="Garamond" w:cs="Garamond"/>
                <w:sz w:val="24"/>
                <w:szCs w:val="24"/>
              </w:rPr>
            </w:pPr>
            <w:r w:rsidRPr="00C111E5">
              <w:rPr>
                <w:rFonts w:ascii="Garamond" w:eastAsia="Garamond" w:hAnsi="Garamond" w:cs="Garamond"/>
                <w:sz w:val="24"/>
                <w:szCs w:val="24"/>
              </w:rPr>
              <w:t>RMSEA</w:t>
            </w:r>
          </w:p>
        </w:tc>
        <w:tc>
          <w:tcPr>
            <w:tcW w:w="2693" w:type="dxa"/>
            <w:tcBorders>
              <w:top w:val="single" w:sz="4" w:space="0" w:color="000000"/>
            </w:tcBorders>
          </w:tcPr>
          <w:p w14:paraId="0E1371B8" w14:textId="77777777" w:rsidR="007C0FE7" w:rsidRPr="00C111E5" w:rsidRDefault="007C0FE7" w:rsidP="00A91B80">
            <w:pPr>
              <w:jc w:val="center"/>
              <w:rPr>
                <w:rFonts w:ascii="Garamond" w:eastAsia="Garamond" w:hAnsi="Garamond" w:cs="Garamond"/>
                <w:sz w:val="24"/>
                <w:szCs w:val="24"/>
              </w:rPr>
            </w:pPr>
            <w:r w:rsidRPr="00C111E5">
              <w:rPr>
                <w:rFonts w:ascii="Garamond" w:eastAsia="Garamond" w:hAnsi="Garamond" w:cs="Garamond"/>
                <w:color w:val="FF0000"/>
                <w:sz w:val="24"/>
                <w:szCs w:val="24"/>
              </w:rPr>
              <w:t>0.130</w:t>
            </w:r>
          </w:p>
        </w:tc>
        <w:tc>
          <w:tcPr>
            <w:tcW w:w="1701" w:type="dxa"/>
            <w:tcBorders>
              <w:top w:val="single" w:sz="4" w:space="0" w:color="000000"/>
            </w:tcBorders>
          </w:tcPr>
          <w:p w14:paraId="1AFE69A7" w14:textId="77777777" w:rsidR="007C0FE7" w:rsidRPr="00C111E5" w:rsidRDefault="007C0FE7" w:rsidP="00A91B80">
            <w:pPr>
              <w:ind w:left="460"/>
              <w:rPr>
                <w:rFonts w:ascii="Garamond" w:eastAsia="Garamond" w:hAnsi="Garamond" w:cs="Garamond"/>
                <w:sz w:val="24"/>
                <w:szCs w:val="24"/>
              </w:rPr>
            </w:pPr>
            <w:r w:rsidRPr="00C111E5">
              <w:rPr>
                <w:rFonts w:ascii="Garamond" w:eastAsia="Garamond" w:hAnsi="Garamond" w:cs="Garamond"/>
                <w:sz w:val="24"/>
                <w:szCs w:val="24"/>
              </w:rPr>
              <w:t>&lt; 0.08</w:t>
            </w:r>
          </w:p>
        </w:tc>
        <w:tc>
          <w:tcPr>
            <w:tcW w:w="1843" w:type="dxa"/>
            <w:tcBorders>
              <w:top w:val="single" w:sz="4" w:space="0" w:color="000000"/>
            </w:tcBorders>
          </w:tcPr>
          <w:p w14:paraId="2D27DBEC" w14:textId="77777777" w:rsidR="007C0FE7" w:rsidRPr="00C111E5" w:rsidRDefault="007C0FE7" w:rsidP="00A91B80">
            <w:pPr>
              <w:jc w:val="center"/>
              <w:rPr>
                <w:rFonts w:ascii="Garamond" w:eastAsia="Garamond" w:hAnsi="Garamond" w:cs="Garamond"/>
                <w:sz w:val="24"/>
                <w:szCs w:val="24"/>
              </w:rPr>
            </w:pPr>
            <w:r w:rsidRPr="00C111E5">
              <w:rPr>
                <w:rFonts w:ascii="Garamond" w:eastAsia="Garamond" w:hAnsi="Garamond" w:cs="Garamond"/>
                <w:sz w:val="24"/>
                <w:szCs w:val="24"/>
              </w:rPr>
              <w:t>Considerable</w:t>
            </w:r>
          </w:p>
        </w:tc>
      </w:tr>
      <w:tr w:rsidR="007C0FE7" w:rsidRPr="00C111E5" w14:paraId="3E60FC5D" w14:textId="77777777" w:rsidTr="00A91B80">
        <w:tc>
          <w:tcPr>
            <w:tcW w:w="2552" w:type="dxa"/>
          </w:tcPr>
          <w:p w14:paraId="69A848A0" w14:textId="77777777" w:rsidR="007C0FE7" w:rsidRPr="00C111E5" w:rsidRDefault="007C0FE7" w:rsidP="00A91B80">
            <w:pPr>
              <w:jc w:val="both"/>
              <w:rPr>
                <w:rFonts w:ascii="Garamond" w:eastAsia="Garamond" w:hAnsi="Garamond" w:cs="Garamond"/>
                <w:sz w:val="24"/>
                <w:szCs w:val="24"/>
              </w:rPr>
            </w:pPr>
            <w:r w:rsidRPr="00C111E5">
              <w:rPr>
                <w:rFonts w:ascii="Garamond" w:eastAsia="Garamond" w:hAnsi="Garamond" w:cs="Garamond"/>
                <w:sz w:val="24"/>
                <w:szCs w:val="24"/>
              </w:rPr>
              <w:t>NFI</w:t>
            </w:r>
          </w:p>
        </w:tc>
        <w:tc>
          <w:tcPr>
            <w:tcW w:w="2693" w:type="dxa"/>
          </w:tcPr>
          <w:p w14:paraId="77F706C0" w14:textId="77777777" w:rsidR="007C0FE7" w:rsidRPr="00C111E5" w:rsidRDefault="007C0FE7" w:rsidP="00A91B80">
            <w:pPr>
              <w:jc w:val="center"/>
              <w:rPr>
                <w:rFonts w:ascii="Garamond" w:eastAsia="Garamond" w:hAnsi="Garamond" w:cs="Garamond"/>
                <w:color w:val="00B050"/>
                <w:sz w:val="24"/>
                <w:szCs w:val="24"/>
              </w:rPr>
            </w:pPr>
            <w:r w:rsidRPr="00C111E5">
              <w:rPr>
                <w:rFonts w:ascii="Garamond" w:eastAsia="Garamond" w:hAnsi="Garamond" w:cs="Garamond"/>
                <w:color w:val="00B050"/>
                <w:sz w:val="24"/>
                <w:szCs w:val="24"/>
              </w:rPr>
              <w:t>0.945</w:t>
            </w:r>
          </w:p>
        </w:tc>
        <w:tc>
          <w:tcPr>
            <w:tcW w:w="1701" w:type="dxa"/>
          </w:tcPr>
          <w:p w14:paraId="5ACAF1C7" w14:textId="77777777" w:rsidR="007C0FE7" w:rsidRPr="00C111E5" w:rsidRDefault="007C0FE7" w:rsidP="00A91B80">
            <w:pPr>
              <w:ind w:left="460"/>
              <w:rPr>
                <w:rFonts w:ascii="Garamond" w:eastAsia="Garamond" w:hAnsi="Garamond" w:cs="Garamond"/>
                <w:sz w:val="24"/>
                <w:szCs w:val="24"/>
              </w:rPr>
            </w:pPr>
            <w:r w:rsidRPr="00C111E5">
              <w:rPr>
                <w:rFonts w:ascii="Garamond" w:eastAsia="Garamond" w:hAnsi="Garamond" w:cs="Garamond"/>
                <w:sz w:val="24"/>
                <w:szCs w:val="24"/>
              </w:rPr>
              <w:t>&gt; 0.90</w:t>
            </w:r>
          </w:p>
        </w:tc>
        <w:tc>
          <w:tcPr>
            <w:tcW w:w="1843" w:type="dxa"/>
          </w:tcPr>
          <w:p w14:paraId="36AA4D37" w14:textId="77777777" w:rsidR="007C0FE7" w:rsidRPr="00C111E5" w:rsidRDefault="007C0FE7" w:rsidP="00A91B80">
            <w:pPr>
              <w:jc w:val="center"/>
              <w:rPr>
                <w:rFonts w:ascii="Garamond" w:eastAsia="Garamond" w:hAnsi="Garamond" w:cs="Garamond"/>
                <w:sz w:val="24"/>
                <w:szCs w:val="24"/>
              </w:rPr>
            </w:pPr>
            <w:r w:rsidRPr="00C111E5">
              <w:rPr>
                <w:rFonts w:ascii="Garamond" w:eastAsia="Garamond" w:hAnsi="Garamond" w:cs="Garamond"/>
                <w:sz w:val="24"/>
                <w:szCs w:val="24"/>
              </w:rPr>
              <w:t>Fit</w:t>
            </w:r>
          </w:p>
        </w:tc>
      </w:tr>
      <w:tr w:rsidR="007C0FE7" w:rsidRPr="00C111E5" w14:paraId="714165F5" w14:textId="77777777" w:rsidTr="00A91B80">
        <w:tc>
          <w:tcPr>
            <w:tcW w:w="2552" w:type="dxa"/>
          </w:tcPr>
          <w:p w14:paraId="29BE5D45" w14:textId="77777777" w:rsidR="007C0FE7" w:rsidRPr="00C111E5" w:rsidRDefault="007C0FE7" w:rsidP="00A91B80">
            <w:pPr>
              <w:jc w:val="both"/>
              <w:rPr>
                <w:rFonts w:ascii="Garamond" w:eastAsia="Garamond" w:hAnsi="Garamond" w:cs="Garamond"/>
                <w:sz w:val="24"/>
                <w:szCs w:val="24"/>
              </w:rPr>
            </w:pPr>
            <w:r w:rsidRPr="00C111E5">
              <w:rPr>
                <w:rFonts w:ascii="Garamond" w:eastAsia="Garamond" w:hAnsi="Garamond" w:cs="Garamond"/>
                <w:sz w:val="24"/>
                <w:szCs w:val="24"/>
              </w:rPr>
              <w:t>TLI</w:t>
            </w:r>
          </w:p>
        </w:tc>
        <w:tc>
          <w:tcPr>
            <w:tcW w:w="2693" w:type="dxa"/>
          </w:tcPr>
          <w:p w14:paraId="070CDF9C" w14:textId="77777777" w:rsidR="007C0FE7" w:rsidRPr="00C111E5" w:rsidRDefault="007C0FE7" w:rsidP="00A91B80">
            <w:pPr>
              <w:jc w:val="center"/>
              <w:rPr>
                <w:rFonts w:ascii="Garamond" w:eastAsia="Garamond" w:hAnsi="Garamond" w:cs="Garamond"/>
                <w:color w:val="00B050"/>
                <w:sz w:val="24"/>
                <w:szCs w:val="24"/>
              </w:rPr>
            </w:pPr>
            <w:r w:rsidRPr="00C111E5">
              <w:rPr>
                <w:rFonts w:ascii="Garamond" w:eastAsia="Garamond" w:hAnsi="Garamond" w:cs="Garamond"/>
                <w:color w:val="00B050"/>
                <w:sz w:val="24"/>
                <w:szCs w:val="24"/>
              </w:rPr>
              <w:t>0.936</w:t>
            </w:r>
          </w:p>
        </w:tc>
        <w:tc>
          <w:tcPr>
            <w:tcW w:w="1701" w:type="dxa"/>
          </w:tcPr>
          <w:p w14:paraId="13EB1859" w14:textId="77777777" w:rsidR="007C0FE7" w:rsidRPr="00C111E5" w:rsidRDefault="007C0FE7" w:rsidP="00A91B80">
            <w:pPr>
              <w:ind w:left="460"/>
              <w:rPr>
                <w:rFonts w:ascii="Garamond" w:eastAsia="Garamond" w:hAnsi="Garamond" w:cs="Garamond"/>
                <w:sz w:val="24"/>
                <w:szCs w:val="24"/>
              </w:rPr>
            </w:pPr>
            <w:r w:rsidRPr="00C111E5">
              <w:rPr>
                <w:rFonts w:ascii="Garamond" w:eastAsia="Garamond" w:hAnsi="Garamond" w:cs="Garamond"/>
                <w:sz w:val="24"/>
                <w:szCs w:val="24"/>
              </w:rPr>
              <w:t>&gt; 0.90</w:t>
            </w:r>
          </w:p>
        </w:tc>
        <w:tc>
          <w:tcPr>
            <w:tcW w:w="1843" w:type="dxa"/>
          </w:tcPr>
          <w:p w14:paraId="3D11DC68" w14:textId="77777777" w:rsidR="007C0FE7" w:rsidRPr="00C111E5" w:rsidRDefault="007C0FE7" w:rsidP="00A91B80">
            <w:pPr>
              <w:jc w:val="center"/>
              <w:rPr>
                <w:rFonts w:ascii="Garamond" w:eastAsia="Garamond" w:hAnsi="Garamond" w:cs="Garamond"/>
                <w:sz w:val="24"/>
                <w:szCs w:val="24"/>
              </w:rPr>
            </w:pPr>
            <w:r w:rsidRPr="00C111E5">
              <w:rPr>
                <w:rFonts w:ascii="Garamond" w:eastAsia="Garamond" w:hAnsi="Garamond" w:cs="Garamond"/>
                <w:sz w:val="24"/>
                <w:szCs w:val="24"/>
              </w:rPr>
              <w:t>Fit</w:t>
            </w:r>
          </w:p>
        </w:tc>
      </w:tr>
      <w:tr w:rsidR="007C0FE7" w:rsidRPr="00C111E5" w14:paraId="50A1E60E" w14:textId="77777777" w:rsidTr="00A91B80">
        <w:tc>
          <w:tcPr>
            <w:tcW w:w="2552" w:type="dxa"/>
          </w:tcPr>
          <w:p w14:paraId="74F16295" w14:textId="77777777" w:rsidR="007C0FE7" w:rsidRPr="00C111E5" w:rsidRDefault="007C0FE7" w:rsidP="00A91B80">
            <w:pPr>
              <w:jc w:val="both"/>
              <w:rPr>
                <w:rFonts w:ascii="Garamond" w:eastAsia="Garamond" w:hAnsi="Garamond" w:cs="Garamond"/>
                <w:sz w:val="24"/>
                <w:szCs w:val="24"/>
              </w:rPr>
            </w:pPr>
            <w:r w:rsidRPr="00C111E5">
              <w:rPr>
                <w:rFonts w:ascii="Garamond" w:eastAsia="Garamond" w:hAnsi="Garamond" w:cs="Garamond"/>
                <w:sz w:val="24"/>
                <w:szCs w:val="24"/>
              </w:rPr>
              <w:t>CFI</w:t>
            </w:r>
          </w:p>
        </w:tc>
        <w:tc>
          <w:tcPr>
            <w:tcW w:w="2693" w:type="dxa"/>
          </w:tcPr>
          <w:p w14:paraId="6B5FF49F" w14:textId="77777777" w:rsidR="007C0FE7" w:rsidRPr="00C111E5" w:rsidRDefault="007C0FE7" w:rsidP="00A91B80">
            <w:pPr>
              <w:jc w:val="center"/>
              <w:rPr>
                <w:rFonts w:ascii="Garamond" w:eastAsia="Garamond" w:hAnsi="Garamond" w:cs="Garamond"/>
                <w:color w:val="00B050"/>
                <w:sz w:val="24"/>
                <w:szCs w:val="24"/>
              </w:rPr>
            </w:pPr>
            <w:r w:rsidRPr="00C111E5">
              <w:rPr>
                <w:rFonts w:ascii="Garamond" w:eastAsia="Garamond" w:hAnsi="Garamond" w:cs="Garamond"/>
                <w:color w:val="00B050"/>
                <w:sz w:val="24"/>
                <w:szCs w:val="24"/>
              </w:rPr>
              <w:t>0.962</w:t>
            </w:r>
          </w:p>
        </w:tc>
        <w:tc>
          <w:tcPr>
            <w:tcW w:w="1701" w:type="dxa"/>
          </w:tcPr>
          <w:p w14:paraId="5B3879C3" w14:textId="77777777" w:rsidR="007C0FE7" w:rsidRPr="00C111E5" w:rsidRDefault="007C0FE7" w:rsidP="00A91B80">
            <w:pPr>
              <w:ind w:left="460"/>
              <w:rPr>
                <w:rFonts w:ascii="Garamond" w:eastAsia="Garamond" w:hAnsi="Garamond" w:cs="Garamond"/>
                <w:sz w:val="24"/>
                <w:szCs w:val="24"/>
              </w:rPr>
            </w:pPr>
            <w:r w:rsidRPr="00C111E5">
              <w:rPr>
                <w:rFonts w:ascii="Garamond" w:eastAsia="Garamond" w:hAnsi="Garamond" w:cs="Garamond"/>
                <w:sz w:val="24"/>
                <w:szCs w:val="24"/>
              </w:rPr>
              <w:t>&gt; 0.90</w:t>
            </w:r>
          </w:p>
        </w:tc>
        <w:tc>
          <w:tcPr>
            <w:tcW w:w="1843" w:type="dxa"/>
          </w:tcPr>
          <w:p w14:paraId="20A40D60" w14:textId="77777777" w:rsidR="007C0FE7" w:rsidRPr="00C111E5" w:rsidRDefault="007C0FE7" w:rsidP="00A91B80">
            <w:pPr>
              <w:jc w:val="center"/>
              <w:rPr>
                <w:rFonts w:ascii="Garamond" w:eastAsia="Garamond" w:hAnsi="Garamond" w:cs="Garamond"/>
                <w:sz w:val="24"/>
                <w:szCs w:val="24"/>
              </w:rPr>
            </w:pPr>
            <w:r w:rsidRPr="00C111E5">
              <w:rPr>
                <w:rFonts w:ascii="Garamond" w:eastAsia="Garamond" w:hAnsi="Garamond" w:cs="Garamond"/>
                <w:sz w:val="24"/>
                <w:szCs w:val="24"/>
              </w:rPr>
              <w:t>Fit</w:t>
            </w:r>
          </w:p>
        </w:tc>
      </w:tr>
      <w:tr w:rsidR="007C0FE7" w:rsidRPr="00C111E5" w14:paraId="51A433FA" w14:textId="77777777" w:rsidTr="00A91B80">
        <w:tc>
          <w:tcPr>
            <w:tcW w:w="2552" w:type="dxa"/>
            <w:tcBorders>
              <w:bottom w:val="nil"/>
            </w:tcBorders>
          </w:tcPr>
          <w:p w14:paraId="6E037A2E" w14:textId="77777777" w:rsidR="007C0FE7" w:rsidRPr="00C111E5" w:rsidRDefault="007C0FE7" w:rsidP="00A91B80">
            <w:pPr>
              <w:jc w:val="both"/>
              <w:rPr>
                <w:rFonts w:ascii="Garamond" w:eastAsia="Garamond" w:hAnsi="Garamond" w:cs="Garamond"/>
                <w:sz w:val="24"/>
                <w:szCs w:val="24"/>
              </w:rPr>
            </w:pPr>
            <w:r w:rsidRPr="00C111E5">
              <w:rPr>
                <w:rFonts w:ascii="Garamond" w:eastAsia="Garamond" w:hAnsi="Garamond" w:cs="Garamond"/>
                <w:sz w:val="24"/>
                <w:szCs w:val="24"/>
              </w:rPr>
              <w:t>SRMR</w:t>
            </w:r>
          </w:p>
        </w:tc>
        <w:tc>
          <w:tcPr>
            <w:tcW w:w="2693" w:type="dxa"/>
            <w:tcBorders>
              <w:bottom w:val="nil"/>
            </w:tcBorders>
          </w:tcPr>
          <w:p w14:paraId="16732169" w14:textId="77777777" w:rsidR="007C0FE7" w:rsidRPr="00C111E5" w:rsidRDefault="007C0FE7" w:rsidP="00A91B80">
            <w:pPr>
              <w:jc w:val="center"/>
              <w:rPr>
                <w:rFonts w:ascii="Garamond" w:eastAsia="Garamond" w:hAnsi="Garamond" w:cs="Garamond"/>
                <w:color w:val="00B050"/>
                <w:sz w:val="24"/>
                <w:szCs w:val="24"/>
              </w:rPr>
            </w:pPr>
            <w:r w:rsidRPr="00C111E5">
              <w:rPr>
                <w:rFonts w:ascii="Garamond" w:eastAsia="Garamond" w:hAnsi="Garamond" w:cs="Garamond"/>
                <w:color w:val="00B050"/>
                <w:sz w:val="24"/>
                <w:szCs w:val="24"/>
              </w:rPr>
              <w:t>0.038</w:t>
            </w:r>
          </w:p>
        </w:tc>
        <w:tc>
          <w:tcPr>
            <w:tcW w:w="1701" w:type="dxa"/>
            <w:tcBorders>
              <w:bottom w:val="nil"/>
            </w:tcBorders>
          </w:tcPr>
          <w:p w14:paraId="59D585CC" w14:textId="77777777" w:rsidR="007C0FE7" w:rsidRPr="00C111E5" w:rsidRDefault="007C0FE7" w:rsidP="00A91B80">
            <w:pPr>
              <w:ind w:left="460"/>
              <w:rPr>
                <w:rFonts w:ascii="Garamond" w:eastAsia="Garamond" w:hAnsi="Garamond" w:cs="Garamond"/>
                <w:sz w:val="24"/>
                <w:szCs w:val="24"/>
              </w:rPr>
            </w:pPr>
            <w:r w:rsidRPr="00C111E5">
              <w:rPr>
                <w:rFonts w:ascii="Garamond" w:eastAsia="Garamond" w:hAnsi="Garamond" w:cs="Garamond"/>
                <w:sz w:val="24"/>
                <w:szCs w:val="24"/>
              </w:rPr>
              <w:t>&lt; 0.05</w:t>
            </w:r>
          </w:p>
        </w:tc>
        <w:tc>
          <w:tcPr>
            <w:tcW w:w="1843" w:type="dxa"/>
            <w:tcBorders>
              <w:bottom w:val="nil"/>
            </w:tcBorders>
          </w:tcPr>
          <w:p w14:paraId="6F7AB5FA" w14:textId="77777777" w:rsidR="007C0FE7" w:rsidRPr="00C111E5" w:rsidRDefault="007C0FE7" w:rsidP="00A91B80">
            <w:pPr>
              <w:jc w:val="center"/>
              <w:rPr>
                <w:rFonts w:ascii="Garamond" w:eastAsia="Garamond" w:hAnsi="Garamond" w:cs="Garamond"/>
                <w:sz w:val="24"/>
                <w:szCs w:val="24"/>
              </w:rPr>
            </w:pPr>
            <w:r w:rsidRPr="00C111E5">
              <w:rPr>
                <w:rFonts w:ascii="Garamond" w:eastAsia="Garamond" w:hAnsi="Garamond" w:cs="Garamond"/>
                <w:sz w:val="24"/>
                <w:szCs w:val="24"/>
              </w:rPr>
              <w:t>Fit</w:t>
            </w:r>
          </w:p>
        </w:tc>
      </w:tr>
      <w:tr w:rsidR="007C0FE7" w:rsidRPr="00C111E5" w14:paraId="66AAF521" w14:textId="77777777" w:rsidTr="00A91B80">
        <w:tc>
          <w:tcPr>
            <w:tcW w:w="2552" w:type="dxa"/>
            <w:tcBorders>
              <w:top w:val="nil"/>
              <w:bottom w:val="single" w:sz="4" w:space="0" w:color="000000"/>
            </w:tcBorders>
          </w:tcPr>
          <w:p w14:paraId="236AD6EA" w14:textId="77777777" w:rsidR="007C0FE7" w:rsidRPr="00C111E5" w:rsidRDefault="007C0FE7" w:rsidP="00A91B80">
            <w:pPr>
              <w:jc w:val="both"/>
              <w:rPr>
                <w:rFonts w:ascii="Garamond" w:eastAsia="Garamond" w:hAnsi="Garamond" w:cs="Garamond"/>
                <w:sz w:val="24"/>
                <w:szCs w:val="24"/>
              </w:rPr>
            </w:pPr>
            <w:r w:rsidRPr="00C111E5">
              <w:rPr>
                <w:rFonts w:ascii="Garamond" w:eastAsia="Garamond" w:hAnsi="Garamond" w:cs="Garamond"/>
                <w:sz w:val="24"/>
                <w:szCs w:val="24"/>
              </w:rPr>
              <w:t>Chi Square/</w:t>
            </w:r>
            <w:proofErr w:type="spellStart"/>
            <w:r w:rsidRPr="00C111E5">
              <w:rPr>
                <w:rFonts w:ascii="Garamond" w:eastAsia="Garamond" w:hAnsi="Garamond" w:cs="Garamond"/>
                <w:sz w:val="24"/>
                <w:szCs w:val="24"/>
              </w:rPr>
              <w:t>df</w:t>
            </w:r>
            <w:proofErr w:type="spellEnd"/>
          </w:p>
        </w:tc>
        <w:tc>
          <w:tcPr>
            <w:tcW w:w="2693" w:type="dxa"/>
            <w:tcBorders>
              <w:top w:val="nil"/>
              <w:bottom w:val="single" w:sz="4" w:space="0" w:color="000000"/>
            </w:tcBorders>
          </w:tcPr>
          <w:p w14:paraId="54C3815C" w14:textId="77777777" w:rsidR="007C0FE7" w:rsidRPr="00C111E5" w:rsidRDefault="007C0FE7" w:rsidP="00A91B80">
            <w:pPr>
              <w:jc w:val="center"/>
              <w:rPr>
                <w:rFonts w:ascii="Garamond" w:eastAsia="Garamond" w:hAnsi="Garamond" w:cs="Garamond"/>
                <w:color w:val="00B050"/>
                <w:sz w:val="24"/>
                <w:szCs w:val="24"/>
              </w:rPr>
            </w:pPr>
            <w:r w:rsidRPr="00C111E5">
              <w:rPr>
                <w:rFonts w:ascii="Garamond" w:eastAsia="Garamond" w:hAnsi="Garamond" w:cs="Garamond"/>
                <w:color w:val="00B050"/>
                <w:sz w:val="24"/>
                <w:szCs w:val="24"/>
              </w:rPr>
              <w:t>3.000</w:t>
            </w:r>
          </w:p>
        </w:tc>
        <w:tc>
          <w:tcPr>
            <w:tcW w:w="1701" w:type="dxa"/>
            <w:tcBorders>
              <w:top w:val="nil"/>
              <w:bottom w:val="single" w:sz="4" w:space="0" w:color="000000"/>
            </w:tcBorders>
          </w:tcPr>
          <w:p w14:paraId="6B4682A8" w14:textId="77777777" w:rsidR="007C0FE7" w:rsidRPr="00C111E5" w:rsidRDefault="007C0FE7" w:rsidP="00A91B80">
            <w:pPr>
              <w:ind w:left="460"/>
              <w:rPr>
                <w:rFonts w:ascii="Garamond" w:eastAsia="Garamond" w:hAnsi="Garamond" w:cs="Garamond"/>
                <w:sz w:val="24"/>
                <w:szCs w:val="24"/>
              </w:rPr>
            </w:pPr>
            <w:r w:rsidRPr="00C111E5">
              <w:rPr>
                <w:rFonts w:ascii="Garamond" w:eastAsia="Garamond" w:hAnsi="Garamond" w:cs="Garamond"/>
                <w:sz w:val="24"/>
                <w:szCs w:val="24"/>
              </w:rPr>
              <w:t>&lt; 3</w:t>
            </w:r>
          </w:p>
        </w:tc>
        <w:tc>
          <w:tcPr>
            <w:tcW w:w="1843" w:type="dxa"/>
            <w:tcBorders>
              <w:top w:val="nil"/>
              <w:bottom w:val="single" w:sz="4" w:space="0" w:color="000000"/>
            </w:tcBorders>
          </w:tcPr>
          <w:p w14:paraId="0B0F57E0" w14:textId="77777777" w:rsidR="007C0FE7" w:rsidRPr="00C111E5" w:rsidRDefault="007C0FE7" w:rsidP="00A91B80">
            <w:pPr>
              <w:jc w:val="center"/>
              <w:rPr>
                <w:rFonts w:ascii="Garamond" w:eastAsia="Garamond" w:hAnsi="Garamond" w:cs="Garamond"/>
                <w:sz w:val="24"/>
                <w:szCs w:val="24"/>
              </w:rPr>
            </w:pPr>
            <w:r w:rsidRPr="00C111E5">
              <w:rPr>
                <w:rFonts w:ascii="Garamond" w:eastAsia="Garamond" w:hAnsi="Garamond" w:cs="Garamond"/>
                <w:sz w:val="24"/>
                <w:szCs w:val="24"/>
              </w:rPr>
              <w:t>Fit</w:t>
            </w:r>
          </w:p>
        </w:tc>
      </w:tr>
    </w:tbl>
    <w:p w14:paraId="478ADB23" w14:textId="77777777" w:rsidR="007C0FE7" w:rsidRPr="007C0FE7" w:rsidRDefault="007C0FE7" w:rsidP="007C0FE7">
      <w:pPr>
        <w:pStyle w:val="Alishlah21heading1"/>
        <w:numPr>
          <w:ilvl w:val="0"/>
          <w:numId w:val="0"/>
        </w:numPr>
        <w:ind w:firstLine="567"/>
        <w:jc w:val="both"/>
        <w:rPr>
          <w:rFonts w:eastAsia="Garamond"/>
          <w:b w:val="0"/>
          <w:bCs/>
        </w:rPr>
      </w:pPr>
      <w:r w:rsidRPr="007C0FE7">
        <w:rPr>
          <w:rFonts w:eastAsia="Garamond"/>
          <w:b w:val="0"/>
          <w:bCs/>
        </w:rPr>
        <w:t xml:space="preserve">The final stage is to review the Goodness of Fit of the measurement model. Hox &amp; </w:t>
      </w:r>
      <w:proofErr w:type="spellStart"/>
      <w:r w:rsidRPr="007C0FE7">
        <w:rPr>
          <w:rFonts w:eastAsia="Garamond"/>
          <w:b w:val="0"/>
          <w:bCs/>
        </w:rPr>
        <w:t>Bechger</w:t>
      </w:r>
      <w:proofErr w:type="spellEnd"/>
      <w:r w:rsidRPr="007C0FE7">
        <w:rPr>
          <w:rFonts w:eastAsia="Garamond"/>
          <w:b w:val="0"/>
          <w:bCs/>
        </w:rPr>
        <w:t xml:space="preserve"> </w:t>
      </w:r>
      <w:r w:rsidRPr="007C0FE7">
        <w:rPr>
          <w:rFonts w:eastAsia="Garamond"/>
          <w:b w:val="0"/>
          <w:bCs/>
        </w:rPr>
        <w:fldChar w:fldCharType="begin" w:fldLock="1"/>
      </w:r>
      <w:r w:rsidRPr="007C0FE7">
        <w:rPr>
          <w:rFonts w:eastAsia="Garamond"/>
          <w:b w:val="0"/>
          <w:bCs/>
        </w:rPr>
        <w:instrText>ADDIN CSL_CITATION {"citationItems":[{"id":"ITEM-1","itemData":{"author":[{"dropping-particle":"","family":"Hox","given":"J.J.","non-dropping-particle":"","parse-names":false,"suffix":""},{"dropping-particle":"","family":"Bechger","given":"T.M.","non-dropping-particle":"","parse-names":false,"suffix":""}],"editor":[{"dropping-particle":"","family":"Niels","given":"J. Blunch","non-dropping-particle":"","parse-names":false,"suffix":""}],"id":"ITEM-1","issued":{"date-parts":[["2008"]]},"publisher":"Sage Pub.","publisher-place":"Thousand Oaks","title":"Introduction to Structural Equation Modeling Using SPSS and AMOS","type":"book"},"suppress-author":1,"uris":["http://www.mendeley.com/documents/?uuid=740d1d2e-f9dc-4a2b-8e63-cf386a1da5db"]}],"mendeley":{"formattedCitation":"(2008)","plainTextFormattedCitation":"(2008)","previouslyFormattedCitation":"(2008)"},"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(2008)</w:t>
      </w:r>
      <w:r w:rsidRPr="007C0FE7">
        <w:rPr>
          <w:rFonts w:eastAsia="Garamond"/>
          <w:b w:val="0"/>
          <w:bCs/>
        </w:rPr>
        <w:fldChar w:fldCharType="end"/>
      </w:r>
      <w:r w:rsidRPr="007C0FE7">
        <w:rPr>
          <w:rFonts w:eastAsia="Garamond"/>
          <w:b w:val="0"/>
          <w:bCs/>
        </w:rPr>
        <w:t xml:space="preserve"> explain the criteria for Goodness of Fit, including:  (1) The RMSEA value must be less than 0.08. Meanwhile, the estimated model value in this study is 0.130. The RMSEA value is greatly influenced by the number of samples, see </w:t>
      </w:r>
    </w:p>
    <w:p w14:paraId="3505B9FD" w14:textId="77777777" w:rsidR="007C0FE7" w:rsidRPr="00C111E5" w:rsidRDefault="007C0FE7" w:rsidP="007C0FE7">
      <w:pPr>
        <w:pStyle w:val="Alishlah21heading1"/>
        <w:numPr>
          <w:ilvl w:val="0"/>
          <w:numId w:val="0"/>
        </w:numPr>
        <w:ind w:left="360"/>
        <w:jc w:val="center"/>
        <w:rPr>
          <w:rFonts w:eastAsia="Garamond"/>
        </w:rPr>
      </w:pPr>
      <m:oMath>
        <m:acc>
          <m:accPr>
            <m:ctrlPr>
              <w:rPr>
                <w:rFonts w:ascii="Cambria Math" w:eastAsia="Cambria Math" w:hAnsi="Cambria Math" w:cs="Cambria Math"/>
              </w:rPr>
            </m:ctrlPr>
          </m:accPr>
          <m:e>
            <m:r>
              <m:rPr>
                <m:sty m:val="bi"/>
              </m:rPr>
              <w:rPr>
                <w:rFonts w:ascii="Cambria Math" w:eastAsia="Cambria Math" w:hAnsi="Cambria Math" w:cs="Cambria Math"/>
              </w:rPr>
              <m:t>RMSEA</m:t>
            </m:r>
          </m:e>
        </m:acc>
        <m:r>
          <m:rPr>
            <m:sty m:val="bi"/>
          </m:rPr>
          <w:rPr>
            <w:rFonts w:ascii="Cambria Math" w:eastAsia="Cambria Math" w:hAnsi="Cambria Math" w:cs="Cambria Math"/>
          </w:rPr>
          <m:t>=</m:t>
        </m:r>
        <m:rad>
          <m:radPr>
            <m:degHide m:val="1"/>
            <m:ctrlPr>
              <w:rPr>
                <w:rFonts w:ascii="Cambria Math" w:eastAsia="Cambria Math" w:hAnsi="Cambria Math" w:cs="Cambria Math"/>
              </w:rPr>
            </m:ctrlPr>
          </m:radPr>
          <m:deg/>
          <m:e>
            <m:f>
              <m:fPr>
                <m:ctrlPr>
                  <w:rPr>
                    <w:rFonts w:ascii="Cambria Math" w:eastAsia="Cambria Math" w:hAnsi="Cambria Math" w:cs="Cambria Math"/>
                  </w:rPr>
                </m:ctrlPr>
              </m:fPr>
              <m:num>
                <m:r>
                  <m:rPr>
                    <m:sty m:val="bi"/>
                  </m:rPr>
                  <w:rPr>
                    <w:rFonts w:ascii="Cambria Math" w:eastAsia="Cambria Math" w:hAnsi="Cambria Math" w:cs="Cambria Math"/>
                  </w:rPr>
                  <m:t>max⁡(</m:t>
                </m:r>
                <m:sSup>
                  <m:sSupPr>
                    <m:ctrlPr>
                      <w:rPr>
                        <w:rFonts w:ascii="Cambria Math" w:eastAsia="Cambria Math" w:hAnsi="Cambria Math" w:cs="Cambria Math"/>
                      </w:rPr>
                    </m:ctrlPr>
                  </m:sSupPr>
                  <m:e>
                    <m:r>
                      <m:rPr>
                        <m:sty m:val="bi"/>
                      </m:rPr>
                      <w:rPr>
                        <w:rFonts w:ascii="Cambria Math" w:eastAsia="Cambria Math" w:hAnsi="Cambria Math" w:cs="Cambria Math"/>
                      </w:rPr>
                      <m:t>χ</m:t>
                    </m:r>
                  </m:e>
                  <m:sup>
                    <m:r>
                      <m:rPr>
                        <m:sty m:val="bi"/>
                      </m:rPr>
                      <w:rPr>
                        <w:rFonts w:ascii="Cambria Math" w:eastAsia="Cambria Math" w:hAnsi="Cambria Math" w:cs="Cambria Math"/>
                      </w:rPr>
                      <m:t>2</m:t>
                    </m:r>
                  </m:sup>
                </m:sSup>
                <m:r>
                  <m:rPr>
                    <m:sty m:val="bi"/>
                  </m:rPr>
                  <w:rPr>
                    <w:rFonts w:ascii="Cambria Math" w:eastAsia="Cambria Math" w:hAnsi="Cambria Math" w:cs="Cambria Math"/>
                  </w:rPr>
                  <m:t>-df,0)</m:t>
                </m:r>
              </m:num>
              <m:den>
                <m:r>
                  <m:rPr>
                    <m:sty m:val="bi"/>
                  </m:rPr>
                  <w:rPr>
                    <w:rFonts w:ascii="Cambria Math" w:eastAsia="Cambria Math" w:hAnsi="Cambria Math" w:cs="Cambria Math"/>
                  </w:rPr>
                  <m:t>df(N-1)</m:t>
                </m:r>
              </m:den>
            </m:f>
          </m:e>
        </m:rad>
      </m:oMath>
      <w:r w:rsidRPr="00C111E5">
        <w:rPr>
          <w:rFonts w:eastAsia="Garamond"/>
        </w:rPr>
        <w:t xml:space="preserve"> </w:t>
      </w:r>
      <w:r w:rsidRPr="00C111E5">
        <w:rPr>
          <w:rFonts w:eastAsia="Garamond"/>
        </w:rPr>
        <w:fldChar w:fldCharType="begin" w:fldLock="1"/>
      </w:r>
      <w:r w:rsidRPr="00C111E5">
        <w:rPr>
          <w:rFonts w:eastAsia="Garamond"/>
        </w:rPr>
        <w:instrText>ADDIN CSL_CITATION {"citationItems":[{"id":"ITEM-1","itemData":{"DOI":"10.1177/0013164418783530","ISSN":"15523888","abstract":"This study investigated the effect the number of observed variables (p) has on three structural equation modeling indices: the comparative fit index (CFI), the Tucker–Lewis index (TLI), and the root mean square error of approximation (RMSEA). The behaviors of the population fit indices and their sample estimates were compared under various conditions created by manipulating the number of observed variables, the types of model misspecification, the sample size, and the magnitude of factor loadings. The results showed that the effect of p on the population CFI and TLI depended on the type of specification error, whereas a higher p was associated with lower values of the population RMSEA regardless of the type of model misspecification. In finite samples, all three fit indices tended to yield estimates that suggested a worse fit than their population counterparts, which was more pronounced with a smaller sample size, higher p, and lower factor loading.","author":[{"dropping-particle":"","family":"Shi","given":"Dexin","non-dropping-particle":"","parse-names":false,"suffix":""},{"dropping-particle":"","family":"Lee","given":"Taehun","non-dropping-particle":"","parse-names":false,"suffix":""},{"dropping-particle":"","family":"Maydeu-Olivares","given":"Alberto","non-dropping-particle":"","parse-names":false,"suffix":""}],"container-title":"Educational and Psychological Measurement","id":"ITEM-1","issue":"2","issued":{"date-parts":[["2019"]]},"page":"310-334","title":"Understanding the Model Size Effect on SEM Fit Indices","type":"article-journal","volume":"79"},"locator":"313","uris":["http://www.mendeley.com/documents/?uuid=1cefca18-4552-46fc-8436-98987152d2b4"]}],"mendeley":{"formattedCitation":"(Shi et al., 2019, p. 313)","plainTextFormattedCitation":"(Shi et al., 2019, p. 313)","previouslyFormattedCitation":"(Shi et al., 2019, p. 313)"},"properties":{"noteIndex":0},"schema":"https://github.com/citation-style-language/schema/raw/master/csl-citation.json"}</w:instrText>
      </w:r>
      <w:r w:rsidRPr="00C111E5">
        <w:rPr>
          <w:rFonts w:eastAsia="Garamond"/>
        </w:rPr>
        <w:fldChar w:fldCharType="separate"/>
      </w:r>
      <w:r w:rsidRPr="00C111E5">
        <w:rPr>
          <w:rFonts w:eastAsia="Garamond"/>
          <w:noProof/>
        </w:rPr>
        <w:t>(Shi et al., 2019, p. 313)</w:t>
      </w:r>
      <w:r w:rsidRPr="00C111E5">
        <w:rPr>
          <w:rFonts w:eastAsia="Garamond"/>
        </w:rPr>
        <w:fldChar w:fldCharType="end"/>
      </w:r>
      <w:r w:rsidRPr="00C111E5">
        <w:rPr>
          <w:rFonts w:eastAsia="Garamond"/>
        </w:rPr>
        <w:t>.</w:t>
      </w:r>
    </w:p>
    <w:p w14:paraId="37BCE472" w14:textId="77777777" w:rsidR="007C0FE7" w:rsidRPr="007C0FE7" w:rsidRDefault="007C0FE7" w:rsidP="007C0FE7">
      <w:pPr>
        <w:pStyle w:val="Alishlah21heading1"/>
        <w:numPr>
          <w:ilvl w:val="0"/>
          <w:numId w:val="0"/>
        </w:numPr>
        <w:ind w:firstLine="567"/>
        <w:jc w:val="both"/>
        <w:rPr>
          <w:rFonts w:eastAsia="Garamond"/>
          <w:b w:val="0"/>
          <w:bCs/>
        </w:rPr>
      </w:pPr>
      <w:r w:rsidRPr="007C0FE7">
        <w:rPr>
          <w:rFonts w:eastAsia="Garamond"/>
          <w:b w:val="0"/>
          <w:bCs/>
        </w:rPr>
        <w:t xml:space="preserve">Therefore CFA demands a large sample size to meet this criterion </w:t>
      </w:r>
      <w:r w:rsidRPr="007C0FE7">
        <w:rPr>
          <w:rFonts w:eastAsia="Garamond"/>
          <w:b w:val="0"/>
          <w:bCs/>
        </w:rPr>
        <w:fldChar w:fldCharType="begin" w:fldLock="1"/>
      </w:r>
      <w:r w:rsidRPr="007C0FE7">
        <w:rPr>
          <w:rFonts w:eastAsia="Garamond"/>
          <w:b w:val="0"/>
          <w:bCs/>
        </w:rPr>
        <w:instrText>ADDIN CSL_CITATION {"citationItems":[{"id":"ITEM-1","itemData":{"ISBN":"9786026802408","abstract":"Buku ini dibuat untuk membantu para mahasiswa untuk bisa mandiri dalam mengerjakan olah data skripsi dan tesis dengan program SPSS. Isi materi pada buku ini mengarah kepada analisis dan pengujian yang sering digunakan dalam penelitian dan juga tercantum langkah-langkah yang disusun dengan teratur dan mudah dipahami, berbasis aplikasi SPSS.","author":[{"dropping-particle":"","family":"Muhson","given":"Ali","non-dropping-particle":"","parse-names":false,"suffix":""}],"container-title":"Universitas Negeri Yogyakarta","id":"ITEM-1","issued":{"date-parts":[["2022"]]},"page":"1-34","publisher-place":"Yogyakarta","title":"Analisis Statistik Dengan SmartPLS: Path Analysis. Confirmatory Factor Analysis % Stuctural Equation Modeling","type":"article"},"uris":["http://www.mendeley.com/documents/?uuid=c60be6ad-0357-4974-a634-3819dce629e0"]}],"mendeley":{"formattedCitation":"(Muhson, 2022)","plainTextFormattedCitation":"(Muhson, 2022)","previouslyFormattedCitation":"(Muhson, 2022)"},"properties":{"noteIndex":0},"schema":"https://github.com/citation-style-language/schema/raw/master/csl-citation.json"}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(Muhson, 2022)</w:t>
      </w:r>
      <w:r w:rsidRPr="007C0FE7">
        <w:rPr>
          <w:rFonts w:eastAsia="Garamond"/>
          <w:b w:val="0"/>
          <w:bCs/>
        </w:rPr>
        <w:fldChar w:fldCharType="end"/>
      </w:r>
      <w:r w:rsidRPr="007C0FE7">
        <w:rPr>
          <w:rFonts w:eastAsia="Garamond"/>
          <w:b w:val="0"/>
          <w:bCs/>
        </w:rPr>
        <w:t xml:space="preserve">. Even some references write the sample size of at least 250 samples. However, that number is just an approximation. Statistically, we have a method to check whether the number of samples we involve meets the sample adequacy limit, for example through the KMO test. As explained in the early part of the findings of this study, the results of the KMO test on 121 samples in this study have shown the number of sample adequacy of the study; (2) The score of NFI 0.945 &gt; 0.90 and the value of TLI 0.936 &gt; 0.90 indicate a good Goodness of Fit to provide a more complete picture of how well the tested model fits the observed data; (3) The CFI value of 0.962 &gt; 0.90 provides good information that the proposed model is better when </w:t>
      </w:r>
      <w:r w:rsidRPr="007C0FE7">
        <w:rPr>
          <w:rFonts w:eastAsia="Garamond"/>
          <w:b w:val="0"/>
          <w:bCs/>
        </w:rPr>
        <w:lastRenderedPageBreak/>
        <w:t>compared to a model that assumes no relationship between variables; (4) The SRMR value of 0.038 &lt; 0.05 indicates that the model has a good fit with the tested data and provides intuitive information about the model's fit because it is interpreted as a measure of error in the model; and (5) The Chi Square/</w:t>
      </w:r>
      <w:proofErr w:type="spellStart"/>
      <w:r w:rsidRPr="007C0FE7">
        <w:rPr>
          <w:rFonts w:eastAsia="Garamond"/>
          <w:b w:val="0"/>
          <w:bCs/>
        </w:rPr>
        <w:t>df</w:t>
      </w:r>
      <w:proofErr w:type="spellEnd"/>
      <w:r w:rsidRPr="007C0FE7">
        <w:rPr>
          <w:rFonts w:eastAsia="Garamond"/>
          <w:b w:val="0"/>
          <w:bCs/>
        </w:rPr>
        <w:t xml:space="preserve"> value of 3,000 indicates that the proposed model has a good fit with the tested data. </w:t>
      </w:r>
    </w:p>
    <w:p w14:paraId="6494B278" w14:textId="77777777" w:rsidR="007C0FE7" w:rsidRPr="007C0FE7" w:rsidRDefault="007C0FE7" w:rsidP="007C0FE7">
      <w:pPr>
        <w:pStyle w:val="Alishlah21heading1"/>
        <w:numPr>
          <w:ilvl w:val="0"/>
          <w:numId w:val="0"/>
        </w:numPr>
        <w:ind w:firstLine="567"/>
        <w:jc w:val="both"/>
        <w:rPr>
          <w:rFonts w:eastAsia="Garamond"/>
          <w:b w:val="0"/>
          <w:bCs/>
        </w:rPr>
      </w:pPr>
      <w:r w:rsidRPr="007C0FE7">
        <w:rPr>
          <w:rFonts w:eastAsia="Garamond"/>
          <w:b w:val="0"/>
          <w:bCs/>
        </w:rPr>
        <w:t>The chi-square test is very sensitive to sample size; in large samples, even small differences between the observed data and the estimated model can produce large chi-square values, causing the model to be considered an ill-fit even though the differences are not practically significant. Based on a series of measurement model fit tests above, we can conclude that the 6 manifest variables, namely (1) career achievement, (2) fulfillment of career goals, (3) income, (4) career progress, (5) development of abilities during a career, and (6) gratitude, can be stated to have been tested validly and reliably to measure the Career Satisfaction variable.</w:t>
      </w:r>
    </w:p>
    <w:p w14:paraId="378F8341" w14:textId="77777777" w:rsidR="007C0FE7" w:rsidRPr="007C0FE7" w:rsidRDefault="007C0FE7" w:rsidP="007C0FE7">
      <w:pPr>
        <w:pStyle w:val="Alishlah21heading1"/>
        <w:numPr>
          <w:ilvl w:val="0"/>
          <w:numId w:val="0"/>
        </w:numPr>
        <w:jc w:val="both"/>
        <w:rPr>
          <w:rFonts w:eastAsia="Garamond"/>
        </w:rPr>
      </w:pPr>
      <w:r w:rsidRPr="007C0FE7">
        <w:rPr>
          <w:rFonts w:eastAsia="Garamond"/>
        </w:rPr>
        <w:t>Analysis</w:t>
      </w:r>
    </w:p>
    <w:p w14:paraId="17AB3067" w14:textId="77777777" w:rsidR="007C0FE7" w:rsidRPr="007C0FE7" w:rsidRDefault="007C0FE7" w:rsidP="007C0FE7">
      <w:pPr>
        <w:pStyle w:val="Alishlah21heading1"/>
        <w:numPr>
          <w:ilvl w:val="0"/>
          <w:numId w:val="0"/>
        </w:numPr>
        <w:ind w:firstLine="567"/>
        <w:jc w:val="both"/>
        <w:rPr>
          <w:rFonts w:eastAsia="Garamond"/>
          <w:b w:val="0"/>
          <w:bCs/>
        </w:rPr>
      </w:pPr>
      <w:r w:rsidRPr="007C0FE7">
        <w:rPr>
          <w:rFonts w:eastAsia="Garamond"/>
          <w:b w:val="0"/>
          <w:bCs/>
        </w:rPr>
        <w:t xml:space="preserve">Based on the research findings, the validity order based on factor loadings is as follows: Development of Abilities During a Career (AD), Fulfillment of Career Goals (CG), Career Progress (CP), Income (I), Gratitude (G), and lastly, Career Achievement (CA). Career satisfaction is a key focus in career research because subjective feelings of success are closely related to various aspects of work behavior and individual well-being </w:t>
      </w:r>
      <w:r w:rsidRPr="007C0FE7">
        <w:rPr>
          <w:rFonts w:eastAsia="Garamond"/>
          <w:b w:val="0"/>
          <w:bCs/>
        </w:rPr>
        <w:fldChar w:fldCharType="begin" w:fldLock="1"/>
      </w:r>
      <w:r w:rsidRPr="007C0FE7">
        <w:rPr>
          <w:rFonts w:eastAsia="Garamond"/>
          <w:b w:val="0"/>
          <w:bCs/>
        </w:rPr>
        <w:instrText>ADDIN CSL_CITATION {"citationItems":[{"id":"ITEM-1","itemData":{"DOI":"10.1348/096317909X470924","ISSN":"09631798","abstract":"The present research is concerned with the direction of influence between objective and subjective career success.We conducted a prospective longitudinal study with five waves of measurement that covered a time span of 10 years. Participants were professionals working in different occupational fields (N = 1;336). We modelled the changes in objective success (income, hierarchical position), in other-referent subjective success (subjective success as compared to a reference group), and in self-referent subjective success (job satisfaction) by means of latent growth curve analysis. Objective success influenced both the initial level and the growth of other-referent subjective success, but it had no influence on job satisfaction. Most importantly, both measures of subjective success and both their initial levels and their changes had strong influences on the growth of objective success. We conclude that the 'objective success influences subjective success' relationship is smaller than might be expected, whereas the 'subjective success influences objective success' relationship is larger than might be expected. © 2009 The British Psychological Society.","author":[{"dropping-particle":"","family":"Abele","given":"Andrea E.","non-dropping-particle":"","parse-names":false,"suffix":""},{"dropping-particle":"","family":"Spurk","given":"Daniel","non-dropping-particle":"","parse-names":false,"suffix":""}],"container-title":"Journal of Occupational and Organizational Psychology","id":"ITEM-1","issue":"4","issued":{"date-parts":[["2009","12"]]},"page":"803-824","publisher":"The British Psychological Society","title":"How Do Objective and Subjective Career Success Interrelate Over Time?","type":"article-journal","volume":"82"},"uris":["http://www.mendeley.com/documents/?uuid=229c4b8e-f05a-3a91-bf24-381f55060c8b"]},{"id":"ITEM-2","itemData":{"DOI":"https://doi.org/10.1111/j.1744-6570.2005.00515.x","abstract":"Using the contest-and sponsored-mobility perspectives as theoretical guides, this meta-analysis reviewed 4 categories of predictors of objective and subjective career success: human capital, organizational sponsorship, sociodemographic status, and stable individual differences. Salary level and promotion served as dependent measures of objective career success, and subjective career success was represented by career satisfaction. Results demonstrated that both objective and subjective career success were related to a wide range of predictors. As a group, human capital and sociodemographic predictors generally displayed stronger relationships with objective career success, and organizational sponsorship and stable individual differences were generally more strongly related to subjective career success. Gender and time (date of the study) moderated several of the relationships examined.","author":[{"dropping-particle":"","family":"Ng","given":"Thomas W.H","non-dropping-particle":"","parse-names":false,"suffix":""},{"dropping-particle":"","family":"Eby","given":"Lillian T.","non-dropping-particle":"","parse-names":false,"suffix":""},{"dropping-particle":"","family":"Sorensen","given":"Kelly L.","non-dropping-particle":"","parse-names":false,"suffix":""},{"dropping-particle":"","family":"Feldman","given":"Daniel C.","non-dropping-particle":"","parse-names":false,"suffix":""}],"container-title":"Personnel Psychology","id":"ITEM-2","issue":"2","issued":{"date-parts":[["2005"]]},"page":"367-408","title":"Predictors of Objective and Subjective Career Success: A Meta-Analysis","type":"article-journal","volume":"58"},"uris":["http://www.mendeley.com/documents/?uuid=7d9e5865-c3c6-3e57-87bf-72a57b5ac9fe"]}],"mendeley":{"formattedCitation":"(Abele &amp; Spurk, 2009; Ng et al., 2005)","plainTextFormattedCitation":"(Abele &amp; Spurk, 2009; Ng et al., 2005)","previouslyFormattedCitation":"(Abele &amp; Spurk, 2009; Ng et al., 2005)"},"properties":{"noteIndex":0},"schema":"https://github.com/citation-style-language/schema/raw/master/csl-citation.json"}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(Abele &amp; Spurk, 2009; Ng et al., 2005)</w:t>
      </w:r>
      <w:r w:rsidRPr="007C0FE7">
        <w:rPr>
          <w:rFonts w:eastAsia="Garamond"/>
          <w:b w:val="0"/>
          <w:bCs/>
        </w:rPr>
        <w:fldChar w:fldCharType="end"/>
      </w:r>
      <w:r w:rsidRPr="007C0FE7">
        <w:rPr>
          <w:rFonts w:eastAsia="Garamond"/>
          <w:b w:val="0"/>
          <w:bCs/>
        </w:rPr>
        <w:t xml:space="preserve">. However, our understanding of how career satisfaction changes over time is still limited. Research in psychology and applied career fields </w:t>
      </w:r>
      <w:r w:rsidRPr="007C0FE7">
        <w:rPr>
          <w:rFonts w:eastAsia="Garamond"/>
          <w:b w:val="0"/>
          <w:bCs/>
        </w:rPr>
        <w:fldChar w:fldCharType="begin" w:fldLock="1"/>
      </w:r>
      <w:r w:rsidRPr="007C0FE7">
        <w:rPr>
          <w:rFonts w:eastAsia="Garamond"/>
          <w:b w:val="0"/>
          <w:bCs/>
        </w:rPr>
        <w:instrText>ADDIN CSL_CITATION {"citationItems":[{"id":"ITEM-1","itemData":{"DOI":"10.1108/13620430810860512","ISSN":"13620436","abstract":"This paper aims to introduce a collection of papers about “ageing and careers” that contributes to the literature on two career-related topics, i.e. long-term career development and early retirement. This paper explains the topics, provides background and discussion of the main concepts. The paper briefly introduces the six papers in this special issue, their main findings, and the future directions for research that they suggest. The paper frames the issues and extends the overall knowledge in the field. © 2008, Emerald Group Publishing Limited","author":[{"dropping-particle":"","family":"Heijden","given":"Beatrice I.J.M.","non-dropping-particle":"Van Der","parse-names":false,"suffix":""},{"dropping-particle":"","family":"Schalk","given":"René","non-dropping-particle":"","parse-names":false,"suffix":""},{"dropping-particle":"","family":"Veldhoven","given":"Marc J.p.m.","non-dropping-particle":"Van","parse-names":false,"suffix":""}],"container-title":"Emerald Insigh: Career Development International","id":"ITEM-1","issue":"2","issued":{"date-parts":[["2008","3","28"]]},"page":"85-94","title":"Ageing and Careers: European Research on Long-Term Career Development and Early Rretirement","type":"article-journal","volume":"13"},"uris":["http://www.mendeley.com/documents/?uuid=82384b2f-e130-3b99-84ac-85a0d2ae2897"]},{"id":"ITEM-2","itemData":{"DOI":"10.1027/1016-9040.13.1.37","ISSN":"10169040","abstract":"Against the background of a growing awareness of time among researchers, this articles sets out to assess the current position of time in applied psychological theory and research. A critical analysis of recent publications in The Journal of Applied Psychology and Applied Psychology, An International Review reveals that with some noticeable exceptions, the role of time in human behavior is still largely neglected. It is posited that this state of affairs can be explained by a conceptual bias among researchers, which makes them think in terms of \"what is\" rather than \"what happens.\" A proposal is made for an alternative way of conceptualizing, designated as temporalism, which starts from the concept of phenomenon, which is defined dynamically and operationalized with the help of time. A plea is made for a research strategy that comprises the identification of the dynamic features of phenomena, an analysis of their temporal relations, and an assessment of long term stability and changes of temporal parameters. It is argued that such an approach leads to theoretical innovations and to a substantial expansion of possibilities for intervention. This is illustrated by a discussion of three prototypical patterns of development referred to as improvement, bifurcation, and relapse, which underlie a broad range of practical problems known from social and organizational settings. Finally, attention is directed to the role that time plays when psychological knowledge is applied to such practical problems. It is concluded that time should not only be addressed in the study of behavior of other people but also in the complex interactions between psychologists and clients involved in the application of psychology. © 2008 Hogrefe &amp; Huber Publishers.","author":[{"dropping-particle":"","family":"Roe","given":"Robert A.","non-dropping-particle":"","parse-names":false,"suffix":""}],"container-title":"European Psychologist","id":"ITEM-2","issue":"1","issued":{"date-parts":[["2008"]]},"page":"37-52","title":"Time in Applied Psychology: The Study of \"What Happens\" rather than \"What Is\"","type":"article-journal","volume":"13"},"uris":["http://www.mendeley.com/documents/?uuid=dced8434-60c3-34d1-819d-a508777140c5"]},{"id":"ITEM-3","itemData":{"author":[{"dropping-particle":"","family":"Hall","given":"Douglas T.","non-dropping-particle":"","parse-names":false,"suffix":""}],"container-title":"Spring","id":"ITEM-3","issue":"1","issued":{"date-parts":[["2002"]]},"page":"1-3","publisher":"Boston College","publisher-place":"Boston","title":"Conversations with The Experts: \"Careers In and Out of Organizations\"","type":"paper-conference","volume":"4"},"uris":["http://www.mendeley.com/documents/?uuid=0854de1a-6388-3bf8-8aeb-3bad843bf4ae"]}],"mendeley":{"formattedCitation":"(Hall, 2002; Roe, 2008; Van Der Heijden et al., 2008)","plainTextFormattedCitation":"(Hall, 2002; Roe, 2008; Van Der Heijden et al., 2008)","previouslyFormattedCitation":"(Hall, 2002; Roe, 2008; Van Der Heijden et al., 2008)"},"properties":{"noteIndex":0},"schema":"https://github.com/citation-style-language/schema/raw/master/csl-citation.json"}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(Hall, 2002; Roe, 2008; Van Der Heijden et al., 2008)</w:t>
      </w:r>
      <w:r w:rsidRPr="007C0FE7">
        <w:rPr>
          <w:rFonts w:eastAsia="Garamond"/>
          <w:b w:val="0"/>
          <w:bCs/>
        </w:rPr>
        <w:fldChar w:fldCharType="end"/>
      </w:r>
      <w:r w:rsidRPr="007C0FE7">
        <w:rPr>
          <w:rFonts w:eastAsia="Garamond"/>
          <w:b w:val="0"/>
          <w:bCs/>
        </w:rPr>
        <w:t xml:space="preserve"> highlights the need for more in-depth studies on the role of time, emphasizing understanding the dynamics rather than just the current state </w:t>
      </w:r>
      <w:r w:rsidRPr="007C0FE7">
        <w:rPr>
          <w:rFonts w:eastAsia="Garamond"/>
          <w:b w:val="0"/>
          <w:bCs/>
        </w:rPr>
        <w:fldChar w:fldCharType="begin" w:fldLock="1"/>
      </w:r>
      <w:r w:rsidRPr="007C0FE7">
        <w:rPr>
          <w:rFonts w:eastAsia="Garamond"/>
          <w:b w:val="0"/>
          <w:bCs/>
        </w:rPr>
        <w:instrText>ADDIN CSL_CITATION {"citationItems":[{"id":"ITEM-1","itemData":{"DOI":"10.1027/1016-9040.13.1.37","ISSN":"10169040","abstract":"Against the background of a growing awareness of time among researchers, this articles sets out to assess the current position of time in applied psychological theory and research. A critical analysis of recent publications in The Journal of Applied Psychology and Applied Psychology, An International Review reveals that with some noticeable exceptions, the role of time in human behavior is still largely neglected. It is posited that this state of affairs can be explained by a conceptual bias among researchers, which makes them think in terms of \"what is\" rather than \"what happens.\" A proposal is made for an alternative way of conceptualizing, designated as temporalism, which starts from the concept of phenomenon, which is defined dynamically and operationalized with the help of time. A plea is made for a research strategy that comprises the identification of the dynamic features of phenomena, an analysis of their temporal relations, and an assessment of long term stability and changes of temporal parameters. It is argued that such an approach leads to theoretical innovations and to a substantial expansion of possibilities for intervention. This is illustrated by a discussion of three prototypical patterns of development referred to as improvement, bifurcation, and relapse, which underlie a broad range of practical problems known from social and organizational settings. Finally, attention is directed to the role that time plays when psychological knowledge is applied to such practical problems. It is concluded that time should not only be addressed in the study of behavior of other people but also in the complex interactions between psychologists and clients involved in the application of psychology. © 2008 Hogrefe &amp; Huber Publishers.","author":[{"dropping-particle":"","family":"Roe","given":"Robert A.","non-dropping-particle":"","parse-names":false,"suffix":""}],"container-title":"European Psychologist","id":"ITEM-1","issue":"1","issued":{"date-parts":[["2008"]]},"page":"37-52","title":"Time in Applied Psychology: The Study of \"What Happens\" rather than \"What Is\"","type":"article-journal","volume":"13"},"uris":["http://www.mendeley.com/documents/?uuid=dced8434-60c3-34d1-819d-a508777140c5"]}],"mendeley":{"formattedCitation":"(Roe, 2008)","plainTextFormattedCitation":"(Roe, 2008)","previouslyFormattedCitation":"(Roe, 2008)"},"properties":{"noteIndex":0},"schema":"https://github.com/citation-style-language/schema/raw/master/csl-citation.json"}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(Roe, 2008)</w:t>
      </w:r>
      <w:r w:rsidRPr="007C0FE7">
        <w:rPr>
          <w:rFonts w:eastAsia="Garamond"/>
          <w:b w:val="0"/>
          <w:bCs/>
        </w:rPr>
        <w:fldChar w:fldCharType="end"/>
      </w:r>
      <w:r w:rsidRPr="007C0FE7">
        <w:rPr>
          <w:rFonts w:eastAsia="Garamond"/>
          <w:b w:val="0"/>
          <w:bCs/>
        </w:rPr>
        <w:t xml:space="preserve">. The Career Satisfaction Scale (CSS) can be used to measure outcomes in career intervention programs </w:t>
      </w:r>
      <w:r w:rsidRPr="007C0FE7">
        <w:rPr>
          <w:rFonts w:eastAsia="Garamond"/>
          <w:b w:val="0"/>
          <w:bCs/>
        </w:rPr>
        <w:fldChar w:fldCharType="begin" w:fldLock="1"/>
      </w:r>
      <w:r w:rsidRPr="007C0FE7">
        <w:rPr>
          <w:rFonts w:eastAsia="Garamond"/>
          <w:b w:val="0"/>
          <w:bCs/>
        </w:rPr>
        <w:instrText>ADDIN CSL_CITATION {"citationItems":[{"id":"ITEM-1","itemData":{"DOI":"10.1016/j.jvb.2006.10.005","ISSN":"00018791","abstract":"Much of the responsibility for managing careers is shifting from employers to adaptive and proactive employees. A career management intervention based on action regulation theory trained 205 white collar employees to engage actively in their own career building by increasing their self-knowledge, career goal commitment, and career plan quality. As hypothesized, these three variables were positively related to subsequent career self-management behaviors, which led both directly and indirectly to career satisfaction almost 10 months after the intervention. Self-management career interventions based within an employing organization appear feasible. © 2006 Elsevier Inc. All rights reserved.","author":[{"dropping-particle":"","family":"Raabe","given":"Babette","non-dropping-particle":"","parse-names":false,"suffix":""},{"dropping-particle":"","family":"Frese","given":"Michael","non-dropping-particle":"","parse-names":false,"suffix":""},{"dropping-particle":"","family":"Beehr","given":"Terry A.","non-dropping-particle":"","parse-names":false,"suffix":""}],"container-title":"Journal of Vocational Behavior","id":"ITEM-1","issue":"2","issued":{"date-parts":[["2007","4"]]},"page":"297-311","title":"Action Regulation Theory and Career Self-Management","type":"article-journal","volume":"70"},"uris":["http://www.mendeley.com/documents/?uuid=a84ca8cb-aeac-3dce-b129-f2d1852982b6"]}],"mendeley":{"formattedCitation":"(Raabe et al., 2007)","plainTextFormattedCitation":"(Raabe et al., 2007)","previouslyFormattedCitation":"(Raabe et al., 2007)"},"properties":{"noteIndex":0},"schema":"https://github.com/citation-style-language/schema/raw/master/csl-citation.json"}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(Raabe et al., 2007)</w:t>
      </w:r>
      <w:r w:rsidRPr="007C0FE7">
        <w:rPr>
          <w:rFonts w:eastAsia="Garamond"/>
          <w:b w:val="0"/>
          <w:bCs/>
        </w:rPr>
        <w:fldChar w:fldCharType="end"/>
      </w:r>
      <w:r w:rsidRPr="007C0FE7">
        <w:rPr>
          <w:rFonts w:eastAsia="Garamond"/>
          <w:b w:val="0"/>
          <w:bCs/>
        </w:rPr>
        <w:t>.</w:t>
      </w:r>
    </w:p>
    <w:p w14:paraId="1D6CA674" w14:textId="77777777" w:rsidR="007C0FE7" w:rsidRPr="007C0FE7" w:rsidRDefault="007C0FE7" w:rsidP="007C0FE7">
      <w:pPr>
        <w:pStyle w:val="Alishlah21heading1"/>
        <w:numPr>
          <w:ilvl w:val="0"/>
          <w:numId w:val="0"/>
        </w:numPr>
        <w:ind w:firstLine="567"/>
        <w:jc w:val="both"/>
        <w:rPr>
          <w:rFonts w:eastAsia="Garamond"/>
          <w:b w:val="0"/>
          <w:bCs/>
        </w:rPr>
      </w:pPr>
      <w:r w:rsidRPr="007C0FE7">
        <w:rPr>
          <w:rFonts w:eastAsia="Garamond"/>
          <w:b w:val="0"/>
          <w:bCs/>
        </w:rPr>
        <w:t xml:space="preserve">Career satisfaction is often regarded as a primary indicator of subjective career success because it reflects individuals' assessments of their progress towards various career goals, including income, achievements, and overall career development </w:t>
      </w:r>
      <w:r w:rsidRPr="007C0FE7">
        <w:rPr>
          <w:rFonts w:eastAsia="Garamond"/>
          <w:b w:val="0"/>
          <w:bCs/>
        </w:rPr>
        <w:fldChar w:fldCharType="begin" w:fldLock="1"/>
      </w:r>
      <w:r w:rsidRPr="007C0FE7">
        <w:rPr>
          <w:rFonts w:eastAsia="Garamond"/>
          <w:b w:val="0"/>
          <w:bCs/>
        </w:rPr>
        <w:instrText>ADDIN CSL_CITATION {"citationItems":[{"id":"ITEM-1","itemData":{"DOI":"10.1007/s12651-010-0034-6","ISSN":"18678343","abstract":"The aim of the present paper is twofold. We first give an overview of the multi-faceted construct of career success with its “objective” (real attainments) and “subjective” (perceived attainments) components and with the different methodologies measuring them (“subjectivist” vs. “objectivist” approaches). We also discuss the relationship between the different components of career success as revealed in the literature. Our second aim is to show that the interrelationship between the different facets of career success varies with the employment context. We analyze subjective and objective career success measures collected from professionals working either in the private sector, in the public sector, or that are self-employed. Our findings show that objective success and subjective success are more closely related in the private and self-employment sectors than in the public sector. Moreover, the interrelationship between objective and subjective success varies with the specific subjective success measure chosen. It is stronger for an “other-referent” subjective success measure than for a “self-referent” subjective success measure. Conclusions regarding the measurement of career success as well as regarding the relevance of subjective success for studying occupational careers are drawn.","author":[{"dropping-particle":"","family":"Abele","given":"Andrea E.","non-dropping-particle":"","parse-names":false,"suffix":""},{"dropping-particle":"","family":"Spurk","given":"Daniel","non-dropping-particle":"","parse-names":false,"suffix":""},{"dropping-particle":"","family":"Volmer","given":"Judith","non-dropping-particle":"","parse-names":false,"suffix":""}],"container-title":"Zeitschrift fur Arbeitsmarktforschung","id":"ITEM-1","issue":"3","issued":{"date-parts":[["2011","1","1"]]},"page":"195-206","title":"The Construct of Career Success: Measurement Issues and An Empirical Example","type":"article-journal","volume":"43"},"uris":["http://www.mendeley.com/documents/?uuid=6bcc84d9-aeee-33fe-bb72-c6dae308a219"]},{"id":"ITEM-2","itemData":{"DOI":"10.1006/jvbe.2000.1755","ISSN":"00018791","abstract":"The present study extended prior career success models by incorporating traits from the five-factor model of personality (often termed the \"Big Five\") and several dimensions of extrinsic (remuneration, ascendancy, job level, employability) and intrinsic (job, life, and career satisfaction) career success. The model examined both direct effects and the mediating effects of an array of human capital and motivation variables derived from prior research. Data were collected from two large samples of American and European executives. Some results supported prior research: Extroversion related positively, and neuroticism negatively, to intrinsic career success across both the U.S. and the European samples. Some results differed from expectations: Conscientiousness was mostly unrelated to extrinsic success and negatively related to intrinsic success in both samples, and agreeableness was negatively related to extrinsic success in both samples. Differences emerged between the European and U.S. samples, in that neuroticism associated with lower levels of extrinsic success for the U.S. executives but not the Europeans, and extroversion associated with higher levels of extrinsic success for the European executives but not the U.S. executives. For both samples, human capital and motivational variables associated predictably with career success, but seldom mediated the relationship between personality and career success. © 2001 Academic Press.","author":[{"dropping-particle":"","family":"Boudreau","given":"John W.","non-dropping-particle":"","parse-names":false,"suffix":""},{"dropping-particle":"","family":"Boswell","given":"Wendy R.","non-dropping-particle":"","parse-names":false,"suffix":""},{"dropping-particle":"","family":"Judge","given":"Timothy A.","non-dropping-particle":"","parse-names":false,"suffix":""}],"container-title":"Journal of Vocational Behavior","id":"ITEM-2","issue":"1","issued":{"date-parts":[["2001"]]},"page":"53-81","title":"Effects of Personality on Executive Career Success in the United States and Europe","type":"article-journal","volume":"58"},"uris":["http://www.mendeley.com/documents/?uuid=28550b59-1c0d-3459-aa7e-98b4b2ade217"]},{"id":"ITEM-3","itemData":{"DOI":"https://doi.org/10.1111/j.1744-6570.2005.00515.x","abstract":"Using the contest-and sponsored-mobility perspectives as theoretical guides, this meta-analysis reviewed 4 categories of predictors of objective and subjective career success: human capital, organizational sponsorship, sociodemographic status, and stable individual differences. Salary level and promotion served as dependent measures of objective career success, and subjective career success was represented by career satisfaction. Results demonstrated that both objective and subjective career success were related to a wide range of predictors. As a group, human capital and sociodemographic predictors generally displayed stronger relationships with objective career success, and organizational sponsorship and stable individual differences were generally more strongly related to subjective career success. Gender and time (date of the study) moderated several of the relationships examined.","author":[{"dropping-particle":"","family":"Ng","given":"Thomas W.H","non-dropping-particle":"","parse-names":false,"suffix":""},{"dropping-particle":"","family":"Eby","given":"Lillian T.","non-dropping-particle":"","parse-names":false,"suffix":""},{"dropping-particle":"","family":"Sorensen","given":"Kelly L.","non-dropping-particle":"","parse-names":false,"suffix":""},{"dropping-particle":"","family":"Feldman","given":"Daniel C.","non-dropping-particle":"","parse-names":false,"suffix":""}],"container-title":"Personnel Psychology","id":"ITEM-3","issue":"2","issued":{"date-parts":[["2005"]]},"page":"367-408","title":"Predictors of Objective and Subjective Career Success: A Meta-Analysis","type":"article-journal","volume":"58"},"uris":["http://www.mendeley.com/documents/?uuid=7d9e5865-c3c6-3e57-87bf-72a57b5ac9fe"]},{"id":"ITEM-4","itemData":{"DOI":"10.1016/j.jvb.2008.08.001","ISSN":"0001-8791","author":[{"dropping-particle":"","family":"Hofmans","given":"Joeri","non-dropping-particle":"","parse-names":false,"suffix":""},{"dropping-particle":"","family":"Dries","given":"Nicky","non-dropping-particle":"","parse-names":false,"suffix":""},{"dropping-particle":"","family":"Pepermans","given":"Roland","non-dropping-particle":"","parse-names":false,"suffix":""}],"container-title":"Journal of Vocational Behavior","id":"ITEM-4","issue":"3","issued":{"date-parts":[["2008"]]},"page":"397-403","publisher":"Elsevier Inc.","title":"The Career Satisfaction Scale: Response bias among men and women","type":"article-journal","volume":"73"},"uris":["http://www.mendeley.com/documents/?uuid=02cf3dc1-d2e3-4061-91d2-787162064754"]}],"mendeley":{"formattedCitation":"(Abele et al., 2011; Boudreau et al., 2001; Hofmans et al., 2008; Ng et al., 2005)","plainTextFormattedCitation":"(Abele et al., 2011; Boudreau et al., 2001; Hofmans et al., 2008; Ng et al., 2005)","previouslyFormattedCitation":"(Abele et al., 2011; Boudreau et al., 2001; Hofmans et al., 2008; Ng et al., 2005)"},"properties":{"noteIndex":0},"schema":"https://github.com/citation-style-language/schema/raw/master/csl-citation.json"}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(Abele et al., 2011; Boudreau et al., 2001; Hofmans et al., 2008; Ng et al., 2005)</w:t>
      </w:r>
      <w:r w:rsidRPr="007C0FE7">
        <w:rPr>
          <w:rFonts w:eastAsia="Garamond"/>
          <w:b w:val="0"/>
          <w:bCs/>
        </w:rPr>
        <w:fldChar w:fldCharType="end"/>
      </w:r>
      <w:r w:rsidRPr="007C0FE7">
        <w:rPr>
          <w:rFonts w:eastAsia="Garamond"/>
          <w:b w:val="0"/>
          <w:bCs/>
        </w:rPr>
        <w:t xml:space="preserve">. One widely used tool for assessing career satisfaction is the Career Satisfaction Scale </w:t>
      </w:r>
      <w:r w:rsidRPr="007C0FE7">
        <w:rPr>
          <w:rFonts w:eastAsia="Garamond"/>
          <w:b w:val="0"/>
          <w:bCs/>
        </w:rPr>
        <w:fldChar w:fldCharType="begin" w:fldLock="1"/>
      </w:r>
      <w:r w:rsidRPr="007C0FE7">
        <w:rPr>
          <w:rFonts w:eastAsia="Garamond"/>
          <w:b w:val="0"/>
          <w:bCs/>
        </w:rPr>
        <w:instrText>ADDIN CSL_CITATION {"citationItems":[{"id":"ITEM-1","itemData":{"DOI":"https://doi.org/10.5465/256352","ISSN":"0001-4273","abstract":"This study examined relationships among race, organizational experi- ences, job performance evaluations, and career outcomes for black and white managers from three work organizations. Compared to white managers, blacks felt less accepted in their organizations, perceived themselves as having less discretion on their jobs, received lower rat- ings from their supervisors on their job performance and promotability, were more likely to have reached career plateaus, and experienced lower levels of career satisfaction. We examined direct and indirect effects of race on job performance evaluations and career outcomes. Suggestions regarding areas for future research are offered.","author":[{"dropping-particle":"","family":"Greenhaus","given":"J. H.","non-dropping-particle":"","parse-names":false,"suffix":""},{"dropping-particle":"","family":"Parasuraman","given":"S.","non-dropping-particle":"","parse-names":false,"suffix":""},{"dropping-particle":"","family":"Wormley","given":"W. M.","non-dropping-particle":"","parse-names":false,"suffix":""}],"container-title":"Academy of Management Journal","id":"ITEM-1","issue":"1","issued":{"date-parts":[["1990","3","1"]]},"page":"64-86","publisher":"Academy of Management","title":"Effects of Race on Organizational Experience, Job Performance Evaluations, and Career Outcomes","type":"article-journal","volume":"33"},"uris":["http://www.mendeley.com/documents/?uuid=1dff1a0b-bab0-3a3a-adba-fc21c6c3786e"]},{"id":"ITEM-2","itemData":{"DOI":"10.1016/j.jvb.2008.08.001","ISSN":"0001-8791","author":[{"dropping-particle":"","family":"Hofmans","given":"Joeri","non-dropping-particle":"","parse-names":false,"suffix":""},{"dropping-particle":"","family":"Dries","given":"Nicky","non-dropping-particle":"","parse-names":false,"suffix":""},{"dropping-particle":"","family":"Pepermans","given":"Roland","non-dropping-particle":"","parse-names":false,"suffix":""}],"container-title":"Journal of Vocational Behavior","id":"ITEM-2","issue":"3","issued":{"date-parts":[["2008"]]},"page":"397-403","publisher":"Elsevier Inc.","title":"The Career Satisfaction Scale: Response bias among men and women","type":"article-journal","volume":"73"},"uris":["http://www.mendeley.com/documents/?uuid=02cf3dc1-d2e3-4061-91d2-787162064754"]}],"mendeley":{"formattedCitation":"(J. H. Greenhaus et al., 1990; Hofmans et al., 2008)","plainTextFormattedCitation":"(J. H. Greenhaus et al., 1990; Hofmans et al., 2008)","previouslyFormattedCitation":"(J. H. Greenhaus et al., 1990; Hofmans et al., 2008)"},"properties":{"noteIndex":0},"schema":"https://github.com/citation-style-language/schema/raw/master/csl-citation.json"}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(J. H. Greenhaus et al., 1990; Hofmans et al., 2008)</w:t>
      </w:r>
      <w:r w:rsidRPr="007C0FE7">
        <w:rPr>
          <w:rFonts w:eastAsia="Garamond"/>
          <w:b w:val="0"/>
          <w:bCs/>
        </w:rPr>
        <w:fldChar w:fldCharType="end"/>
      </w:r>
      <w:r w:rsidRPr="007C0FE7">
        <w:rPr>
          <w:rFonts w:eastAsia="Garamond"/>
          <w:b w:val="0"/>
          <w:bCs/>
        </w:rPr>
        <w:t>. This study aims to evaluate the extent to which CSS can measure average changes in career satisfaction over time. Additionally, we have developed a career satisfaction instrument by adapting the theory of gratitude towards God, based on Islamic teachings.</w:t>
      </w:r>
    </w:p>
    <w:p w14:paraId="6C3A6B1B" w14:textId="77777777" w:rsidR="007C0FE7" w:rsidRPr="007C0FE7" w:rsidRDefault="007C0FE7" w:rsidP="007C0FE7">
      <w:pPr>
        <w:pStyle w:val="Alishlah21heading1"/>
        <w:numPr>
          <w:ilvl w:val="0"/>
          <w:numId w:val="0"/>
        </w:numPr>
        <w:ind w:firstLine="567"/>
        <w:jc w:val="both"/>
        <w:rPr>
          <w:rFonts w:eastAsia="Garamond"/>
          <w:b w:val="0"/>
          <w:bCs/>
        </w:rPr>
      </w:pPr>
      <w:r w:rsidRPr="007C0FE7">
        <w:rPr>
          <w:rFonts w:eastAsia="Garamond"/>
          <w:b w:val="0"/>
          <w:bCs/>
        </w:rPr>
        <w:t xml:space="preserve">Furthermore, some studies suggest that a career is not just a job but also an essential part of life that should include personal development and experiences </w:t>
      </w:r>
      <w:r w:rsidRPr="007C0FE7">
        <w:rPr>
          <w:rFonts w:eastAsia="Garamond"/>
          <w:b w:val="0"/>
          <w:bCs/>
        </w:rPr>
        <w:fldChar w:fldCharType="begin" w:fldLock="1"/>
      </w:r>
      <w:r w:rsidRPr="007C0FE7">
        <w:rPr>
          <w:rFonts w:eastAsia="Garamond"/>
          <w:b w:val="0"/>
          <w:bCs/>
        </w:rPr>
        <w:instrText>ADDIN CSL_CITATION {"citationItems":[{"id":"ITEM-1","itemData":{"DOI":"10.1007/s10869-010-9162-9","ISSN":"08893268","abstract":"Purpose: The purpose of this study was to investigate the effect of generational, contextual, and individual influences on Millennials' career expectations. Design/methodology/approach: Two matched samples of Millennials graduating in 2006 (n = 787) and 2009 (n = 825) filled out a questionnaire regarding their psychological contract expectations, career strategy, and optimism about the labor market in completely different socioeconomic contexts. Findings: Recession is related to lower levels of optimism. During times of recession, Millennials lower their expectations regarding the work-life balance and social atmosphere. However, their expectations regarding job content, training, career development, and financial rewards remain high, suggesting that these expectations are largely embedded within the generation. Moreover, Millennials' expectations are significantly influenced by individual variables, careerism, and optimism. Implications: This study suggests that managers need to focus their limited resources during times of recession on meeting Millennials' high expectations regarding their development and careers. Because violating these high expectations can have detrimental effects on a number of outcomes, organizations are encouraged to discover creative and inexpensive ways to provide Millennials with meaningful work, plenty of learning opportunities and career development. Originality/value: By comparing two matched samples of Millennials in two different situations, this study was able to disentangle generational, contextual, and individual influences on Millennials' psychological contract expectations. © Springer Science+Business Media, LLC 2010.","author":[{"dropping-particle":"","family":"Hauw","given":"Sara","non-dropping-particle":"De","parse-names":false,"suffix":""},{"dropping-particle":"","family":"Vos","given":"Ans","non-dropping-particle":"De","parse-names":false,"suffix":""}],"container-title":"Journal of Business and Psychology","id":"ITEM-1","issue":"2","issued":{"date-parts":[["2010","6"]]},"page":"293-302","title":"Millennials' career perspective and psychological contract expectations: Does the recession lead to lowered expectations?","type":"article-journal","volume":"25"},"uris":["http://www.mendeley.com/documents/?uuid=7eeacb72-4ee0-3613-b3ac-3f15a3d32134"]}],"mendeley":{"formattedCitation":"(De Hauw &amp; De Vos, 2010)","plainTextFormattedCitation":"(De Hauw &amp; De Vos, 2010)","previouslyFormattedCitation":"(De Hauw &amp; De Vos, 2010)"},"properties":{"noteIndex":0},"schema":"https://github.com/citation-style-language/schema/raw/master/csl-citation.json"}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(De Hauw &amp; De Vos, 2010)</w:t>
      </w:r>
      <w:r w:rsidRPr="007C0FE7">
        <w:rPr>
          <w:rFonts w:eastAsia="Garamond"/>
          <w:b w:val="0"/>
          <w:bCs/>
        </w:rPr>
        <w:fldChar w:fldCharType="end"/>
      </w:r>
      <w:r w:rsidRPr="007C0FE7">
        <w:rPr>
          <w:rFonts w:eastAsia="Garamond"/>
          <w:b w:val="0"/>
          <w:bCs/>
        </w:rPr>
        <w:t xml:space="preserve">. </w:t>
      </w:r>
      <w:proofErr w:type="spellStart"/>
      <w:r w:rsidRPr="007C0FE7">
        <w:rPr>
          <w:rFonts w:eastAsia="Garamond"/>
          <w:b w:val="0"/>
          <w:bCs/>
        </w:rPr>
        <w:t>Greenhaus</w:t>
      </w:r>
      <w:proofErr w:type="spellEnd"/>
      <w:r w:rsidRPr="007C0FE7">
        <w:rPr>
          <w:rFonts w:eastAsia="Garamond"/>
          <w:b w:val="0"/>
          <w:bCs/>
        </w:rPr>
        <w:t xml:space="preserve">, et.al. </w:t>
      </w:r>
      <w:r w:rsidRPr="007C0FE7">
        <w:rPr>
          <w:rFonts w:eastAsia="Garamond"/>
          <w:b w:val="0"/>
          <w:bCs/>
        </w:rPr>
        <w:fldChar w:fldCharType="begin" w:fldLock="1"/>
      </w:r>
      <w:r w:rsidRPr="007C0FE7">
        <w:rPr>
          <w:rFonts w:eastAsia="Garamond"/>
          <w:b w:val="0"/>
          <w:bCs/>
        </w:rPr>
        <w:instrText>ADDIN CSL_CITATION {"citationItems":[{"id":"ITEM-1","itemData":{"DOI":"https://doi.org/10.5465/256352","ISSN":"0001-4273","abstract":"This study examined relationships among race, organizational experi- ences, job performance evaluations, and career outcomes for black and white managers from three work organizations. Compared to white managers, blacks felt less accepted in their organizations, perceived themselves as having less discretion on their jobs, received lower rat- ings from their supervisors on their job performance and promotability, were more likely to have reached career plateaus, and experienced lower levels of career satisfaction. We examined direct and indirect effects of race on job performance evaluations and career outcomes. Suggestions regarding areas for future research are offered.","author":[{"dropping-particle":"","family":"Greenhaus","given":"J. H.","non-dropping-particle":"","parse-names":false,"suffix":""},{"dropping-particle":"","family":"Parasuraman","given":"S.","non-dropping-particle":"","parse-names":false,"suffix":""},{"dropping-particle":"","family":"Wormley","given":"W. M.","non-dropping-particle":"","parse-names":false,"suffix":""}],"container-title":"Academy of Management Journal","id":"ITEM-1","issue":"1","issued":{"date-parts":[["1990","3","1"]]},"page":"64-86","publisher":"Academy of Management","title":"Effects of Race on Organizational Experience, Job Performance Evaluations, and Career Outcomes","type":"article-journal","volume":"33"},"suppress-author":1,"uris":["http://www.mendeley.com/documents/?uuid=1dff1a0b-bab0-3a3a-adba-fc21c6c3786e"]}],"mendeley":{"formattedCitation":"(1990)","plainTextFormattedCitation":"(1990)","previouslyFormattedCitation":"(1990)"},"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(1990)</w:t>
      </w:r>
      <w:r w:rsidRPr="007C0FE7">
        <w:rPr>
          <w:rFonts w:eastAsia="Garamond"/>
          <w:b w:val="0"/>
          <w:bCs/>
        </w:rPr>
        <w:fldChar w:fldCharType="end"/>
      </w:r>
      <w:r w:rsidRPr="007C0FE7">
        <w:rPr>
          <w:rFonts w:eastAsia="Garamond"/>
          <w:b w:val="0"/>
          <w:bCs/>
        </w:rPr>
        <w:t xml:space="preserve"> define career satisfaction as the contentment derived from both intrinsic and extrinsic aspects of a career, including overall career goals, income, progress, and development. Employees who are satisfied with their careers generally feel content with their work, achievements, goal attainment, income, progress, and skill development </w:t>
      </w:r>
      <w:r w:rsidRPr="007C0FE7">
        <w:rPr>
          <w:rFonts w:eastAsia="Garamond"/>
          <w:b w:val="0"/>
          <w:bCs/>
        </w:rPr>
        <w:fldChar w:fldCharType="begin" w:fldLock="1"/>
      </w:r>
      <w:r w:rsidRPr="007C0FE7">
        <w:rPr>
          <w:rFonts w:eastAsia="Garamond"/>
          <w:b w:val="0"/>
          <w:bCs/>
        </w:rPr>
        <w:instrText>ADDIN CSL_CITATION {"citationItems":[{"id":"ITEM-1","itemData":{"DOI":"https://doi.org/10.5465/256352","ISSN":"0001-4273","abstract":"This study examined relationships among race, organizational experi- ences, job performance evaluations, and career outcomes for black and white managers from three work organizations. Compared to white managers, blacks felt less accepted in their organizations, perceived themselves as having less discretion on their jobs, received lower rat- ings from their supervisors on their job performance and promotability, were more likely to have reached career plateaus, and experienced lower levels of career satisfaction. We examined direct and indirect effects of race on job performance evaluations and career outcomes. Suggestions regarding areas for future research are offered.","author":[{"dropping-particle":"","family":"Greenhaus","given":"J. H.","non-dropping-particle":"","parse-names":false,"suffix":""},{"dropping-particle":"","family":"Parasuraman","given":"S.","non-dropping-particle":"","parse-names":false,"suffix":""},{"dropping-particle":"","family":"Wormley","given":"W. M.","non-dropping-particle":"","parse-names":false,"suffix":""}],"container-title":"Academy of Management Journal","id":"ITEM-1","issue":"1","issued":{"date-parts":[["1990","3","1"]]},"page":"64-86","publisher":"Academy of Management","title":"Effects of Race on Organizational Experience, Job Performance Evaluations, and Career Outcomes","type":"article-journal","volume":"33"},"uris":["http://www.mendeley.com/documents/?uuid=1dff1a0b-bab0-3a3a-adba-fc21c6c3786e"]}],"mendeley":{"formattedCitation":"(J. H. Greenhaus et al., 1990)","plainTextFormattedCitation":"(J. H. Greenhaus et al., 1990)","previouslyFormattedCitation":"(J. H. Greenhaus et al., 1990)"},"properties":{"noteIndex":0},"schema":"https://github.com/citation-style-language/schema/raw/master/csl-citation.json"}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(J. H. Greenhaus et al., 1990)</w:t>
      </w:r>
      <w:r w:rsidRPr="007C0FE7">
        <w:rPr>
          <w:rFonts w:eastAsia="Garamond"/>
          <w:b w:val="0"/>
          <w:bCs/>
        </w:rPr>
        <w:fldChar w:fldCharType="end"/>
      </w:r>
      <w:r w:rsidRPr="007C0FE7">
        <w:rPr>
          <w:rFonts w:eastAsia="Garamond"/>
          <w:b w:val="0"/>
          <w:bCs/>
        </w:rPr>
        <w:t>.</w:t>
      </w:r>
    </w:p>
    <w:p w14:paraId="182BE924" w14:textId="77777777" w:rsidR="007C0FE7" w:rsidRPr="007C0FE7" w:rsidRDefault="007C0FE7" w:rsidP="007C0FE7">
      <w:pPr>
        <w:pStyle w:val="Alishlah21heading1"/>
        <w:numPr>
          <w:ilvl w:val="0"/>
          <w:numId w:val="0"/>
        </w:numPr>
        <w:ind w:firstLine="567"/>
        <w:jc w:val="both"/>
        <w:rPr>
          <w:rFonts w:eastAsia="Garamond"/>
          <w:b w:val="0"/>
          <w:bCs/>
        </w:rPr>
      </w:pPr>
      <w:r w:rsidRPr="007C0FE7">
        <w:rPr>
          <w:rFonts w:eastAsia="Garamond"/>
          <w:b w:val="0"/>
          <w:bCs/>
        </w:rPr>
        <w:t xml:space="preserve">To address the needs of teachers, the government should provide appropriate support for career satisfaction indicators such as performance, income, advancement, and career development </w:t>
      </w:r>
      <w:r w:rsidRPr="007C0FE7">
        <w:rPr>
          <w:rFonts w:eastAsia="Garamond"/>
          <w:b w:val="0"/>
          <w:bCs/>
        </w:rPr>
        <w:fldChar w:fldCharType="begin" w:fldLock="1"/>
      </w:r>
      <w:r w:rsidRPr="007C0FE7">
        <w:rPr>
          <w:rFonts w:eastAsia="Garamond"/>
          <w:b w:val="0"/>
          <w:bCs/>
        </w:rPr>
        <w:instrText>ADDIN CSL_CITATION {"citationItems":[{"id":"ITEM-1","itemData":{"DOI":"https://doi.org/10.5465/256352","ISSN":"0001-4273","abstract":"This study examined relationships among race, organizational experi- ences, job performance evaluations, and career outcomes for black and white managers from three work organizations. Compared to white managers, blacks felt less accepted in their organizations, perceived themselves as having less discretion on their jobs, received lower rat- ings from their supervisors on their job performance and promotability, were more likely to have reached career plateaus, and experienced lower levels of career satisfaction. We examined direct and indirect effects of race on job performance evaluations and career outcomes. Suggestions regarding areas for future research are offered.","author":[{"dropping-particle":"","family":"Greenhaus","given":"J. H.","non-dropping-particle":"","parse-names":false,"suffix":""},{"dropping-particle":"","family":"Parasuraman","given":"S.","non-dropping-particle":"","parse-names":false,"suffix":""},{"dropping-particle":"","family":"Wormley","given":"W. M.","non-dropping-particle":"","parse-names":false,"suffix":""}],"container-title":"Academy of Management Journal","id":"ITEM-1","issue":"1","issued":{"date-parts":[["1990","3","1"]]},"page":"64-86","publisher":"Academy of Management","title":"Effects of Race on Organizational Experience, Job Performance Evaluations, and Career Outcomes","type":"article-journal","volume":"33"},"uris":["http://www.mendeley.com/documents/?uuid=1dff1a0b-bab0-3a3a-adba-fc21c6c3786e"]}],"mendeley":{"formattedCitation":"(J. H. Greenhaus et al., 1990)","plainTextFormattedCitation":"(J. H. Greenhaus et al., 1990)","previouslyFormattedCitation":"(J. H. Greenhaus et al., 1990)"},"properties":{"noteIndex":0},"schema":"https://github.com/citation-style-language/schema/raw/master/csl-citation.json"}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(J. H. Greenhaus et al., 1990)</w:t>
      </w:r>
      <w:r w:rsidRPr="007C0FE7">
        <w:rPr>
          <w:rFonts w:eastAsia="Garamond"/>
          <w:b w:val="0"/>
          <w:bCs/>
        </w:rPr>
        <w:fldChar w:fldCharType="end"/>
      </w:r>
      <w:r w:rsidRPr="007C0FE7">
        <w:rPr>
          <w:rFonts w:eastAsia="Garamond"/>
          <w:b w:val="0"/>
          <w:bCs/>
        </w:rPr>
        <w:t xml:space="preserve">. </w:t>
      </w:r>
      <w:proofErr w:type="spellStart"/>
      <w:r w:rsidRPr="007C0FE7">
        <w:rPr>
          <w:rFonts w:eastAsia="Garamond"/>
          <w:b w:val="0"/>
          <w:bCs/>
        </w:rPr>
        <w:t>Heslin</w:t>
      </w:r>
      <w:proofErr w:type="spellEnd"/>
      <w:r w:rsidRPr="007C0FE7">
        <w:rPr>
          <w:rFonts w:eastAsia="Garamond"/>
          <w:b w:val="0"/>
          <w:bCs/>
        </w:rPr>
        <w:t xml:space="preserve"> </w:t>
      </w:r>
      <w:r w:rsidRPr="007C0FE7">
        <w:rPr>
          <w:rFonts w:eastAsia="Garamond"/>
          <w:b w:val="0"/>
          <w:bCs/>
        </w:rPr>
        <w:fldChar w:fldCharType="begin" w:fldLock="1"/>
      </w:r>
      <w:r w:rsidRPr="007C0FE7">
        <w:rPr>
          <w:rFonts w:eastAsia="Garamond"/>
          <w:b w:val="0"/>
          <w:bCs/>
        </w:rPr>
        <w:instrText>ADDIN CSL_CITATION {"citationItems":[{"id":"ITEM-1","itemData":{"DOI":"10.1002/job.270","ISSN":"08943796","abstract":"Within the vast literature on the antecedents of career success, the success criterion has generally been operationalized in a rather deficient manner. Several avenues for improving the conceptualization and measurement of both objective and subjective career success are identified. Paramount among these is the need for greater sensitivity to the criteria that study participants, in different contexts, use to construe and judge their career success. This paper illustrates that contextual and individual factors are likely to be associated with the relative salience of objective and subjective criteria of career success. Drawing on social comparison theory, propositions are also offered about when self- and other-referent success criteria are likely to be most salient. A broader research agenda addresses career success referent choice, organizational interventions, and potential cultural differences. This article maps out how future research can be more sensitive to how people actually do conceptualize and evaluate their own career success. Copyright © 2005 John Wiley &amp; Sons, Ltd.","author":[{"dropping-particle":"","family":"Heslin","given":"Peter A.","non-dropping-particle":"","parse-names":false,"suffix":""}],"container-title":"Journal of Organizational Behavior","id":"ITEM-1","issue":"2","issued":{"date-parts":[["2005"]]},"page":"113-136","publisher":"John Wiley and Sons Ltd","title":"Conceptualizing and Evaluating Career Success","type":"article","volume":"26"},"suppress-author":1,"uris":["http://www.mendeley.com/documents/?uuid=deeeb1dc-c71b-3c5c-9395-be1fb18fa369"]}],"mendeley":{"formattedCitation":"(2005)","plainTextFormattedCitation":"(2005)","previouslyFormattedCitation":"(2005)"},"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(2005)</w:t>
      </w:r>
      <w:r w:rsidRPr="007C0FE7">
        <w:rPr>
          <w:rFonts w:eastAsia="Garamond"/>
          <w:b w:val="0"/>
          <w:bCs/>
        </w:rPr>
        <w:fldChar w:fldCharType="end"/>
      </w:r>
      <w:r w:rsidRPr="007C0FE7">
        <w:rPr>
          <w:rFonts w:eastAsia="Garamond"/>
          <w:b w:val="0"/>
          <w:bCs/>
        </w:rPr>
        <w:t xml:space="preserve"> argues that career satisfaction is a key criterion for evaluating whether a company has provided adequate support, particularly through career development. Achieving career satisfaction makes millennial employees feel that company support also contributes to their overall life satisfaction. In this context, teachers will receive high organizational support if they perceive that their schools support their career satisfaction through advancement and development, which in turn enhances their life satisfaction </w:t>
      </w:r>
      <w:r w:rsidRPr="007C0FE7">
        <w:rPr>
          <w:rFonts w:eastAsia="Garamond"/>
          <w:b w:val="0"/>
          <w:bCs/>
        </w:rPr>
        <w:fldChar w:fldCharType="begin" w:fldLock="1"/>
      </w:r>
      <w:r w:rsidRPr="007C0FE7">
        <w:rPr>
          <w:rFonts w:eastAsia="Garamond"/>
          <w:b w:val="0"/>
          <w:bCs/>
        </w:rPr>
        <w:instrText>ADDIN CSL_CITATION {"citationItems":[{"id":"ITEM-1","itemData":{"DOI":"10.1108/EBHRM-04-2015-0011","ISSN":"20493991","abstract":"Purpose: Employee happiness or well-being is an emerging topic in management as well as in psychology. The purpose of this paper is to investigate the effects of perceived organizational support (POS) and psychological capital (PsyCap) on happiness in employees’ work (i.e. work engagement), careers (i.e. career satisfaction), and lives (i.e. subjective well-being (SWB)). Design/methodology/approach: Data were collected from 550 employees in a conglomerate in South Korea. For statistical analysis, we conducted confirmatory factor analysis, reliability and correlation analysis, and structural equation modeling analyses. Findings: Employees were highly engaged in their work, satisfied with their careers, and felt a greater sense of well-being in their lives when they had higher POS and PsyCap. Work engagement fully mediated the relationship between PsyCap and career satisfaction. POS had an indirect effect on SWB through career satisfaction. With regards to the relationships among the three outcome variables, career satisfaction turned out to fully mediate the relationship between work engagement and SWB. In addition, the direct effect of PsyCap on SWB was also found to be significant. Research limitations/implications: This study focused on knowledge workers in South Korean for-profit firms. The participants were mostly male, junior or middle managers. Using a cross-sectional survey method, this empirical study leaves room for speculation about the causality among the variables. As the results of exploratory and confirmatory factor analyses indicate, however, common method variance was found to not be of great concern. Practical implications: The mission of human resources (HR) and organization development (OD) professionals in organizations is to improve individual and organizational performance and to enhance employees’ well-being. HR/OD professionals can enhance employees’ happiness not only in their work and careers but also in their lives by improving POS (e.g. growth opportunity, performance management, and compensation system) and developing PsyCap (e.g. staffing, training, and development, etc.). Originality/value: This study linked the emerging constructs in positive psychology in general, in HR/OB in particular. To date, no study has empirically investigated the effects of PsyCap and POS on the three workplace happiness constructs: work engagement, career satisfaction, and SWB. This is the first study that found the relationship between POS and …","author":[{"dropping-particle":"","family":"Joo","given":"Baek Kyoo","non-dropping-particle":"","parse-names":false,"suffix":""},{"dropping-particle":"","family":"Lee","given":"Insuk","non-dropping-particle":"","parse-names":false,"suffix":""}],"container-title":"Evidence-based HRM","id":"ITEM-1","issue":"2","issued":{"date-parts":[["2017"]]},"page":"206-221","publisher":"Emerald Publishing","title":"Workplace Happiness: Work Engagement, Career Satisfaction, and Subjective Well-Being","type":"article-journal","volume":"5"},"uris":["http://www.mendeley.com/documents/?uuid=fd4568b7-d3fe-36e8-8eb5-3466c4e377ae"]}],"mendeley":{"formattedCitation":"(Joo &amp; Lee, 2017)","plainTextFormattedCitation":"(Joo &amp; Lee, 2017)","previouslyFormattedCitation":"(Joo &amp; Lee, 2017)"},"properties":{"noteIndex":0},"schema":"https://github.com/citation-style-language/schema/raw/master/csl-citation.json"}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(Joo &amp; Lee, 2017)</w:t>
      </w:r>
      <w:r w:rsidRPr="007C0FE7">
        <w:rPr>
          <w:rFonts w:eastAsia="Garamond"/>
          <w:b w:val="0"/>
          <w:bCs/>
        </w:rPr>
        <w:fldChar w:fldCharType="end"/>
      </w:r>
      <w:r w:rsidRPr="007C0FE7">
        <w:rPr>
          <w:rFonts w:eastAsia="Garamond"/>
          <w:b w:val="0"/>
          <w:bCs/>
        </w:rPr>
        <w:t>.</w:t>
      </w:r>
    </w:p>
    <w:p w14:paraId="679BC725" w14:textId="77777777" w:rsidR="007C0FE7" w:rsidRPr="007C0FE7" w:rsidRDefault="007C0FE7" w:rsidP="007C0FE7">
      <w:pPr>
        <w:pStyle w:val="Alishlah21heading1"/>
        <w:numPr>
          <w:ilvl w:val="0"/>
          <w:numId w:val="0"/>
        </w:numPr>
        <w:ind w:firstLine="567"/>
        <w:jc w:val="both"/>
        <w:rPr>
          <w:rFonts w:eastAsia="Garamond"/>
          <w:b w:val="0"/>
          <w:bCs/>
        </w:rPr>
      </w:pPr>
      <w:r w:rsidRPr="007C0FE7">
        <w:rPr>
          <w:rFonts w:eastAsia="Garamond"/>
          <w:b w:val="0"/>
          <w:bCs/>
        </w:rPr>
        <w:lastRenderedPageBreak/>
        <w:t xml:space="preserve">This order aligns with the idea that an individual's acceptance of organizational situations and treatments is significantly influenced by gratitude. In scientific contexts, gratitude is often referred to as "Gratitude" or "Thankfulness" </w:t>
      </w:r>
      <w:r w:rsidRPr="007C0FE7">
        <w:rPr>
          <w:rFonts w:eastAsia="Garamond"/>
          <w:b w:val="0"/>
          <w:bCs/>
        </w:rPr>
        <w:fldChar w:fldCharType="begin" w:fldLock="1"/>
      </w:r>
      <w:r w:rsidRPr="007C0FE7">
        <w:rPr>
          <w:rFonts w:eastAsia="Garamond"/>
          <w:b w:val="0"/>
          <w:bCs/>
        </w:rPr>
        <w:instrText>ADDIN CSL_CITATION {"citationItems":[{"id":"ITEM-1","itemData":{"ISBN":"987654321","author":[{"dropping-particle":"","family":"Emmons","given":"Robert A","non-dropping-particle":"","parse-names":false,"suffix":""},{"dropping-particle":"","family":"Mccullough","given":"Michael E","non-dropping-particle":"","parse-names":false,"suffix":""}],"editor":[{"dropping-particle":"","family":"Emmons","given":"Robert A","non-dropping-particle":"","parse-names":false,"suffix":""},{"dropping-particle":"","family":"Mccullough","given":"Michael E","non-dropping-particle":"","parse-names":false,"suffix":""}],"id":"ITEM-1","issued":{"date-parts":[["2004"]]},"publisher":"Oxford University Press","publisher-place":"New York","title":"The Psychology of Gratitude","type":"book"},"uris":["http://www.mendeley.com/documents/?uuid=7c0b4c14-0e6b-371f-afdf-9dfdd83e39c4"]}],"mendeley":{"formattedCitation":"(Robert A Emmons &amp; Mccullough, 2004)","plainTextFormattedCitation":"(Robert A Emmons &amp; Mccullough, 2004)","previouslyFormattedCitation":"(Robert A Emmons &amp; Mccullough, 2004)"},"properties":{"noteIndex":0},"schema":"https://github.com/citation-style-language/schema/raw/master/csl-citation.json"}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(Robert A Emmons &amp; Mccullough, 2004)</w:t>
      </w:r>
      <w:r w:rsidRPr="007C0FE7">
        <w:rPr>
          <w:rFonts w:eastAsia="Garamond"/>
          <w:b w:val="0"/>
          <w:bCs/>
        </w:rPr>
        <w:fldChar w:fldCharType="end"/>
      </w:r>
      <w:r w:rsidRPr="007C0FE7">
        <w:rPr>
          <w:rFonts w:eastAsia="Garamond"/>
          <w:b w:val="0"/>
          <w:bCs/>
        </w:rPr>
        <w:t xml:space="preserve">. Gratitude arises as a form of appreciation for the blessings received and acknowledgment of the value of these blessings. It closely relates to the acceptance and optimal utilization of what has been received in accordance with its intended purpose. Research indicates that gratitude can impact organizational behavior. For instance, </w:t>
      </w:r>
      <w:r w:rsidRPr="007C0FE7">
        <w:rPr>
          <w:rFonts w:eastAsia="Garamond"/>
          <w:b w:val="0"/>
          <w:bCs/>
          <w:noProof/>
        </w:rPr>
        <w:t>Ting &amp; Yeh</w:t>
      </w:r>
      <w:r w:rsidRPr="007C0FE7">
        <w:rPr>
          <w:rFonts w:eastAsia="Garamond"/>
          <w:b w:val="0"/>
          <w:bCs/>
        </w:rPr>
        <w:t xml:space="preserve"> </w:t>
      </w:r>
      <w:r w:rsidRPr="007C0FE7">
        <w:rPr>
          <w:rFonts w:eastAsia="Garamond"/>
          <w:b w:val="0"/>
          <w:bCs/>
        </w:rPr>
        <w:fldChar w:fldCharType="begin" w:fldLock="1"/>
      </w:r>
      <w:r w:rsidRPr="007C0FE7">
        <w:rPr>
          <w:rFonts w:eastAsia="Garamond"/>
          <w:b w:val="0"/>
          <w:bCs/>
        </w:rPr>
        <w:instrText>ADDIN CSL_CITATION {"citationItems":[{"id":"ITEM-1","itemData":{"DOI":"10.1080/13632434.2013.813453","ISSN":"13632434","abstract":"Gratitude was an important missing factor in the extant relationship quality and relationship loyalty model. We introduced gratitude into the model of relationship quality and relationship loyalty. Two hundred and eighteen teachers from elementary schools in Taiwan were used to conduct an empirical research. The results show that teachers' gratitude has positive direct effects on teachers' trust, satisfaction and commitment. Teachers' trust has no significant effect on behavioural loyalty but has a significant effect on attitudinal loyalty. However, teachers' satisfaction has no significant effect on attitudinal loyalty but has a significant effect on behavioural loyalty. Teachers' commitment has a significant effect on behavioural and attitudinal loyalty. The mediating role of commitment implies that it (1) partially mediates the relationship between teachers' trust and attitudinal loyalty, and fully mediates the relationship between teachers' trust and behavioural loyalty; (2) partially mediates the relationship between teachers' satisfaction and behavioural loyalty, and fully mediates the relationship between teachers' trust and attitudinal loyalty. © 2013 Taylor and Francis.","author":[{"dropping-particle":"","family":"Ting","given":"Shueh Chin","non-dropping-particle":"","parse-names":false,"suffix":""},{"dropping-particle":"","family":"Yeh","given":"Liang Yin","non-dropping-particle":"","parse-names":false,"suffix":""}],"container-title":"School Leadership and Management","id":"ITEM-1","issue":"1","issued":{"date-parts":[["2014","1","1"]]},"page":"85-101","publisher":"Routledge","title":"Teacher Loyalty of Elementary Schools in Taiwan: The Contribution of Gratitude and Relationship Quality","type":"article-journal","volume":"34"},"suppress-author":1,"uris":["http://www.mendeley.com/documents/?uuid=b182cb79-6f16-34ee-8e61-dfab66e4db29"]}],"mendeley":{"formattedCitation":"(2014)","plainTextFormattedCitation":"(2014)","previouslyFormattedCitation":"(2014)"},"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(2014)</w:t>
      </w:r>
      <w:r w:rsidRPr="007C0FE7">
        <w:rPr>
          <w:rFonts w:eastAsia="Garamond"/>
          <w:b w:val="0"/>
          <w:bCs/>
        </w:rPr>
        <w:fldChar w:fldCharType="end"/>
      </w:r>
      <w:r w:rsidRPr="007C0FE7">
        <w:rPr>
          <w:rFonts w:eastAsia="Garamond"/>
          <w:b w:val="0"/>
          <w:bCs/>
        </w:rPr>
        <w:t xml:space="preserve"> found that the gratitude experienced by teachers positively affected their trust, satisfaction, and commitment. This is consistent with Waters </w:t>
      </w:r>
      <w:r w:rsidRPr="007C0FE7">
        <w:rPr>
          <w:rFonts w:eastAsia="Garamond"/>
          <w:b w:val="0"/>
          <w:bCs/>
        </w:rPr>
        <w:fldChar w:fldCharType="begin" w:fldLock="1"/>
      </w:r>
      <w:r w:rsidRPr="007C0FE7">
        <w:rPr>
          <w:rFonts w:eastAsia="Garamond"/>
          <w:b w:val="0"/>
          <w:bCs/>
        </w:rPr>
        <w:instrText>ADDIN CSL_CITATION {"citationItems":[{"id":"ITEM-1","itemData":{"DOI":"10.4236/psych.2012.312a173","ISSN":"2152-7180","abstract":"This study examined the role that employee perceptions of dispositional gratitude, state gratitude and in- stitutionalized gratitude had upon job satisfaction. Employees (n = 171) completed measures of disposi- tional, state and institutionalized gratitude together with job satisfaction. Multiple Hierarchical Regression showed that state gratitude and institutional gratitude uniquely predict job satisfaction. The results have implications for the fields of positive organizational scholarship and positive organizational behavior and suggest that workplaces aiming to increase job satisfaction can do so through organizationally-based gratitude interventions and by institutionalizing gratitude into workplace culture.","author":[{"dropping-particle":"","family":"Waters","given":"Lea","non-dropping-particle":"","parse-names":false,"suffix":""}],"container-title":"Psychology","id":"ITEM-1","issue":"12","issued":{"date-parts":[["2012"]]},"page":"1174-1176","publisher":"Scientific Research Publishing, Inc,","title":"Predicting Job Satisfaction: Contributions of Individual Gratitude and Institutionalized Gratitude","type":"article-journal","volume":"03"},"suppress-author":1,"uris":["http://www.mendeley.com/documents/?uuid=2a8ec4e6-3792-33fc-bdd0-a6108d5ffc02"]}],"mendeley":{"formattedCitation":"(2012)","plainTextFormattedCitation":"(2012)","previouslyFormattedCitation":"(2012)"},"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(2012)</w:t>
      </w:r>
      <w:r w:rsidRPr="007C0FE7">
        <w:rPr>
          <w:rFonts w:eastAsia="Garamond"/>
          <w:b w:val="0"/>
          <w:bCs/>
        </w:rPr>
        <w:fldChar w:fldCharType="end"/>
      </w:r>
      <w:r w:rsidRPr="007C0FE7">
        <w:rPr>
          <w:rFonts w:eastAsia="Garamond"/>
          <w:b w:val="0"/>
          <w:bCs/>
        </w:rPr>
        <w:t>, who asserted that both personal and institutional gratitude could predict job satisfaction.</w:t>
      </w:r>
    </w:p>
    <w:p w14:paraId="5E33B1B4" w14:textId="77777777" w:rsidR="007C0FE7" w:rsidRPr="007C0FE7" w:rsidRDefault="007C0FE7" w:rsidP="007C0FE7">
      <w:pPr>
        <w:pStyle w:val="Alishlah21heading1"/>
        <w:numPr>
          <w:ilvl w:val="0"/>
          <w:numId w:val="0"/>
        </w:numPr>
        <w:ind w:firstLine="567"/>
        <w:jc w:val="both"/>
        <w:rPr>
          <w:rFonts w:eastAsia="Garamond"/>
          <w:b w:val="0"/>
          <w:bCs/>
        </w:rPr>
      </w:pPr>
      <w:r w:rsidRPr="007C0FE7">
        <w:rPr>
          <w:rFonts w:eastAsia="Garamond"/>
          <w:b w:val="0"/>
          <w:bCs/>
        </w:rPr>
        <w:t xml:space="preserve">The gratitude experienced and the personality expressed affect an individual's adaptation to organizational demands. These demands include norms, values, and behavioral codes that unify and coordinate organizational members, which in turn operationalizes organizational culture </w:t>
      </w:r>
      <w:r w:rsidRPr="007C0FE7">
        <w:rPr>
          <w:rFonts w:eastAsia="Garamond"/>
          <w:b w:val="0"/>
          <w:bCs/>
        </w:rPr>
        <w:fldChar w:fldCharType="begin" w:fldLock="1"/>
      </w:r>
      <w:r w:rsidRPr="007C0FE7">
        <w:rPr>
          <w:rFonts w:eastAsia="Garamond"/>
          <w:b w:val="0"/>
          <w:bCs/>
        </w:rPr>
        <w:instrText>ADDIN CSL_CITATION {"citationItems":[{"id":"ITEM-1","itemData":{"author":[{"dropping-particle":"","family":"Wirawan","given":"","non-dropping-particle":"","parse-names":false,"suffix":""}],"id":"ITEM-1","issued":{"date-parts":[["2007"]]},"publisher":"Salemba Empat","publisher-place":"Jakarta","title":"Budaya dan Iklim Organisasi","type":"book"},"uris":["http://www.mendeley.com/documents/?uuid=6c9adf45-5b87-423b-ada3-7f294b6dbdda"]}],"mendeley":{"formattedCitation":"(Wirawan, 2007)","plainTextFormattedCitation":"(Wirawan, 2007)","previouslyFormattedCitation":"(Wirawan, 2007)"},"properties":{"noteIndex":0},"schema":"https://github.com/citation-style-language/schema/raw/master/csl-citation.json"}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(Wirawan, 2007)</w:t>
      </w:r>
      <w:r w:rsidRPr="007C0FE7">
        <w:rPr>
          <w:rFonts w:eastAsia="Garamond"/>
          <w:b w:val="0"/>
          <w:bCs/>
        </w:rPr>
        <w:fldChar w:fldCharType="end"/>
      </w:r>
      <w:r w:rsidRPr="007C0FE7">
        <w:rPr>
          <w:rFonts w:eastAsia="Garamond"/>
          <w:b w:val="0"/>
          <w:bCs/>
        </w:rPr>
        <w:t xml:space="preserve">. According to Al-Ghazali </w:t>
      </w:r>
      <w:r w:rsidRPr="007C0FE7">
        <w:rPr>
          <w:rFonts w:eastAsia="Garamond"/>
          <w:b w:val="0"/>
          <w:bCs/>
        </w:rPr>
        <w:fldChar w:fldCharType="begin" w:fldLock="1"/>
      </w:r>
      <w:r w:rsidRPr="007C0FE7">
        <w:rPr>
          <w:rFonts w:eastAsia="Garamond"/>
          <w:b w:val="0"/>
          <w:bCs/>
        </w:rPr>
        <w:instrText>ADDIN CSL_CITATION {"citationItems":[{"id":"ITEM-1","itemData":{"author":[{"dropping-particle":"","family":"Yakbu","given":"I.","non-dropping-particle":"","parse-names":false,"suffix":""}],"id":"ITEM-1","issued":{"date-parts":[["1982"]]},"publisher":"Salemba Empat","publisher-place":"Jakarta","title":"Ihya Ulumuddin Al-Ghazali Jilid IV Terjemahan","type":"chapter"},"uris":["http://www.mendeley.com/documents/?uuid=a4319a43-ab10-47a5-8378-bf8028062eb6"]}],"mendeley":{"formattedCitation":"(Yakbu, 1982)","plainTextFormattedCitation":"(Yakbu, 1982)","previouslyFormattedCitation":"(Yakbu, 1982)"},"properties":{"noteIndex":0},"schema":"https://github.com/citation-style-language/schema/raw/master/csl-citation.json"}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(Yakbu, 1982)</w:t>
      </w:r>
      <w:r w:rsidRPr="007C0FE7">
        <w:rPr>
          <w:rFonts w:eastAsia="Garamond"/>
          <w:b w:val="0"/>
          <w:bCs/>
        </w:rPr>
        <w:fldChar w:fldCharType="end"/>
      </w:r>
      <w:r w:rsidRPr="007C0FE7">
        <w:rPr>
          <w:rFonts w:eastAsia="Garamond"/>
          <w:b w:val="0"/>
          <w:bCs/>
        </w:rPr>
        <w:t xml:space="preserve">, gratitude is the awareness that only Allah bestows blessings. Consistency in being grateful can lead to greater positive emotions compared to negative emotions </w:t>
      </w:r>
      <w:r w:rsidRPr="007C0FE7">
        <w:rPr>
          <w:rFonts w:eastAsia="Garamond"/>
          <w:b w:val="0"/>
          <w:bCs/>
        </w:rPr>
        <w:fldChar w:fldCharType="begin" w:fldLock="1"/>
      </w:r>
      <w:r w:rsidRPr="007C0FE7">
        <w:rPr>
          <w:rFonts w:eastAsia="Garamond"/>
          <w:b w:val="0"/>
          <w:bCs/>
        </w:rPr>
        <w:instrText>ADDIN CSL_CITATION {"citationItems":[{"id":"ITEM-1","itemData":{"DOI":"10.1080/17439760902992464","ISSN":"17439760","abstract":"To date, nearly half of the work supporting the efficacy of gratitude interventions did so by making contrasts with techniques that induce negative affect (e.g., record your daily hassles). Gratitude interventions have shown limited benefits, if any, over control conditions. Thus, there is a need to better understand whether gratitude interventions are beyond a control condition and if there exists a subset of people who benefit. People high in positive affect (PA) may have reached an 'emotional ceiling' and, thus, are less susceptible to experiencing gains in well-being. People lower in PA, however, may need more positive events (like expressing gratitude to a benefactor) to 'catch up' to the positive experiences of their peers. We examined if PA moderated the effects of a gratitude intervention where youth were instructed to write a letter to someone whom they were grateful and deliver it to them in person. Eighty-nine children and adolescents were randomly assigned to the gratitude intervention or a control condition. Findings indicated that youth low in PA in the gratitude condition, compared with youth writing about daily events, reported greater gratitude and PA at post-treatment and greater PA at the 2-month follow-up. © 2009 Taylor &amp; Francis.","author":[{"dropping-particle":"","family":"Froh","given":"Jeffrey J.","non-dropping-particle":"","parse-names":false,"suffix":""},{"dropping-particle":"","family":"Kashdan","given":"Todd B.","non-dropping-particle":"","parse-names":false,"suffix":""},{"dropping-particle":"","family":"Ozimkowski","given":"Kathleen M.","non-dropping-particle":"","parse-names":false,"suffix":""},{"dropping-particle":"","family":"Miller","given":"Norman","non-dropping-particle":"","parse-names":false,"suffix":""}],"container-title":"Journal of Positive Psychology","id":"ITEM-1","issue":"5","issued":{"date-parts":[["2009","9"]]},"page":"408-422","publisher":"Routledge","title":"Who Benefits The Most from A Gratitude Intervention in Children and Adolescents? Examining Positive Affect as A Moderator","type":"article-journal","volume":"4"},"uris":["http://www.mendeley.com/documents/?uuid=3fe6608d-bbf0-30a0-9703-008c08521880"]}],"mendeley":{"formattedCitation":"(Froh et al., 2009)","plainTextFormattedCitation":"(Froh et al., 2009)","previouslyFormattedCitation":"(Froh et al., 2009)"},"properties":{"noteIndex":0},"schema":"https://github.com/citation-style-language/schema/raw/master/csl-citation.json"}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(Froh et al., 2009)</w:t>
      </w:r>
      <w:r w:rsidRPr="007C0FE7">
        <w:rPr>
          <w:rFonts w:eastAsia="Garamond"/>
          <w:b w:val="0"/>
          <w:bCs/>
        </w:rPr>
        <w:fldChar w:fldCharType="end"/>
      </w:r>
      <w:r w:rsidRPr="007C0FE7">
        <w:rPr>
          <w:rFonts w:eastAsia="Garamond"/>
          <w:b w:val="0"/>
          <w:bCs/>
        </w:rPr>
        <w:t xml:space="preserve">. Moreover, gratitude can also influence an individual’s work performance </w:t>
      </w:r>
      <w:r w:rsidRPr="007C0FE7">
        <w:rPr>
          <w:rFonts w:eastAsia="Garamond"/>
          <w:b w:val="0"/>
          <w:bCs/>
        </w:rPr>
        <w:fldChar w:fldCharType="begin" w:fldLock="1"/>
      </w:r>
      <w:r w:rsidRPr="007C0FE7">
        <w:rPr>
          <w:rFonts w:eastAsia="Garamond"/>
          <w:b w:val="0"/>
          <w:bCs/>
        </w:rPr>
        <w:instrText>ADDIN CSL_CITATION {"citationItems":[{"id":"ITEM-1","itemData":{"DOI":"10.1037/a0017974","ISSN":"00219010","PMID":"20085409","abstract":"Although core self-evaluations have been linked to higher job performance, research has shown variability in the strength of this relationship. We propose that high core self-evaluations are more likely to increase job performance for other-oriented employees, who tend to anticipate feelings of guilt and gratitude. We tested these hypotheses across 3 field studies using different operationalizations of both performance and other-orientation (prosocial motivation, agreeableness, and duty). In Study 1, prosocial motivation strengthened the association between core self-evaluations and the performance of professional university fundraisers. In Study 2, agreeableness strengthened the association between core self-evaluations and supervisor ratings of initiative among public service employees. In Study 3, duty strengthened the association between core self-evaluations and the objective productivity of call center employees, and this moderating relationship was mediated by feelings of anticipated guilt and gratitude. We discuss implications for theory and research on personality and job performance. © 2010 American Psychological Association.","author":[{"dropping-particle":"","family":"Grant","given":"Adam M.","non-dropping-particle":"","parse-names":false,"suffix":""},{"dropping-particle":"","family":"Wrzesniewski","given":"Amy","non-dropping-particle":"","parse-names":false,"suffix":""}],"container-title":"Journal of Applied Psychology","id":"ITEM-1","issue":"1","issued":{"date-parts":[["2010","1"]]},"page":"108-121","title":"I Won't Let You Down... or Will I? Core Self-Evaluations, Other-Orientation, Anticipated Guilt and Gratitude, and Job Performance","type":"article-journal","volume":"95"},"uris":["http://www.mendeley.com/documents/?uuid=3a2bd3ca-9e0e-31c7-b759-2b8857fd4128"]}],"mendeley":{"formattedCitation":"(Grant &amp; Wrzesniewski, 2010)","plainTextFormattedCitation":"(Grant &amp; Wrzesniewski, 2010)","previouslyFormattedCitation":"(Grant &amp; Wrzesniewski, 2010)"},"properties":{"noteIndex":0},"schema":"https://github.com/citation-style-language/schema/raw/master/csl-citation.json"}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(Grant &amp; Wrzesniewski, 2010)</w:t>
      </w:r>
      <w:r w:rsidRPr="007C0FE7">
        <w:rPr>
          <w:rFonts w:eastAsia="Garamond"/>
          <w:b w:val="0"/>
          <w:bCs/>
        </w:rPr>
        <w:fldChar w:fldCharType="end"/>
      </w:r>
      <w:r w:rsidRPr="007C0FE7">
        <w:rPr>
          <w:rFonts w:eastAsia="Garamond"/>
          <w:b w:val="0"/>
          <w:bCs/>
        </w:rPr>
        <w:t xml:space="preserve">. Gratitude can be a significant indicator of job satisfaction </w:t>
      </w:r>
      <w:r w:rsidRPr="007C0FE7">
        <w:rPr>
          <w:rFonts w:eastAsia="Garamond"/>
          <w:b w:val="0"/>
          <w:bCs/>
        </w:rPr>
        <w:fldChar w:fldCharType="begin" w:fldLock="1"/>
      </w:r>
      <w:r w:rsidRPr="007C0FE7">
        <w:rPr>
          <w:rFonts w:eastAsia="Garamond"/>
          <w:b w:val="0"/>
          <w:bCs/>
        </w:rPr>
        <w:instrText>ADDIN CSL_CITATION {"citationItems":[{"id":"ITEM-1","itemData":{"DOI":"10.4236/psych.2012.312a173","ISSN":"2152-7180","abstract":"This study examined the role that employee perceptions of dispositional gratitude, state gratitude and in- stitutionalized gratitude had upon job satisfaction. Employees (n = 171) completed measures of disposi- tional, state and institutionalized gratitude together with job satisfaction. Multiple Hierarchical Regression showed that state gratitude and institutional gratitude uniquely predict job satisfaction. The results have implications for the fields of positive organizational scholarship and positive organizational behavior and suggest that workplaces aiming to increase job satisfaction can do so through organizationally-based gratitude interventions and by institutionalizing gratitude into workplace culture.","author":[{"dropping-particle":"","family":"Waters","given":"Lea","non-dropping-particle":"","parse-names":false,"suffix":""}],"container-title":"Psychology","id":"ITEM-1","issue":"12","issued":{"date-parts":[["2012"]]},"page":"1174-1176","publisher":"Scientific Research Publishing, Inc,","title":"Predicting Job Satisfaction: Contributions of Individual Gratitude and Institutionalized Gratitude","type":"article-journal","volume":"03"},"uris":["http://www.mendeley.com/documents/?uuid=2a8ec4e6-3792-33fc-bdd0-a6108d5ffc02"]}],"mendeley":{"formattedCitation":"(Waters, 2012)","plainTextFormattedCitation":"(Waters, 2012)","previouslyFormattedCitation":"(Waters, 2012)"},"properties":{"noteIndex":0},"schema":"https://github.com/citation-style-language/schema/raw/master/csl-citation.json"}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(Waters, 2012)</w:t>
      </w:r>
      <w:r w:rsidRPr="007C0FE7">
        <w:rPr>
          <w:rFonts w:eastAsia="Garamond"/>
          <w:b w:val="0"/>
          <w:bCs/>
        </w:rPr>
        <w:fldChar w:fldCharType="end"/>
      </w:r>
      <w:r w:rsidRPr="007C0FE7">
        <w:rPr>
          <w:rFonts w:eastAsia="Garamond"/>
          <w:b w:val="0"/>
          <w:bCs/>
        </w:rPr>
        <w:t>.</w:t>
      </w:r>
    </w:p>
    <w:p w14:paraId="105A9989" w14:textId="7015A815" w:rsidR="007C0FE7" w:rsidRPr="00741FED" w:rsidRDefault="007C0FE7" w:rsidP="00741FED">
      <w:pPr>
        <w:pStyle w:val="Alishlah21heading1"/>
        <w:numPr>
          <w:ilvl w:val="0"/>
          <w:numId w:val="0"/>
        </w:numPr>
        <w:ind w:firstLine="567"/>
        <w:jc w:val="both"/>
        <w:rPr>
          <w:rFonts w:eastAsia="Garamond"/>
          <w:b w:val="0"/>
          <w:bCs/>
        </w:rPr>
      </w:pPr>
      <w:r w:rsidRPr="007C0FE7">
        <w:rPr>
          <w:rFonts w:eastAsia="Garamond"/>
          <w:b w:val="0"/>
          <w:bCs/>
        </w:rPr>
        <w:t xml:space="preserve">Emmons et al. </w:t>
      </w:r>
      <w:r w:rsidRPr="007C0FE7">
        <w:rPr>
          <w:rFonts w:eastAsia="Garamond"/>
          <w:b w:val="0"/>
          <w:bCs/>
        </w:rPr>
        <w:fldChar w:fldCharType="begin" w:fldLock="1"/>
      </w:r>
      <w:r w:rsidRPr="007C0FE7">
        <w:rPr>
          <w:rFonts w:eastAsia="Garamond"/>
          <w:b w:val="0"/>
          <w:bCs/>
        </w:rPr>
        <w:instrText>ADDIN CSL_CITATION {"citationItems":[{"id":"ITEM-1","itemData":{"DOI":"http://dx.doi.org/10.1037/0022-3514.84.2.377","ISSN":"2152-7180","abstract":"The study aims to analyze whether parental attitudes (democratic, protective, and authoritarian) predict subjective well-being and life satisfaction of university students. Subjects in the study were 414 students, 221 female and 193 male. Perceived Parental Attitudes Scale, Subjective Well-Being Scale and Life Satisfaction Scale were used as data collection tools. Pearson product moment correlation coefficient and multiple regression analysis were used in the analysis of data. Positive significant relationship was found between democratic parental attitude and subjective well-being and life satisfaction scores; negative relation was found between protective and authoritarian parental attitude and subjective well-being and life satisfaction scores (p &lt; .001). According to regression analysis, perceived parental attitudes predict subjective well-being and life satisfaction significantly [PUBLICATION ABSTRACT]","author":[{"dropping-particle":"","family":"Emmons","given":"R. A.","non-dropping-particle":"","parse-names":false,"suffix":""},{"dropping-particle":"","family":"McCullough","given":"M. E.","non-dropping-particle":"","parse-names":false,"suffix":""}],"container-title":"Journal of Personality &amp; Social Psychology","id":"ITEM-1","issue":"08","issued":{"date-parts":[["2003"]]},"page":"377-389","publisher":"Scientific Research Publishing, Inc,","title":"Counting Blessings versus Burdens: An Experimental Investigation of Gratitude and Subjective Well-Being in Daily Life","type":"article-journal","volume":"84"},"suppress-author":1,"uris":["http://www.mendeley.com/documents/?uuid=6d7d1c92-6ff4-3234-a8a6-0815b91f0488"]}],"mendeley":{"formattedCitation":"(2003)","plainTextFormattedCitation":"(2003)","previouslyFormattedCitation":"(2003)"},"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(2003)</w:t>
      </w:r>
      <w:r w:rsidRPr="007C0FE7">
        <w:rPr>
          <w:rFonts w:eastAsia="Garamond"/>
          <w:b w:val="0"/>
          <w:bCs/>
        </w:rPr>
        <w:fldChar w:fldCharType="end"/>
      </w:r>
      <w:r w:rsidRPr="007C0FE7">
        <w:rPr>
          <w:rFonts w:eastAsia="Garamond"/>
          <w:b w:val="0"/>
          <w:bCs/>
        </w:rPr>
        <w:t xml:space="preserve"> suggested that gratitude in organizations is a key to success and has the potential to enhance individual well-being while reducing negative emotions at work. Generally, gratitude is positively correlated with individual well-being </w:t>
      </w:r>
      <w:r w:rsidRPr="007C0FE7">
        <w:rPr>
          <w:rFonts w:eastAsia="Garamond"/>
          <w:b w:val="0"/>
          <w:bCs/>
        </w:rPr>
        <w:fldChar w:fldCharType="begin" w:fldLock="1"/>
      </w:r>
      <w:r w:rsidRPr="007C0FE7">
        <w:rPr>
          <w:rFonts w:eastAsia="Garamond"/>
          <w:b w:val="0"/>
          <w:bCs/>
        </w:rPr>
        <w:instrText>ADDIN CSL_CITATION {"citationItems":[{"id":"ITEM-1","itemData":{"DOI":"DOI: 10.1080/13674676.2012.718754","ISSN":"13674676","abstract":"The present study examined the relation of religious gratitude and dispositional gratitude with mental health, subjective well-being and personality among a sample of 256 Iranian students. The two types of gratitude were associated with higher levels of mental health and well-being. Agreeableness and Conscientiousness were the strongest personality correlates of both types of gratitude. Dispositional gratitude showed stronger relationship with mental health, subjective well-being and personality factors. Dispositional gratitude also out-predicted the religious gratitude in relation with mental health and subjective well-being, showing that religious gratitude compared to dispositional gratitude has less effect on mental health and well-being. © 2013 Taylor and Francis Group, LLC.","author":[{"dropping-particle":"","family":"Aghababaei","given":"Naser","non-dropping-particle":"","parse-names":false,"suffix":""},{"dropping-particle":"","family":"Tabik","given":"Mohammad Taghi","non-dropping-particle":"","parse-names":false,"suffix":""}],"container-title":"Mental Health, Religion and Culture","id":"ITEM-1","issue":"8","issued":{"date-parts":[["2013","10"]]},"page":"761-766","publisher":"Routledge","title":"Gratitude and Mental Health: Differences Between Religious and General Gratitude in a Muslim Context","type":"article-journal","volume":"16"},"uris":["http://www.mendeley.com/documents/?uuid=c685b898-995d-3dce-9fc7-2d9e966bb4e4"]}],"mendeley":{"formattedCitation":"(Aghababaei &amp; Tabik, 2013)","plainTextFormattedCitation":"(Aghababaei &amp; Tabik, 2013)","previouslyFormattedCitation":"(Aghababaei &amp; Tabik, 2013)"},"properties":{"noteIndex":0},"schema":"https://github.com/citation-style-language/schema/raw/master/csl-citation.json"}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(Aghababaei &amp; Tabik, 2013)</w:t>
      </w:r>
      <w:r w:rsidRPr="007C0FE7">
        <w:rPr>
          <w:rFonts w:eastAsia="Garamond"/>
          <w:b w:val="0"/>
          <w:bCs/>
        </w:rPr>
        <w:fldChar w:fldCharType="end"/>
      </w:r>
      <w:r w:rsidRPr="007C0FE7">
        <w:rPr>
          <w:rFonts w:eastAsia="Garamond"/>
          <w:b w:val="0"/>
          <w:bCs/>
        </w:rPr>
        <w:t xml:space="preserve">. Additionally, gratitude can diminish materialistic tendencies </w:t>
      </w:r>
      <w:r w:rsidRPr="007C0FE7">
        <w:rPr>
          <w:rFonts w:eastAsia="Garamond"/>
          <w:b w:val="0"/>
          <w:bCs/>
        </w:rPr>
        <w:fldChar w:fldCharType="begin" w:fldLock="1"/>
      </w:r>
      <w:r w:rsidRPr="007C0FE7">
        <w:rPr>
          <w:rFonts w:eastAsia="Garamond"/>
          <w:b w:val="0"/>
          <w:bCs/>
        </w:rPr>
        <w:instrText>ADDIN CSL_CITATION {"citationItems":[{"id":"ITEM-1","itemData":{"DOI":"10.1080/17439760802216311","ISSN":"17439760","abstract":"An empirical relationship has been documented between gratitude and materialism, such that stronger feelings of gratitude are associated with lower materialism. Building on Fredrickson's (1998, 2001) theory that positive emotions 'broaden' and 'build' we sought to expand upon this finding by (1) examining satisfaction with life as a potential mechanism for this relationship, and (2) exploring the causal direction of this relationship through experimental means. Study 1 (n = 131) demonstrated that satisfaction with life mediated the relationship between gratitude and materialism. Study 2 (n = 171) showed that that experimentally induced gratitude resulted in higher satisfaction with life and lower materialism in a high gratitude condition compared to an envy (low gratitude) condition. Implications and directions for future research were discussed.","author":[{"dropping-particle":"","family":"Lambert","given":"Nathaniel M.","non-dropping-particle":"","parse-names":false,"suffix":""},{"dropping-particle":"","family":"Fincham","given":"Frank D.","non-dropping-particle":"","parse-names":false,"suffix":""},{"dropping-particle":"","family":"Stillman","given":"Tyler F.","non-dropping-particle":"","parse-names":false,"suffix":""},{"dropping-particle":"","family":"Dean","given":"Lukas R.","non-dropping-particle":"","parse-names":false,"suffix":""}],"container-title":"Journal of Positive Psychology","id":"ITEM-1","issue":"1","issued":{"date-parts":[["2009"]]},"page":"32-42","title":"More Gratitude, Less Materialism: The Mediating Role of Life Satisfaction","type":"article-journal","volume":"4"},"uris":["http://www.mendeley.com/documents/?uuid=386fc0b3-b708-3418-89a1-3126ba82535c"]}],"mendeley":{"formattedCitation":"(Lambert et al., 2009)","plainTextFormattedCitation":"(Lambert et al., 2009)","previouslyFormattedCitation":"(Lambert et al., 2009)"},"properties":{"noteIndex":0},"schema":"https://github.com/citation-style-language/schema/raw/master/csl-citation.json"}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(Lambert et al., 2009)</w:t>
      </w:r>
      <w:r w:rsidRPr="007C0FE7">
        <w:rPr>
          <w:rFonts w:eastAsia="Garamond"/>
          <w:b w:val="0"/>
          <w:bCs/>
        </w:rPr>
        <w:fldChar w:fldCharType="end"/>
      </w:r>
      <w:r w:rsidRPr="007C0FE7">
        <w:rPr>
          <w:rFonts w:eastAsia="Garamond"/>
          <w:b w:val="0"/>
          <w:bCs/>
        </w:rPr>
        <w:t xml:space="preserve">. External factors such as recognition for one’s job or profession, support from family, and a conducive work environment also influence work well-being, alongside internal factors inherent to the individual </w:t>
      </w:r>
      <w:r w:rsidRPr="007C0FE7">
        <w:rPr>
          <w:rFonts w:eastAsia="Garamond"/>
          <w:b w:val="0"/>
          <w:bCs/>
        </w:rPr>
        <w:fldChar w:fldCharType="begin" w:fldLock="1"/>
      </w:r>
      <w:r w:rsidRPr="007C0FE7">
        <w:rPr>
          <w:rFonts w:eastAsia="Garamond"/>
          <w:b w:val="0"/>
          <w:bCs/>
        </w:rPr>
        <w:instrText>ADDIN CSL_CITATION {"citationItems":[{"id":"ITEM-1","itemData":{"DOI":"10.1016/j.ijnss.2015.10.001","ISSN":"23520132","abstract":"Objectives To determine the factors influencing the occupational well-being of experienced nurses. Methods We interviewed eight experienced nurses using an exploratory, semi-structured interview. Results The interviews revealed five themes that influenced occupational well-being in experienced nurses: (1) external occupational recognition; (2) internal career expectation and occupational value; (3) work environment; (4) family support; and (5) occupational planning and payment. When the nurses were not recognized by patients or clients, their family, colleague and leaders, their well-being was negatively impacted. However, the harmonious work environments and friendly interpersonal relationships positively impacted their well-being. Conclusion By identifying the factors that contribute to a nurse's occupational well-being, the nursing management is better able to address the nurse's needs to maintain a positive well-being. This in turn will decrease the burnout and increase retention of experienced nurses, which will raise the quality of patient care.","author":[{"dropping-particle":"","family":"Zhao","given":"Shangping","non-dropping-particle":"","parse-names":false,"suffix":""},{"dropping-particle":"","family":"Liu","given":"Ling","non-dropping-particle":"","parse-names":false,"suffix":""},{"dropping-particle":"","family":"Chen","given":"Hong","non-dropping-particle":"","parse-names":false,"suffix":""}],"container-title":"International Journal of Nursing Sciences","id":"ITEM-1","issue":"4","issued":{"date-parts":[["2015","12","1"]]},"page":"378-382","publisher":"ScienceDirect","title":"Factors Influencing The Occupational Well-Being of Experienced Nurses","type":"article-journal","volume":"2"},"uris":["http://www.mendeley.com/documents/?uuid=a074093f-6d88-3e83-a495-c4435423f53f"]}],"mendeley":{"formattedCitation":"(Zhao et al., 2015)","plainTextFormattedCitation":"(Zhao et al., 2015)","previouslyFormattedCitation":"(Zhao et al., 2015)"},"properties":{"noteIndex":0},"schema":"https://github.com/citation-style-language/schema/raw/master/csl-citation.json"}</w:instrText>
      </w:r>
      <w:r w:rsidRPr="007C0FE7">
        <w:rPr>
          <w:rFonts w:eastAsia="Garamond"/>
          <w:b w:val="0"/>
          <w:bCs/>
        </w:rPr>
        <w:fldChar w:fldCharType="separate"/>
      </w:r>
      <w:r w:rsidRPr="007C0FE7">
        <w:rPr>
          <w:rFonts w:eastAsia="Garamond"/>
          <w:b w:val="0"/>
          <w:bCs/>
          <w:noProof/>
        </w:rPr>
        <w:t>(Zhao et al., 2015)</w:t>
      </w:r>
      <w:r w:rsidRPr="007C0FE7">
        <w:rPr>
          <w:rFonts w:eastAsia="Garamond"/>
          <w:b w:val="0"/>
          <w:bCs/>
        </w:rPr>
        <w:fldChar w:fldCharType="end"/>
      </w:r>
      <w:r w:rsidRPr="007C0FE7">
        <w:rPr>
          <w:rFonts w:eastAsia="Garamond"/>
          <w:b w:val="0"/>
          <w:bCs/>
        </w:rPr>
        <w:t xml:space="preserve">(Zhao et al., 2015). Thus, gratitude plays a crucial role in influencing teacher career satisfaction and overall work well-being. </w:t>
      </w:r>
    </w:p>
    <w:p w14:paraId="59346A20" w14:textId="77777777" w:rsidR="005B5AEC" w:rsidRPr="00723B12" w:rsidRDefault="005B5AEC" w:rsidP="002A02C2">
      <w:pPr>
        <w:pStyle w:val="Alishlah21heading1"/>
        <w:rPr>
          <w:rFonts w:eastAsia="Arial"/>
        </w:rPr>
      </w:pPr>
      <w:r w:rsidRPr="00723B12">
        <w:rPr>
          <w:rFonts w:eastAsia="Arial"/>
        </w:rPr>
        <w:t xml:space="preserve">CONCLUSION </w:t>
      </w:r>
    </w:p>
    <w:p w14:paraId="19B77074" w14:textId="77777777" w:rsidR="00741FED" w:rsidRDefault="00741FED" w:rsidP="00741FED">
      <w:pPr>
        <w:pStyle w:val="Alishlah62Acknowledgments"/>
        <w:ind w:firstLine="567"/>
        <w:rPr>
          <w:sz w:val="20"/>
          <w:szCs w:val="22"/>
        </w:rPr>
      </w:pPr>
      <w:r w:rsidRPr="00741FED">
        <w:rPr>
          <w:sz w:val="20"/>
          <w:szCs w:val="22"/>
        </w:rPr>
        <w:t xml:space="preserve">The </w:t>
      </w:r>
      <w:proofErr w:type="spellStart"/>
      <w:r w:rsidRPr="00741FED">
        <w:rPr>
          <w:sz w:val="20"/>
          <w:szCs w:val="22"/>
        </w:rPr>
        <w:t>Greenhaus</w:t>
      </w:r>
      <w:proofErr w:type="spellEnd"/>
      <w:r w:rsidRPr="00741FED">
        <w:rPr>
          <w:sz w:val="20"/>
          <w:szCs w:val="22"/>
        </w:rPr>
        <w:t xml:space="preserve"> Theory outlines five aspects for measuring career satisfaction. In the context of this study, which focuses on career satisfaction among guidance counselors in </w:t>
      </w:r>
      <w:proofErr w:type="spellStart"/>
      <w:r w:rsidRPr="00741FED">
        <w:rPr>
          <w:sz w:val="20"/>
          <w:szCs w:val="22"/>
        </w:rPr>
        <w:t>Tasikmalaya</w:t>
      </w:r>
      <w:proofErr w:type="spellEnd"/>
      <w:r w:rsidRPr="00741FED">
        <w:rPr>
          <w:sz w:val="20"/>
          <w:szCs w:val="22"/>
        </w:rPr>
        <w:t xml:space="preserve">, an additional aspect—Gratitude—was introduced. The model validation through Confirmatory Factor Analysis (CFA) for career satisfaction among guidance counselors in </w:t>
      </w:r>
      <w:proofErr w:type="spellStart"/>
      <w:r w:rsidRPr="00741FED">
        <w:rPr>
          <w:sz w:val="20"/>
          <w:szCs w:val="22"/>
        </w:rPr>
        <w:t>Tasikmalaya</w:t>
      </w:r>
      <w:proofErr w:type="spellEnd"/>
      <w:r w:rsidRPr="00741FED">
        <w:rPr>
          <w:sz w:val="20"/>
          <w:szCs w:val="22"/>
        </w:rPr>
        <w:t xml:space="preserve"> demonstrated that (1) career achievement, (2) fulfillment of career goals, (3) income, (4) career progress, (5) development of abilities during a career, and (6) gratitude is all valid and reliable for assessing career satisfaction variables. These findings suggest that researchers measuring career satisfaction should consider incorporating the spiritual aspect of gratitude as a component of career </w:t>
      </w:r>
      <w:proofErr w:type="spellStart"/>
      <w:r w:rsidRPr="00741FED">
        <w:rPr>
          <w:sz w:val="20"/>
          <w:szCs w:val="22"/>
        </w:rPr>
        <w:t>satisfaction.</w:t>
      </w:r>
    </w:p>
    <w:p w14:paraId="30743586" w14:textId="77777777" w:rsidR="00741FED" w:rsidRDefault="002B31FD" w:rsidP="002B31FD">
      <w:pPr>
        <w:pStyle w:val="Alishlah62Acknowledgments"/>
        <w:rPr>
          <w:rFonts w:ascii="Garamond" w:eastAsia="Garamond" w:hAnsi="Garamond" w:cs="Garamond"/>
          <w:sz w:val="24"/>
          <w:szCs w:val="24"/>
        </w:rPr>
      </w:pPr>
      <w:proofErr w:type="spellEnd"/>
      <w:r>
        <w:rPr>
          <w:b/>
        </w:rPr>
        <w:t>Acknowledgments:</w:t>
      </w:r>
      <w:r w:rsidRPr="00234749">
        <w:t xml:space="preserve"> </w:t>
      </w:r>
      <w:r w:rsidR="00741FED" w:rsidRPr="00C111E5">
        <w:rPr>
          <w:rFonts w:ascii="Garamond" w:eastAsia="Garamond" w:hAnsi="Garamond" w:cs="Garamond"/>
          <w:sz w:val="24"/>
          <w:szCs w:val="24"/>
        </w:rPr>
        <w:t>We would like to express our highest gratitude and appreciation to (1) the Higher Education Financing Agency (BPPT), Ministry of Education, Culture, Research, and Technology, Republic of Indonesia, and (2) the Education Fund Management Institute (LPDP), Indonesian Education Scholarship (BPI), Ministry of Finance of the Republic of Indonesia, for providing scholarships to the first author and presenter to complete their studies.</w:t>
      </w:r>
    </w:p>
    <w:p w14:paraId="5F0BCAC2" w14:textId="00F43F39" w:rsidR="002B31FD" w:rsidRPr="00741FED" w:rsidRDefault="002B31FD" w:rsidP="00741FED">
      <w:pPr>
        <w:pStyle w:val="Alishlah62Acknowledgments"/>
        <w:rPr>
          <w:rFonts w:eastAsia="Arial"/>
        </w:rPr>
      </w:pPr>
      <w:r w:rsidRPr="004841C5">
        <w:rPr>
          <w:b/>
        </w:rPr>
        <w:t>Conflicts of Interest:</w:t>
      </w:r>
      <w:r w:rsidRPr="004841C5">
        <w:t xml:space="preserve"> Declare conflicts of interest or state “The authors declare no conflict of interest.</w:t>
      </w:r>
      <w:r>
        <w:t>”</w:t>
      </w:r>
      <w:r w:rsidRPr="004841C5">
        <w:t xml:space="preserve"> Authors must identify and declare any personal circumstances or interest</w:t>
      </w:r>
      <w:r>
        <w:t>s</w:t>
      </w:r>
      <w:r w:rsidRPr="004841C5">
        <w:t xml:space="preserve"> that may be perceived as inappropriately influencing the representation or interpretation of reported research results.</w:t>
      </w:r>
    </w:p>
    <w:p w14:paraId="626E653E" w14:textId="77777777" w:rsidR="002B31FD" w:rsidRDefault="002B31FD" w:rsidP="002B31FD">
      <w:pPr>
        <w:pStyle w:val="Alishlah21heading1"/>
        <w:numPr>
          <w:ilvl w:val="0"/>
          <w:numId w:val="0"/>
        </w:numPr>
      </w:pPr>
      <w:r>
        <w:t>REFERENCES</w:t>
      </w:r>
    </w:p>
    <w:p w14:paraId="23B7EF2C"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Pr>
          <w:rFonts w:ascii="Garamond" w:eastAsia="Garamond" w:hAnsi="Garamond" w:cs="Garamond"/>
          <w:color w:val="FF0000"/>
          <w:sz w:val="24"/>
          <w:szCs w:val="24"/>
        </w:rPr>
        <w:fldChar w:fldCharType="begin" w:fldLock="1"/>
      </w:r>
      <w:r>
        <w:rPr>
          <w:rFonts w:ascii="Garamond" w:eastAsia="Garamond" w:hAnsi="Garamond" w:cs="Garamond"/>
          <w:color w:val="FF0000"/>
          <w:sz w:val="24"/>
          <w:szCs w:val="24"/>
        </w:rPr>
        <w:instrText xml:space="preserve">ADDIN Mendeley Bibliography CSL_BIBLIOGRAPHY </w:instrText>
      </w:r>
      <w:r>
        <w:rPr>
          <w:rFonts w:ascii="Garamond" w:eastAsia="Garamond" w:hAnsi="Garamond" w:cs="Garamond"/>
          <w:color w:val="FF0000"/>
          <w:sz w:val="24"/>
          <w:szCs w:val="24"/>
        </w:rPr>
        <w:fldChar w:fldCharType="separate"/>
      </w:r>
      <w:r w:rsidRPr="005B55CF">
        <w:rPr>
          <w:rFonts w:ascii="Garamond" w:hAnsi="Garamond" w:cs="Times New Roman"/>
          <w:noProof/>
          <w:sz w:val="24"/>
        </w:rPr>
        <w:t xml:space="preserve">Abele, A. E., &amp; Spurk, D. (2009). How Do Objective and Subjective Career Success Interrelate Over Time? </w:t>
      </w:r>
      <w:r w:rsidRPr="005B55CF">
        <w:rPr>
          <w:rFonts w:ascii="Garamond" w:hAnsi="Garamond" w:cs="Times New Roman"/>
          <w:i/>
          <w:iCs/>
          <w:noProof/>
          <w:sz w:val="24"/>
        </w:rPr>
        <w:t>Journal of Occupational and Organizational Psychology</w:t>
      </w:r>
      <w:r w:rsidRPr="005B55CF">
        <w:rPr>
          <w:rFonts w:ascii="Garamond" w:hAnsi="Garamond" w:cs="Times New Roman"/>
          <w:noProof/>
          <w:sz w:val="24"/>
        </w:rPr>
        <w:t xml:space="preserve">, </w:t>
      </w:r>
      <w:r w:rsidRPr="005B55CF">
        <w:rPr>
          <w:rFonts w:ascii="Garamond" w:hAnsi="Garamond" w:cs="Times New Roman"/>
          <w:i/>
          <w:iCs/>
          <w:noProof/>
          <w:sz w:val="24"/>
        </w:rPr>
        <w:t>82</w:t>
      </w:r>
      <w:r w:rsidRPr="005B55CF">
        <w:rPr>
          <w:rFonts w:ascii="Garamond" w:hAnsi="Garamond" w:cs="Times New Roman"/>
          <w:noProof/>
          <w:sz w:val="24"/>
        </w:rPr>
        <w:t>(4), 803–824. https://doi.org/10.1348/096317909X470924</w:t>
      </w:r>
    </w:p>
    <w:p w14:paraId="625F225B"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lastRenderedPageBreak/>
        <w:t xml:space="preserve">Abele, A. E., Spurk, D., &amp; Volmer, J. (2011). The Construct of Career Success: Measurement Issues and An Empirical Example. </w:t>
      </w:r>
      <w:r w:rsidRPr="005B55CF">
        <w:rPr>
          <w:rFonts w:ascii="Garamond" w:hAnsi="Garamond" w:cs="Times New Roman"/>
          <w:i/>
          <w:iCs/>
          <w:noProof/>
          <w:sz w:val="24"/>
        </w:rPr>
        <w:t>Zeitschrift Fur Arbeitsmarktforschung</w:t>
      </w:r>
      <w:r w:rsidRPr="005B55CF">
        <w:rPr>
          <w:rFonts w:ascii="Garamond" w:hAnsi="Garamond" w:cs="Times New Roman"/>
          <w:noProof/>
          <w:sz w:val="24"/>
        </w:rPr>
        <w:t xml:space="preserve">, </w:t>
      </w:r>
      <w:r w:rsidRPr="005B55CF">
        <w:rPr>
          <w:rFonts w:ascii="Garamond" w:hAnsi="Garamond" w:cs="Times New Roman"/>
          <w:i/>
          <w:iCs/>
          <w:noProof/>
          <w:sz w:val="24"/>
        </w:rPr>
        <w:t>43</w:t>
      </w:r>
      <w:r w:rsidRPr="005B55CF">
        <w:rPr>
          <w:rFonts w:ascii="Garamond" w:hAnsi="Garamond" w:cs="Times New Roman"/>
          <w:noProof/>
          <w:sz w:val="24"/>
        </w:rPr>
        <w:t>(3), 195–206. https://doi.org/10.1007/s12651-010-0034-6</w:t>
      </w:r>
    </w:p>
    <w:p w14:paraId="76B5DFD0"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Aghababaei, N., &amp; Tabik, M. T. (2013). Gratitude and Mental Health: Differences Between Religious and General Gratitude in a Muslim Context. </w:t>
      </w:r>
      <w:r w:rsidRPr="005B55CF">
        <w:rPr>
          <w:rFonts w:ascii="Garamond" w:hAnsi="Garamond" w:cs="Times New Roman"/>
          <w:i/>
          <w:iCs/>
          <w:noProof/>
          <w:sz w:val="24"/>
        </w:rPr>
        <w:t>Mental Health, Religion and Culture</w:t>
      </w:r>
      <w:r w:rsidRPr="005B55CF">
        <w:rPr>
          <w:rFonts w:ascii="Garamond" w:hAnsi="Garamond" w:cs="Times New Roman"/>
          <w:noProof/>
          <w:sz w:val="24"/>
        </w:rPr>
        <w:t xml:space="preserve">, </w:t>
      </w:r>
      <w:r w:rsidRPr="005B55CF">
        <w:rPr>
          <w:rFonts w:ascii="Garamond" w:hAnsi="Garamond" w:cs="Times New Roman"/>
          <w:i/>
          <w:iCs/>
          <w:noProof/>
          <w:sz w:val="24"/>
        </w:rPr>
        <w:t>16</w:t>
      </w:r>
      <w:r w:rsidRPr="005B55CF">
        <w:rPr>
          <w:rFonts w:ascii="Garamond" w:hAnsi="Garamond" w:cs="Times New Roman"/>
          <w:noProof/>
          <w:sz w:val="24"/>
        </w:rPr>
        <w:t>(8), 761–766. https://doi.org/DOI: 10.1080/13674676.2012.718754</w:t>
      </w:r>
    </w:p>
    <w:p w14:paraId="3A5817D6"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Bakker, A. B., Demerouti, E., Hakanen, J. J., &amp; Xanthopoulou, D. (2007). Job Resources Boost Work Engagement, Particularly When Job Demands Are High. </w:t>
      </w:r>
      <w:r w:rsidRPr="005B55CF">
        <w:rPr>
          <w:rFonts w:ascii="Garamond" w:hAnsi="Garamond" w:cs="Times New Roman"/>
          <w:i/>
          <w:iCs/>
          <w:noProof/>
          <w:sz w:val="24"/>
        </w:rPr>
        <w:t>Journal of Educational Psychology</w:t>
      </w:r>
      <w:r w:rsidRPr="005B55CF">
        <w:rPr>
          <w:rFonts w:ascii="Garamond" w:hAnsi="Garamond" w:cs="Times New Roman"/>
          <w:noProof/>
          <w:sz w:val="24"/>
        </w:rPr>
        <w:t xml:space="preserve">, </w:t>
      </w:r>
      <w:r w:rsidRPr="005B55CF">
        <w:rPr>
          <w:rFonts w:ascii="Garamond" w:hAnsi="Garamond" w:cs="Times New Roman"/>
          <w:i/>
          <w:iCs/>
          <w:noProof/>
          <w:sz w:val="24"/>
        </w:rPr>
        <w:t>99</w:t>
      </w:r>
      <w:r w:rsidRPr="005B55CF">
        <w:rPr>
          <w:rFonts w:ascii="Garamond" w:hAnsi="Garamond" w:cs="Times New Roman"/>
          <w:noProof/>
          <w:sz w:val="24"/>
        </w:rPr>
        <w:t>(2), 274–284. https://doi.org/10.1037/0022-0663.99.2.274</w:t>
      </w:r>
    </w:p>
    <w:p w14:paraId="60974E86"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Boudreau, J. W., Boswell, W. R., &amp; Judge, T. A. (2001). Effects of Personality on Executive Career Success in the United States and Europe. </w:t>
      </w:r>
      <w:r w:rsidRPr="005B55CF">
        <w:rPr>
          <w:rFonts w:ascii="Garamond" w:hAnsi="Garamond" w:cs="Times New Roman"/>
          <w:i/>
          <w:iCs/>
          <w:noProof/>
          <w:sz w:val="24"/>
        </w:rPr>
        <w:t>Journal of Vocational Behavior</w:t>
      </w:r>
      <w:r w:rsidRPr="005B55CF">
        <w:rPr>
          <w:rFonts w:ascii="Garamond" w:hAnsi="Garamond" w:cs="Times New Roman"/>
          <w:noProof/>
          <w:sz w:val="24"/>
        </w:rPr>
        <w:t xml:space="preserve">, </w:t>
      </w:r>
      <w:r w:rsidRPr="005B55CF">
        <w:rPr>
          <w:rFonts w:ascii="Garamond" w:hAnsi="Garamond" w:cs="Times New Roman"/>
          <w:i/>
          <w:iCs/>
          <w:noProof/>
          <w:sz w:val="24"/>
        </w:rPr>
        <w:t>58</w:t>
      </w:r>
      <w:r w:rsidRPr="005B55CF">
        <w:rPr>
          <w:rFonts w:ascii="Garamond" w:hAnsi="Garamond" w:cs="Times New Roman"/>
          <w:noProof/>
          <w:sz w:val="24"/>
        </w:rPr>
        <w:t>(1), 53–81. https://doi.org/10.1006/jvbe.2000.1755</w:t>
      </w:r>
    </w:p>
    <w:p w14:paraId="27AC4618"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Darling-Hammond, L. (2000). Teacher Quality and Student Achievement: A Review of State Policy Evidence. </w:t>
      </w:r>
      <w:r w:rsidRPr="005B55CF">
        <w:rPr>
          <w:rFonts w:ascii="Garamond" w:hAnsi="Garamond" w:cs="Times New Roman"/>
          <w:i/>
          <w:iCs/>
          <w:noProof/>
          <w:sz w:val="24"/>
        </w:rPr>
        <w:t>Education Policy Analysis Archieves</w:t>
      </w:r>
      <w:r w:rsidRPr="005B55CF">
        <w:rPr>
          <w:rFonts w:ascii="Garamond" w:hAnsi="Garamond" w:cs="Times New Roman"/>
          <w:noProof/>
          <w:sz w:val="24"/>
        </w:rPr>
        <w:t xml:space="preserve">, </w:t>
      </w:r>
      <w:r w:rsidRPr="005B55CF">
        <w:rPr>
          <w:rFonts w:ascii="Garamond" w:hAnsi="Garamond" w:cs="Times New Roman"/>
          <w:i/>
          <w:iCs/>
          <w:noProof/>
          <w:sz w:val="24"/>
        </w:rPr>
        <w:t>8</w:t>
      </w:r>
      <w:r w:rsidRPr="005B55CF">
        <w:rPr>
          <w:rFonts w:ascii="Garamond" w:hAnsi="Garamond" w:cs="Times New Roman"/>
          <w:noProof/>
          <w:sz w:val="24"/>
        </w:rPr>
        <w:t>(1), 1–44. https://doi.org/https://doi.org/10.14507/epaa.v8n1.2000</w:t>
      </w:r>
    </w:p>
    <w:p w14:paraId="1709D146"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Day, C., &amp; Sachs, J. (2005). International Handbook on the Continuing Professional Development of Teachers. In </w:t>
      </w:r>
      <w:r w:rsidRPr="005B55CF">
        <w:rPr>
          <w:rFonts w:ascii="Garamond" w:hAnsi="Garamond" w:cs="Times New Roman"/>
          <w:i/>
          <w:iCs/>
          <w:noProof/>
          <w:sz w:val="24"/>
        </w:rPr>
        <w:t>International Handbook on the Continuing Professional Development of Teachers, Open University Press</w:t>
      </w:r>
      <w:r w:rsidRPr="005B55CF">
        <w:rPr>
          <w:rFonts w:ascii="Garamond" w:hAnsi="Garamond" w:cs="Times New Roman"/>
          <w:noProof/>
          <w:sz w:val="24"/>
        </w:rPr>
        <w:t>. ERIC.</w:t>
      </w:r>
    </w:p>
    <w:p w14:paraId="6EAE3A00"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De Hauw, S., &amp; De Vos, A. (2010). Millennials’ career perspective and psychological contract expectations: Does the recession lead to lowered expectations? </w:t>
      </w:r>
      <w:r w:rsidRPr="005B55CF">
        <w:rPr>
          <w:rFonts w:ascii="Garamond" w:hAnsi="Garamond" w:cs="Times New Roman"/>
          <w:i/>
          <w:iCs/>
          <w:noProof/>
          <w:sz w:val="24"/>
        </w:rPr>
        <w:t>Journal of Business and Psychology</w:t>
      </w:r>
      <w:r w:rsidRPr="005B55CF">
        <w:rPr>
          <w:rFonts w:ascii="Garamond" w:hAnsi="Garamond" w:cs="Times New Roman"/>
          <w:noProof/>
          <w:sz w:val="24"/>
        </w:rPr>
        <w:t xml:space="preserve">, </w:t>
      </w:r>
      <w:r w:rsidRPr="005B55CF">
        <w:rPr>
          <w:rFonts w:ascii="Garamond" w:hAnsi="Garamond" w:cs="Times New Roman"/>
          <w:i/>
          <w:iCs/>
          <w:noProof/>
          <w:sz w:val="24"/>
        </w:rPr>
        <w:t>25</w:t>
      </w:r>
      <w:r w:rsidRPr="005B55CF">
        <w:rPr>
          <w:rFonts w:ascii="Garamond" w:hAnsi="Garamond" w:cs="Times New Roman"/>
          <w:noProof/>
          <w:sz w:val="24"/>
        </w:rPr>
        <w:t>(2), 293–302. https://doi.org/10.1007/s10869-010-9162-9</w:t>
      </w:r>
    </w:p>
    <w:p w14:paraId="2CF40E75"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Emmons, R. A., &amp; McCullough, M. E. (2003). Counting Blessings versus Burdens: An Experimental Investigation of Gratitude and Subjective Well-Being in Daily Life. </w:t>
      </w:r>
      <w:r w:rsidRPr="005B55CF">
        <w:rPr>
          <w:rFonts w:ascii="Garamond" w:hAnsi="Garamond" w:cs="Times New Roman"/>
          <w:i/>
          <w:iCs/>
          <w:noProof/>
          <w:sz w:val="24"/>
        </w:rPr>
        <w:t>Journal of Personality &amp; Social Psychology</w:t>
      </w:r>
      <w:r w:rsidRPr="005B55CF">
        <w:rPr>
          <w:rFonts w:ascii="Garamond" w:hAnsi="Garamond" w:cs="Times New Roman"/>
          <w:noProof/>
          <w:sz w:val="24"/>
        </w:rPr>
        <w:t xml:space="preserve">, </w:t>
      </w:r>
      <w:r w:rsidRPr="005B55CF">
        <w:rPr>
          <w:rFonts w:ascii="Garamond" w:hAnsi="Garamond" w:cs="Times New Roman"/>
          <w:i/>
          <w:iCs/>
          <w:noProof/>
          <w:sz w:val="24"/>
        </w:rPr>
        <w:t>84</w:t>
      </w:r>
      <w:r w:rsidRPr="005B55CF">
        <w:rPr>
          <w:rFonts w:ascii="Garamond" w:hAnsi="Garamond" w:cs="Times New Roman"/>
          <w:noProof/>
          <w:sz w:val="24"/>
        </w:rPr>
        <w:t>(08), 377–389. https://doi.org/http://dx.doi.org/10.1037/0022-3514.84.2.377</w:t>
      </w:r>
    </w:p>
    <w:p w14:paraId="29DB6D1B"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Emmons, Robert A, &amp; Mccullough, M. E. (2004). </w:t>
      </w:r>
      <w:r w:rsidRPr="005B55CF">
        <w:rPr>
          <w:rFonts w:ascii="Garamond" w:hAnsi="Garamond" w:cs="Times New Roman"/>
          <w:i/>
          <w:iCs/>
          <w:noProof/>
          <w:sz w:val="24"/>
        </w:rPr>
        <w:t>The Psychology of Gratitude</w:t>
      </w:r>
      <w:r w:rsidRPr="005B55CF">
        <w:rPr>
          <w:rFonts w:ascii="Garamond" w:hAnsi="Garamond" w:cs="Times New Roman"/>
          <w:noProof/>
          <w:sz w:val="24"/>
        </w:rPr>
        <w:t xml:space="preserve"> (Robert A Emmons &amp; M. E. Mccullough (eds.)). Oxford University Press.</w:t>
      </w:r>
    </w:p>
    <w:p w14:paraId="61F56D0A"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Fehr, R., Fulmer, A., Awtrey, E., &amp; Miller, J. A. (2017). The Grateful Workplace: A Multilevel Model of Gratitude in Organizations. </w:t>
      </w:r>
      <w:r w:rsidRPr="005B55CF">
        <w:rPr>
          <w:rFonts w:ascii="Garamond" w:hAnsi="Garamond" w:cs="Times New Roman"/>
          <w:i/>
          <w:iCs/>
          <w:noProof/>
          <w:sz w:val="24"/>
        </w:rPr>
        <w:t>Academy of Management Review</w:t>
      </w:r>
      <w:r w:rsidRPr="005B55CF">
        <w:rPr>
          <w:rFonts w:ascii="Garamond" w:hAnsi="Garamond" w:cs="Times New Roman"/>
          <w:noProof/>
          <w:sz w:val="24"/>
        </w:rPr>
        <w:t xml:space="preserve">, </w:t>
      </w:r>
      <w:r w:rsidRPr="005B55CF">
        <w:rPr>
          <w:rFonts w:ascii="Garamond" w:hAnsi="Garamond" w:cs="Times New Roman"/>
          <w:i/>
          <w:iCs/>
          <w:noProof/>
          <w:sz w:val="24"/>
        </w:rPr>
        <w:t>42</w:t>
      </w:r>
      <w:r w:rsidRPr="005B55CF">
        <w:rPr>
          <w:rFonts w:ascii="Garamond" w:hAnsi="Garamond" w:cs="Times New Roman"/>
          <w:noProof/>
          <w:sz w:val="24"/>
        </w:rPr>
        <w:t>(2), 361–381. https://doi.org/10.5465/amr.2014.0374</w:t>
      </w:r>
    </w:p>
    <w:p w14:paraId="1F64F65F"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Fink, D. (2003). The Law of Unintended Consequences: The “Real” Cost of Top-Down Reform. </w:t>
      </w:r>
      <w:r w:rsidRPr="005B55CF">
        <w:rPr>
          <w:rFonts w:ascii="Garamond" w:hAnsi="Garamond" w:cs="Times New Roman"/>
          <w:i/>
          <w:iCs/>
          <w:noProof/>
          <w:sz w:val="24"/>
        </w:rPr>
        <w:t>The International Journal of Educational Change</w:t>
      </w:r>
      <w:r w:rsidRPr="005B55CF">
        <w:rPr>
          <w:rFonts w:ascii="Garamond" w:hAnsi="Garamond" w:cs="Times New Roman"/>
          <w:noProof/>
          <w:sz w:val="24"/>
        </w:rPr>
        <w:t xml:space="preserve">, </w:t>
      </w:r>
      <w:r w:rsidRPr="005B55CF">
        <w:rPr>
          <w:rFonts w:ascii="Garamond" w:hAnsi="Garamond" w:cs="Times New Roman"/>
          <w:i/>
          <w:iCs/>
          <w:noProof/>
          <w:sz w:val="24"/>
        </w:rPr>
        <w:t>4</w:t>
      </w:r>
      <w:r w:rsidRPr="005B55CF">
        <w:rPr>
          <w:rFonts w:ascii="Garamond" w:hAnsi="Garamond" w:cs="Times New Roman"/>
          <w:noProof/>
          <w:sz w:val="24"/>
        </w:rPr>
        <w:t>(June), 105–128. https://doi.org/https://doi.org/10.1023/A:1024783324566</w:t>
      </w:r>
    </w:p>
    <w:p w14:paraId="7F4C56E6"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Fredrickson, B. L. (2013). Positive Emotions Broaden and Build. In </w:t>
      </w:r>
      <w:r w:rsidRPr="005B55CF">
        <w:rPr>
          <w:rFonts w:ascii="Garamond" w:hAnsi="Garamond" w:cs="Times New Roman"/>
          <w:i/>
          <w:iCs/>
          <w:noProof/>
          <w:sz w:val="24"/>
        </w:rPr>
        <w:t>Advances in Experimental Social Psychology</w:t>
      </w:r>
      <w:r w:rsidRPr="005B55CF">
        <w:rPr>
          <w:rFonts w:ascii="Garamond" w:hAnsi="Garamond" w:cs="Times New Roman"/>
          <w:noProof/>
          <w:sz w:val="24"/>
        </w:rPr>
        <w:t xml:space="preserve"> (Vol. 47, pp. 1–53). Academic Press Inc. https://doi.org/10.1016/B978-0-12-407236-7.00001-2</w:t>
      </w:r>
    </w:p>
    <w:p w14:paraId="2EAEC532"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Froh, J. J., Kashdan, T. B., Ozimkowski, K. M., &amp; Miller, N. (2009). Who Benefits The Most from A Gratitude Intervention in Children and Adolescents? Examining Positive Affect as A Moderator. </w:t>
      </w:r>
      <w:r w:rsidRPr="005B55CF">
        <w:rPr>
          <w:rFonts w:ascii="Garamond" w:hAnsi="Garamond" w:cs="Times New Roman"/>
          <w:i/>
          <w:iCs/>
          <w:noProof/>
          <w:sz w:val="24"/>
        </w:rPr>
        <w:t>Journal of Positive Psychology</w:t>
      </w:r>
      <w:r w:rsidRPr="005B55CF">
        <w:rPr>
          <w:rFonts w:ascii="Garamond" w:hAnsi="Garamond" w:cs="Times New Roman"/>
          <w:noProof/>
          <w:sz w:val="24"/>
        </w:rPr>
        <w:t xml:space="preserve">, </w:t>
      </w:r>
      <w:r w:rsidRPr="005B55CF">
        <w:rPr>
          <w:rFonts w:ascii="Garamond" w:hAnsi="Garamond" w:cs="Times New Roman"/>
          <w:i/>
          <w:iCs/>
          <w:noProof/>
          <w:sz w:val="24"/>
        </w:rPr>
        <w:t>4</w:t>
      </w:r>
      <w:r w:rsidRPr="005B55CF">
        <w:rPr>
          <w:rFonts w:ascii="Garamond" w:hAnsi="Garamond" w:cs="Times New Roman"/>
          <w:noProof/>
          <w:sz w:val="24"/>
        </w:rPr>
        <w:t>(5), 408–422. https://doi.org/10.1080/17439760902992464</w:t>
      </w:r>
    </w:p>
    <w:p w14:paraId="01CFCA96"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Grant, A. M., &amp; Wrzesniewski, A. (2010). I Won’t Let You Down... or Will I? Core Self-Evaluations, Other-Orientation, Anticipated Guilt and Gratitude, and Job Performance. </w:t>
      </w:r>
      <w:r w:rsidRPr="005B55CF">
        <w:rPr>
          <w:rFonts w:ascii="Garamond" w:hAnsi="Garamond" w:cs="Times New Roman"/>
          <w:i/>
          <w:iCs/>
          <w:noProof/>
          <w:sz w:val="24"/>
        </w:rPr>
        <w:t>Journal of Applied Psychology</w:t>
      </w:r>
      <w:r w:rsidRPr="005B55CF">
        <w:rPr>
          <w:rFonts w:ascii="Garamond" w:hAnsi="Garamond" w:cs="Times New Roman"/>
          <w:noProof/>
          <w:sz w:val="24"/>
        </w:rPr>
        <w:t xml:space="preserve">, </w:t>
      </w:r>
      <w:r w:rsidRPr="005B55CF">
        <w:rPr>
          <w:rFonts w:ascii="Garamond" w:hAnsi="Garamond" w:cs="Times New Roman"/>
          <w:i/>
          <w:iCs/>
          <w:noProof/>
          <w:sz w:val="24"/>
        </w:rPr>
        <w:t>95</w:t>
      </w:r>
      <w:r w:rsidRPr="005B55CF">
        <w:rPr>
          <w:rFonts w:ascii="Garamond" w:hAnsi="Garamond" w:cs="Times New Roman"/>
          <w:noProof/>
          <w:sz w:val="24"/>
        </w:rPr>
        <w:t>(1), 108–121. https://doi.org/10.1037/a0017974</w:t>
      </w:r>
    </w:p>
    <w:p w14:paraId="1B9B918B"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Greenhaus, J. H., Parasuraman, S., &amp; Wormley, W. M. (1990). Effects of Race on Organizational </w:t>
      </w:r>
      <w:r w:rsidRPr="005B55CF">
        <w:rPr>
          <w:rFonts w:ascii="Garamond" w:hAnsi="Garamond" w:cs="Times New Roman"/>
          <w:noProof/>
          <w:sz w:val="24"/>
        </w:rPr>
        <w:lastRenderedPageBreak/>
        <w:t xml:space="preserve">Experience, Job Performance Evaluations, and Career Outcomes. </w:t>
      </w:r>
      <w:r w:rsidRPr="005B55CF">
        <w:rPr>
          <w:rFonts w:ascii="Garamond" w:hAnsi="Garamond" w:cs="Times New Roman"/>
          <w:i/>
          <w:iCs/>
          <w:noProof/>
          <w:sz w:val="24"/>
        </w:rPr>
        <w:t>Academy of Management Journal</w:t>
      </w:r>
      <w:r w:rsidRPr="005B55CF">
        <w:rPr>
          <w:rFonts w:ascii="Garamond" w:hAnsi="Garamond" w:cs="Times New Roman"/>
          <w:noProof/>
          <w:sz w:val="24"/>
        </w:rPr>
        <w:t xml:space="preserve">, </w:t>
      </w:r>
      <w:r w:rsidRPr="005B55CF">
        <w:rPr>
          <w:rFonts w:ascii="Garamond" w:hAnsi="Garamond" w:cs="Times New Roman"/>
          <w:i/>
          <w:iCs/>
          <w:noProof/>
          <w:sz w:val="24"/>
        </w:rPr>
        <w:t>33</w:t>
      </w:r>
      <w:r w:rsidRPr="005B55CF">
        <w:rPr>
          <w:rFonts w:ascii="Garamond" w:hAnsi="Garamond" w:cs="Times New Roman"/>
          <w:noProof/>
          <w:sz w:val="24"/>
        </w:rPr>
        <w:t>(1), 64–86. https://doi.org/https://doi.org/10.5465/256352</w:t>
      </w:r>
    </w:p>
    <w:p w14:paraId="3A2B4C0E"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Greenhaus, Jeffrey H., &amp; Callanan, G. A. (2006). </w:t>
      </w:r>
      <w:r w:rsidRPr="005B55CF">
        <w:rPr>
          <w:rFonts w:ascii="Garamond" w:hAnsi="Garamond" w:cs="Times New Roman"/>
          <w:i/>
          <w:iCs/>
          <w:noProof/>
          <w:sz w:val="24"/>
        </w:rPr>
        <w:t>Encyclopedia of Career Development</w:t>
      </w:r>
      <w:r w:rsidRPr="005B55CF">
        <w:rPr>
          <w:rFonts w:ascii="Garamond" w:hAnsi="Garamond" w:cs="Times New Roman"/>
          <w:noProof/>
          <w:sz w:val="24"/>
        </w:rPr>
        <w:t xml:space="preserve"> (Jeffrey H. Greenhaus &amp; G. A. Callanan (eds.); 2nd ed.). Sage Publication Inc.</w:t>
      </w:r>
    </w:p>
    <w:p w14:paraId="2A11754D"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Greenhaus, Jeffrey H., Callanan, G. A., &amp; Godshalk, V. M. (2019). </w:t>
      </w:r>
      <w:r w:rsidRPr="005B55CF">
        <w:rPr>
          <w:rFonts w:ascii="Garamond" w:hAnsi="Garamond" w:cs="Times New Roman"/>
          <w:i/>
          <w:iCs/>
          <w:noProof/>
          <w:sz w:val="24"/>
        </w:rPr>
        <w:t>Career Management for Life</w:t>
      </w:r>
      <w:r w:rsidRPr="005B55CF">
        <w:rPr>
          <w:rFonts w:ascii="Garamond" w:hAnsi="Garamond" w:cs="Times New Roman"/>
          <w:noProof/>
          <w:sz w:val="24"/>
        </w:rPr>
        <w:t xml:space="preserve"> (Jeffrey H. Greenhaus, G. A. Callanan, &amp; V. M. Godshalk (eds.); 5th ed.). Routledge Taylor &amp; Francis.</w:t>
      </w:r>
    </w:p>
    <w:p w14:paraId="7ACDD7FF"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Hair, J. J. F., Black, W. C., Babin, B. J., &amp; Anderson, R. E. (2010). Multivariate Data Analysis. In </w:t>
      </w:r>
      <w:r w:rsidRPr="005B55CF">
        <w:rPr>
          <w:rFonts w:ascii="Garamond" w:hAnsi="Garamond" w:cs="Times New Roman"/>
          <w:i/>
          <w:iCs/>
          <w:noProof/>
          <w:sz w:val="24"/>
        </w:rPr>
        <w:t>Australia: Cengage: Vol. 7 edition</w:t>
      </w:r>
      <w:r w:rsidRPr="005B55CF">
        <w:rPr>
          <w:rFonts w:ascii="Garamond" w:hAnsi="Garamond" w:cs="Times New Roman"/>
          <w:noProof/>
          <w:sz w:val="24"/>
        </w:rPr>
        <w:t xml:space="preserve"> (7th ed.).</w:t>
      </w:r>
    </w:p>
    <w:p w14:paraId="45E44759"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Hair, J. J. F., Hult, G. T. M., Ringle, C. M., &amp; Sarstedt, M. (2017). </w:t>
      </w:r>
      <w:r w:rsidRPr="005B55CF">
        <w:rPr>
          <w:rFonts w:ascii="Garamond" w:hAnsi="Garamond" w:cs="Times New Roman"/>
          <w:i/>
          <w:iCs/>
          <w:noProof/>
          <w:sz w:val="24"/>
        </w:rPr>
        <w:t>A Primer on Partial Least Squares Structural Equation Modeling (PLS-SEM)</w:t>
      </w:r>
      <w:r w:rsidRPr="005B55CF">
        <w:rPr>
          <w:rFonts w:ascii="Garamond" w:hAnsi="Garamond" w:cs="Times New Roman"/>
          <w:noProof/>
          <w:sz w:val="24"/>
        </w:rPr>
        <w:t xml:space="preserve"> (2nd ed.). Sagepub.</w:t>
      </w:r>
    </w:p>
    <w:p w14:paraId="619208F5"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Hall, D. T. (2002). Conversations with The Experts: “Careers In and Out of Organizations.” </w:t>
      </w:r>
      <w:r w:rsidRPr="005B55CF">
        <w:rPr>
          <w:rFonts w:ascii="Garamond" w:hAnsi="Garamond" w:cs="Times New Roman"/>
          <w:i/>
          <w:iCs/>
          <w:noProof/>
          <w:sz w:val="24"/>
        </w:rPr>
        <w:t>Spring</w:t>
      </w:r>
      <w:r w:rsidRPr="005B55CF">
        <w:rPr>
          <w:rFonts w:ascii="Garamond" w:hAnsi="Garamond" w:cs="Times New Roman"/>
          <w:noProof/>
          <w:sz w:val="24"/>
        </w:rPr>
        <w:t xml:space="preserve">, </w:t>
      </w:r>
      <w:r w:rsidRPr="005B55CF">
        <w:rPr>
          <w:rFonts w:ascii="Garamond" w:hAnsi="Garamond" w:cs="Times New Roman"/>
          <w:i/>
          <w:iCs/>
          <w:noProof/>
          <w:sz w:val="24"/>
        </w:rPr>
        <w:t>4</w:t>
      </w:r>
      <w:r w:rsidRPr="005B55CF">
        <w:rPr>
          <w:rFonts w:ascii="Garamond" w:hAnsi="Garamond" w:cs="Times New Roman"/>
          <w:noProof/>
          <w:sz w:val="24"/>
        </w:rPr>
        <w:t>(1), 1–3. https://www.researchgate.net/publication/268285220</w:t>
      </w:r>
    </w:p>
    <w:p w14:paraId="3A6E80DC"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Heslin, P. A. (2005). Conceptualizing and Evaluating Career Success. In </w:t>
      </w:r>
      <w:r w:rsidRPr="005B55CF">
        <w:rPr>
          <w:rFonts w:ascii="Garamond" w:hAnsi="Garamond" w:cs="Times New Roman"/>
          <w:i/>
          <w:iCs/>
          <w:noProof/>
          <w:sz w:val="24"/>
        </w:rPr>
        <w:t>Journal of Organizational Behavior</w:t>
      </w:r>
      <w:r w:rsidRPr="005B55CF">
        <w:rPr>
          <w:rFonts w:ascii="Garamond" w:hAnsi="Garamond" w:cs="Times New Roman"/>
          <w:noProof/>
          <w:sz w:val="24"/>
        </w:rPr>
        <w:t xml:space="preserve"> (Vol. 26, Issue 2, pp. 113–136). John Wiley and Sons Ltd. https://doi.org/10.1002/job.270</w:t>
      </w:r>
    </w:p>
    <w:p w14:paraId="3C525A4E"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Hofmans, J., Dries, N., &amp; Pepermans, R. (2008). The Career Satisfaction Scale: Response bias among men and women. </w:t>
      </w:r>
      <w:r w:rsidRPr="005B55CF">
        <w:rPr>
          <w:rFonts w:ascii="Garamond" w:hAnsi="Garamond" w:cs="Times New Roman"/>
          <w:i/>
          <w:iCs/>
          <w:noProof/>
          <w:sz w:val="24"/>
        </w:rPr>
        <w:t>Journal of Vocational Behavior</w:t>
      </w:r>
      <w:r w:rsidRPr="005B55CF">
        <w:rPr>
          <w:rFonts w:ascii="Garamond" w:hAnsi="Garamond" w:cs="Times New Roman"/>
          <w:noProof/>
          <w:sz w:val="24"/>
        </w:rPr>
        <w:t xml:space="preserve">, </w:t>
      </w:r>
      <w:r w:rsidRPr="005B55CF">
        <w:rPr>
          <w:rFonts w:ascii="Garamond" w:hAnsi="Garamond" w:cs="Times New Roman"/>
          <w:i/>
          <w:iCs/>
          <w:noProof/>
          <w:sz w:val="24"/>
        </w:rPr>
        <w:t>73</w:t>
      </w:r>
      <w:r w:rsidRPr="005B55CF">
        <w:rPr>
          <w:rFonts w:ascii="Garamond" w:hAnsi="Garamond" w:cs="Times New Roman"/>
          <w:noProof/>
          <w:sz w:val="24"/>
        </w:rPr>
        <w:t>(3), 397–403. https://doi.org/10.1016/j.jvb.2008.08.001</w:t>
      </w:r>
    </w:p>
    <w:p w14:paraId="3E5F28C5"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Hox, J. J., &amp; Bechger, T. M. (2008). </w:t>
      </w:r>
      <w:r w:rsidRPr="005B55CF">
        <w:rPr>
          <w:rFonts w:ascii="Garamond" w:hAnsi="Garamond" w:cs="Times New Roman"/>
          <w:i/>
          <w:iCs/>
          <w:noProof/>
          <w:sz w:val="24"/>
        </w:rPr>
        <w:t>Introduction to Structural Equation Modeling Using SPSS and AMOS</w:t>
      </w:r>
      <w:r w:rsidRPr="005B55CF">
        <w:rPr>
          <w:rFonts w:ascii="Garamond" w:hAnsi="Garamond" w:cs="Times New Roman"/>
          <w:noProof/>
          <w:sz w:val="24"/>
        </w:rPr>
        <w:t xml:space="preserve"> (J. B. Niels (ed.)). Sage Pub.</w:t>
      </w:r>
    </w:p>
    <w:p w14:paraId="63ABDD83"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IBM. (2021). </w:t>
      </w:r>
      <w:r w:rsidRPr="005B55CF">
        <w:rPr>
          <w:rFonts w:ascii="Garamond" w:hAnsi="Garamond" w:cs="Times New Roman"/>
          <w:i/>
          <w:iCs/>
          <w:noProof/>
          <w:sz w:val="24"/>
        </w:rPr>
        <w:t>KMO and Bartlett’s Test</w:t>
      </w:r>
      <w:r w:rsidRPr="005B55CF">
        <w:rPr>
          <w:rFonts w:ascii="Garamond" w:hAnsi="Garamond" w:cs="Times New Roman"/>
          <w:noProof/>
          <w:sz w:val="24"/>
        </w:rPr>
        <w:t>. https://www.ibm.com/docs/en/spss-statistics/28.0.0?topic=detection-kmo-bartletts-test</w:t>
      </w:r>
    </w:p>
    <w:p w14:paraId="535DE386"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ILO. (2000). </w:t>
      </w:r>
      <w:r w:rsidRPr="005B55CF">
        <w:rPr>
          <w:rFonts w:ascii="Garamond" w:hAnsi="Garamond" w:cs="Times New Roman"/>
          <w:i/>
          <w:iCs/>
          <w:noProof/>
          <w:sz w:val="24"/>
        </w:rPr>
        <w:t>Mental health in the workplace. Introduction</w:t>
      </w:r>
      <w:r w:rsidRPr="005B55CF">
        <w:rPr>
          <w:rFonts w:ascii="Garamond" w:hAnsi="Garamond" w:cs="Times New Roman"/>
          <w:noProof/>
          <w:sz w:val="24"/>
        </w:rPr>
        <w:t>. International Labour Organization.</w:t>
      </w:r>
    </w:p>
    <w:p w14:paraId="53EE6BF6"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Ingersoll, R. M. (2001). Teacher Turnover and Teacher Shortages: An Organizational Analysis. </w:t>
      </w:r>
      <w:r w:rsidRPr="005B55CF">
        <w:rPr>
          <w:rFonts w:ascii="Garamond" w:hAnsi="Garamond" w:cs="Times New Roman"/>
          <w:i/>
          <w:iCs/>
          <w:noProof/>
          <w:sz w:val="24"/>
        </w:rPr>
        <w:t>American Educational Research Journal</w:t>
      </w:r>
      <w:r w:rsidRPr="005B55CF">
        <w:rPr>
          <w:rFonts w:ascii="Garamond" w:hAnsi="Garamond" w:cs="Times New Roman"/>
          <w:noProof/>
          <w:sz w:val="24"/>
        </w:rPr>
        <w:t xml:space="preserve">, </w:t>
      </w:r>
      <w:r w:rsidRPr="005B55CF">
        <w:rPr>
          <w:rFonts w:ascii="Garamond" w:hAnsi="Garamond" w:cs="Times New Roman"/>
          <w:i/>
          <w:iCs/>
          <w:noProof/>
          <w:sz w:val="24"/>
        </w:rPr>
        <w:t>38</w:t>
      </w:r>
      <w:r w:rsidRPr="005B55CF">
        <w:rPr>
          <w:rFonts w:ascii="Garamond" w:hAnsi="Garamond" w:cs="Times New Roman"/>
          <w:noProof/>
          <w:sz w:val="24"/>
        </w:rPr>
        <w:t>(3), 499–534. https://doi.org/10.3102/00028312038003499</w:t>
      </w:r>
    </w:p>
    <w:p w14:paraId="7CB0A5DD"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Joo, B. K., &amp; Lee, I. (2017). Workplace Happiness: Work Engagement, Career Satisfaction, and Subjective Well-Being. </w:t>
      </w:r>
      <w:r w:rsidRPr="005B55CF">
        <w:rPr>
          <w:rFonts w:ascii="Garamond" w:hAnsi="Garamond" w:cs="Times New Roman"/>
          <w:i/>
          <w:iCs/>
          <w:noProof/>
          <w:sz w:val="24"/>
        </w:rPr>
        <w:t>Evidence-Based HRM</w:t>
      </w:r>
      <w:r w:rsidRPr="005B55CF">
        <w:rPr>
          <w:rFonts w:ascii="Garamond" w:hAnsi="Garamond" w:cs="Times New Roman"/>
          <w:noProof/>
          <w:sz w:val="24"/>
        </w:rPr>
        <w:t xml:space="preserve">, </w:t>
      </w:r>
      <w:r w:rsidRPr="005B55CF">
        <w:rPr>
          <w:rFonts w:ascii="Garamond" w:hAnsi="Garamond" w:cs="Times New Roman"/>
          <w:i/>
          <w:iCs/>
          <w:noProof/>
          <w:sz w:val="24"/>
        </w:rPr>
        <w:t>5</w:t>
      </w:r>
      <w:r w:rsidRPr="005B55CF">
        <w:rPr>
          <w:rFonts w:ascii="Garamond" w:hAnsi="Garamond" w:cs="Times New Roman"/>
          <w:noProof/>
          <w:sz w:val="24"/>
        </w:rPr>
        <w:t>(2), 206–221. https://doi.org/10.1108/EBHRM-04-2015-0011</w:t>
      </w:r>
    </w:p>
    <w:p w14:paraId="1FD805E6"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Kyriacou, C. (2001). Teacher Stress: Directions for Future Research. </w:t>
      </w:r>
      <w:r w:rsidRPr="005B55CF">
        <w:rPr>
          <w:rFonts w:ascii="Garamond" w:hAnsi="Garamond" w:cs="Times New Roman"/>
          <w:i/>
          <w:iCs/>
          <w:noProof/>
          <w:sz w:val="24"/>
        </w:rPr>
        <w:t>Educational Review</w:t>
      </w:r>
      <w:r w:rsidRPr="005B55CF">
        <w:rPr>
          <w:rFonts w:ascii="Garamond" w:hAnsi="Garamond" w:cs="Times New Roman"/>
          <w:noProof/>
          <w:sz w:val="24"/>
        </w:rPr>
        <w:t xml:space="preserve">, </w:t>
      </w:r>
      <w:r w:rsidRPr="005B55CF">
        <w:rPr>
          <w:rFonts w:ascii="Garamond" w:hAnsi="Garamond" w:cs="Times New Roman"/>
          <w:i/>
          <w:iCs/>
          <w:noProof/>
          <w:sz w:val="24"/>
        </w:rPr>
        <w:t>53</w:t>
      </w:r>
      <w:r w:rsidRPr="005B55CF">
        <w:rPr>
          <w:rFonts w:ascii="Garamond" w:hAnsi="Garamond" w:cs="Times New Roman"/>
          <w:noProof/>
          <w:sz w:val="24"/>
        </w:rPr>
        <w:t>(1), 27–35. https://doi.org/10.1080/00131910120033628</w:t>
      </w:r>
    </w:p>
    <w:p w14:paraId="3D6710B6"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Lambert, N. M., Clark, M. S., Durtschi, J., Fincham, F. D., &amp; Graham, S. M. (2010). Benefits of Expressing Gratitude: Expressing Gratitude to A Partner Changes One’s View of The Relationship. </w:t>
      </w:r>
      <w:r w:rsidRPr="005B55CF">
        <w:rPr>
          <w:rFonts w:ascii="Garamond" w:hAnsi="Garamond" w:cs="Times New Roman"/>
          <w:i/>
          <w:iCs/>
          <w:noProof/>
          <w:sz w:val="24"/>
        </w:rPr>
        <w:t>Psychological Science</w:t>
      </w:r>
      <w:r w:rsidRPr="005B55CF">
        <w:rPr>
          <w:rFonts w:ascii="Garamond" w:hAnsi="Garamond" w:cs="Times New Roman"/>
          <w:noProof/>
          <w:sz w:val="24"/>
        </w:rPr>
        <w:t xml:space="preserve">, </w:t>
      </w:r>
      <w:r w:rsidRPr="005B55CF">
        <w:rPr>
          <w:rFonts w:ascii="Garamond" w:hAnsi="Garamond" w:cs="Times New Roman"/>
          <w:i/>
          <w:iCs/>
          <w:noProof/>
          <w:sz w:val="24"/>
        </w:rPr>
        <w:t>21</w:t>
      </w:r>
      <w:r w:rsidRPr="005B55CF">
        <w:rPr>
          <w:rFonts w:ascii="Garamond" w:hAnsi="Garamond" w:cs="Times New Roman"/>
          <w:noProof/>
          <w:sz w:val="24"/>
        </w:rPr>
        <w:t>(4), 574–580. https://doi.org/10.1177/0956797610364003</w:t>
      </w:r>
    </w:p>
    <w:p w14:paraId="35F8ECE3"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Lambert, N. M., &amp; Fincham, F. D. (2011). Expressing Gratitude to a Partner Leads to More Relationship Maintenance Behavior. </w:t>
      </w:r>
      <w:r w:rsidRPr="005B55CF">
        <w:rPr>
          <w:rFonts w:ascii="Garamond" w:hAnsi="Garamond" w:cs="Times New Roman"/>
          <w:i/>
          <w:iCs/>
          <w:noProof/>
          <w:sz w:val="24"/>
        </w:rPr>
        <w:t>Emotion</w:t>
      </w:r>
      <w:r w:rsidRPr="005B55CF">
        <w:rPr>
          <w:rFonts w:ascii="Garamond" w:hAnsi="Garamond" w:cs="Times New Roman"/>
          <w:noProof/>
          <w:sz w:val="24"/>
        </w:rPr>
        <w:t xml:space="preserve">, </w:t>
      </w:r>
      <w:r w:rsidRPr="005B55CF">
        <w:rPr>
          <w:rFonts w:ascii="Garamond" w:hAnsi="Garamond" w:cs="Times New Roman"/>
          <w:i/>
          <w:iCs/>
          <w:noProof/>
          <w:sz w:val="24"/>
        </w:rPr>
        <w:t>11</w:t>
      </w:r>
      <w:r w:rsidRPr="005B55CF">
        <w:rPr>
          <w:rFonts w:ascii="Garamond" w:hAnsi="Garamond" w:cs="Times New Roman"/>
          <w:noProof/>
          <w:sz w:val="24"/>
        </w:rPr>
        <w:t>(1), 52–60. https://doi.org/10.1037/a0021557</w:t>
      </w:r>
    </w:p>
    <w:p w14:paraId="29A480FB"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Lambert, N. M., Fincham, F. D., Stillman, T. F., &amp; Dean, L. R. (2009). More Gratitude, Less Materialism: The Mediating Role of Life Satisfaction. </w:t>
      </w:r>
      <w:r w:rsidRPr="005B55CF">
        <w:rPr>
          <w:rFonts w:ascii="Garamond" w:hAnsi="Garamond" w:cs="Times New Roman"/>
          <w:i/>
          <w:iCs/>
          <w:noProof/>
          <w:sz w:val="24"/>
        </w:rPr>
        <w:t>Journal of Positive Psychology</w:t>
      </w:r>
      <w:r w:rsidRPr="005B55CF">
        <w:rPr>
          <w:rFonts w:ascii="Garamond" w:hAnsi="Garamond" w:cs="Times New Roman"/>
          <w:noProof/>
          <w:sz w:val="24"/>
        </w:rPr>
        <w:t xml:space="preserve">, </w:t>
      </w:r>
      <w:r w:rsidRPr="005B55CF">
        <w:rPr>
          <w:rFonts w:ascii="Garamond" w:hAnsi="Garamond" w:cs="Times New Roman"/>
          <w:i/>
          <w:iCs/>
          <w:noProof/>
          <w:sz w:val="24"/>
        </w:rPr>
        <w:t>4</w:t>
      </w:r>
      <w:r w:rsidRPr="005B55CF">
        <w:rPr>
          <w:rFonts w:ascii="Garamond" w:hAnsi="Garamond" w:cs="Times New Roman"/>
          <w:noProof/>
          <w:sz w:val="24"/>
        </w:rPr>
        <w:t>(1), 32–42. https://doi.org/10.1080/17439760802216311</w:t>
      </w:r>
    </w:p>
    <w:p w14:paraId="26F4DFB9"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lastRenderedPageBreak/>
        <w:t xml:space="preserve">Lortie-Lussier, M., &amp; Rinfret, N. (2005). Determinants of objective and subjective success of men and women. </w:t>
      </w:r>
      <w:r w:rsidRPr="005B55CF">
        <w:rPr>
          <w:rFonts w:ascii="Garamond" w:hAnsi="Garamond" w:cs="Times New Roman"/>
          <w:i/>
          <w:iCs/>
          <w:noProof/>
          <w:sz w:val="24"/>
        </w:rPr>
        <w:t>International Review of Administrative Sciences</w:t>
      </w:r>
      <w:r w:rsidRPr="005B55CF">
        <w:rPr>
          <w:rFonts w:ascii="Garamond" w:hAnsi="Garamond" w:cs="Times New Roman"/>
          <w:noProof/>
          <w:sz w:val="24"/>
        </w:rPr>
        <w:t xml:space="preserve">, </w:t>
      </w:r>
      <w:r w:rsidRPr="005B55CF">
        <w:rPr>
          <w:rFonts w:ascii="Garamond" w:hAnsi="Garamond" w:cs="Times New Roman"/>
          <w:i/>
          <w:iCs/>
          <w:noProof/>
          <w:sz w:val="24"/>
        </w:rPr>
        <w:t>71</w:t>
      </w:r>
      <w:r w:rsidRPr="005B55CF">
        <w:rPr>
          <w:rFonts w:ascii="Garamond" w:hAnsi="Garamond" w:cs="Times New Roman"/>
          <w:noProof/>
          <w:sz w:val="24"/>
        </w:rPr>
        <w:t>(4), 607–624. https://doi.org/10.1177/0020852305059601</w:t>
      </w:r>
    </w:p>
    <w:p w14:paraId="1B377B13"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Madany, A. M. (2015). </w:t>
      </w:r>
      <w:r w:rsidRPr="005B55CF">
        <w:rPr>
          <w:rFonts w:ascii="Garamond" w:hAnsi="Garamond" w:cs="Times New Roman"/>
          <w:i/>
          <w:iCs/>
          <w:noProof/>
          <w:sz w:val="24"/>
        </w:rPr>
        <w:t>Syukur dalam Perspektif al-Qur’an</w:t>
      </w:r>
      <w:r w:rsidRPr="005B55CF">
        <w:rPr>
          <w:rFonts w:ascii="Garamond" w:hAnsi="Garamond" w:cs="Times New Roman"/>
          <w:noProof/>
          <w:sz w:val="24"/>
        </w:rPr>
        <w:t xml:space="preserve"> (Vol. 7, Issue 1). https://doi.org/10.14421/azzarqa.v7i1.1491</w:t>
      </w:r>
    </w:p>
    <w:p w14:paraId="3A794A97"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Mares, J. (2013). </w:t>
      </w:r>
      <w:r w:rsidRPr="005B55CF">
        <w:rPr>
          <w:rFonts w:ascii="Garamond" w:hAnsi="Garamond" w:cs="Times New Roman"/>
          <w:i/>
          <w:iCs/>
          <w:noProof/>
          <w:sz w:val="24"/>
        </w:rPr>
        <w:t>Pedagogicka Psychologie</w:t>
      </w:r>
      <w:r w:rsidRPr="005B55CF">
        <w:rPr>
          <w:rFonts w:ascii="Garamond" w:hAnsi="Garamond" w:cs="Times New Roman"/>
          <w:noProof/>
          <w:sz w:val="24"/>
        </w:rPr>
        <w:t>. Portal.</w:t>
      </w:r>
    </w:p>
    <w:p w14:paraId="5A2F4FA8"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Marsh, H. W., &amp; Martin, A. J. (2011). Academic Self-Concept and Academic Achievement: Relations and Causal Ordering. </w:t>
      </w:r>
      <w:r w:rsidRPr="005B55CF">
        <w:rPr>
          <w:rFonts w:ascii="Garamond" w:hAnsi="Garamond" w:cs="Times New Roman"/>
          <w:i/>
          <w:iCs/>
          <w:noProof/>
          <w:sz w:val="24"/>
        </w:rPr>
        <w:t>British Journal of Educational Psychology</w:t>
      </w:r>
      <w:r w:rsidRPr="005B55CF">
        <w:rPr>
          <w:rFonts w:ascii="Garamond" w:hAnsi="Garamond" w:cs="Times New Roman"/>
          <w:noProof/>
          <w:sz w:val="24"/>
        </w:rPr>
        <w:t xml:space="preserve">, </w:t>
      </w:r>
      <w:r w:rsidRPr="005B55CF">
        <w:rPr>
          <w:rFonts w:ascii="Garamond" w:hAnsi="Garamond" w:cs="Times New Roman"/>
          <w:i/>
          <w:iCs/>
          <w:noProof/>
          <w:sz w:val="24"/>
        </w:rPr>
        <w:t>81</w:t>
      </w:r>
      <w:r w:rsidRPr="005B55CF">
        <w:rPr>
          <w:rFonts w:ascii="Garamond" w:hAnsi="Garamond" w:cs="Times New Roman"/>
          <w:noProof/>
          <w:sz w:val="24"/>
        </w:rPr>
        <w:t>(1), 59–77. https://doi.org/10.1348/000709910X503501</w:t>
      </w:r>
    </w:p>
    <w:p w14:paraId="640FC0D6"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Maslach, C., Schaufeli, W. B., &amp; Leiter, M. P. (2001). “Job Burnout.” </w:t>
      </w:r>
      <w:r w:rsidRPr="005B55CF">
        <w:rPr>
          <w:rFonts w:ascii="Garamond" w:hAnsi="Garamond" w:cs="Times New Roman"/>
          <w:i/>
          <w:iCs/>
          <w:noProof/>
          <w:sz w:val="24"/>
        </w:rPr>
        <w:t>Annual Review of Psychology</w:t>
      </w:r>
      <w:r w:rsidRPr="005B55CF">
        <w:rPr>
          <w:rFonts w:ascii="Garamond" w:hAnsi="Garamond" w:cs="Times New Roman"/>
          <w:noProof/>
          <w:sz w:val="24"/>
        </w:rPr>
        <w:t xml:space="preserve">, </w:t>
      </w:r>
      <w:r w:rsidRPr="005B55CF">
        <w:rPr>
          <w:rFonts w:ascii="Garamond" w:hAnsi="Garamond" w:cs="Times New Roman"/>
          <w:i/>
          <w:iCs/>
          <w:noProof/>
          <w:sz w:val="24"/>
        </w:rPr>
        <w:t>52</w:t>
      </w:r>
      <w:r w:rsidRPr="005B55CF">
        <w:rPr>
          <w:rFonts w:ascii="Garamond" w:hAnsi="Garamond" w:cs="Times New Roman"/>
          <w:noProof/>
          <w:sz w:val="24"/>
        </w:rPr>
        <w:t>(February), 397–422. https://doi.org/10.1146/annurev.psych.52.1.397</w:t>
      </w:r>
    </w:p>
    <w:p w14:paraId="4B65C5A8"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McCullough, M. E., Emmons, R. A., &amp; Tsang, J. A. (2002). The Grateful Disposition: A Conceptual and Empirical Topography. </w:t>
      </w:r>
      <w:r w:rsidRPr="005B55CF">
        <w:rPr>
          <w:rFonts w:ascii="Garamond" w:hAnsi="Garamond" w:cs="Times New Roman"/>
          <w:i/>
          <w:iCs/>
          <w:noProof/>
          <w:sz w:val="24"/>
        </w:rPr>
        <w:t>Journal of Personality and Social Psychology</w:t>
      </w:r>
      <w:r w:rsidRPr="005B55CF">
        <w:rPr>
          <w:rFonts w:ascii="Garamond" w:hAnsi="Garamond" w:cs="Times New Roman"/>
          <w:noProof/>
          <w:sz w:val="24"/>
        </w:rPr>
        <w:t xml:space="preserve">, </w:t>
      </w:r>
      <w:r w:rsidRPr="005B55CF">
        <w:rPr>
          <w:rFonts w:ascii="Garamond" w:hAnsi="Garamond" w:cs="Times New Roman"/>
          <w:i/>
          <w:iCs/>
          <w:noProof/>
          <w:sz w:val="24"/>
        </w:rPr>
        <w:t>82</w:t>
      </w:r>
      <w:r w:rsidRPr="005B55CF">
        <w:rPr>
          <w:rFonts w:ascii="Garamond" w:hAnsi="Garamond" w:cs="Times New Roman"/>
          <w:noProof/>
          <w:sz w:val="24"/>
        </w:rPr>
        <w:t>(1), 112–127. https://doi.org/10.1037/0022-3514.82.1.112</w:t>
      </w:r>
    </w:p>
    <w:p w14:paraId="1A5C97CC"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Muhson, A. (2022). Analisis Statistik Dengan SmartPLS: Path Analysis. Confirmatory Factor Analysis % Stuctural Equation Modeling. In </w:t>
      </w:r>
      <w:r w:rsidRPr="005B55CF">
        <w:rPr>
          <w:rFonts w:ascii="Garamond" w:hAnsi="Garamond" w:cs="Times New Roman"/>
          <w:i/>
          <w:iCs/>
          <w:noProof/>
          <w:sz w:val="24"/>
        </w:rPr>
        <w:t>Universitas Negeri Yogyakarta</w:t>
      </w:r>
      <w:r w:rsidRPr="005B55CF">
        <w:rPr>
          <w:rFonts w:ascii="Garamond" w:hAnsi="Garamond" w:cs="Times New Roman"/>
          <w:noProof/>
          <w:sz w:val="24"/>
        </w:rPr>
        <w:t xml:space="preserve"> (pp. 1–34).</w:t>
      </w:r>
    </w:p>
    <w:p w14:paraId="6D3837CF"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Nezlek, J. B., Krejtz, I., Rusanowska, M., &amp; Holas, P. (2019). Within-Person Relationships Among Daily Gratitude, Well-Being, Stress, and Positive Experiences. </w:t>
      </w:r>
      <w:r w:rsidRPr="005B55CF">
        <w:rPr>
          <w:rFonts w:ascii="Garamond" w:hAnsi="Garamond" w:cs="Times New Roman"/>
          <w:i/>
          <w:iCs/>
          <w:noProof/>
          <w:sz w:val="24"/>
        </w:rPr>
        <w:t>Journal of Happiness Studies</w:t>
      </w:r>
      <w:r w:rsidRPr="005B55CF">
        <w:rPr>
          <w:rFonts w:ascii="Garamond" w:hAnsi="Garamond" w:cs="Times New Roman"/>
          <w:noProof/>
          <w:sz w:val="24"/>
        </w:rPr>
        <w:t xml:space="preserve">, </w:t>
      </w:r>
      <w:r w:rsidRPr="005B55CF">
        <w:rPr>
          <w:rFonts w:ascii="Garamond" w:hAnsi="Garamond" w:cs="Times New Roman"/>
          <w:i/>
          <w:iCs/>
          <w:noProof/>
          <w:sz w:val="24"/>
        </w:rPr>
        <w:t>20</w:t>
      </w:r>
      <w:r w:rsidRPr="005B55CF">
        <w:rPr>
          <w:rFonts w:ascii="Garamond" w:hAnsi="Garamond" w:cs="Times New Roman"/>
          <w:noProof/>
          <w:sz w:val="24"/>
        </w:rPr>
        <w:t>(3), 883–898. https://doi.org/10.1007/s10902-018-9979-x</w:t>
      </w:r>
    </w:p>
    <w:p w14:paraId="20C20413"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Ng, T. W. ., Eby, L. T., Sorensen, K. L., &amp; Feldman, D. C. (2005). Predictors of Objective and Subjective Career Success: A Meta-Analysis. </w:t>
      </w:r>
      <w:r w:rsidRPr="005B55CF">
        <w:rPr>
          <w:rFonts w:ascii="Garamond" w:hAnsi="Garamond" w:cs="Times New Roman"/>
          <w:i/>
          <w:iCs/>
          <w:noProof/>
          <w:sz w:val="24"/>
        </w:rPr>
        <w:t>Personnel Psychology</w:t>
      </w:r>
      <w:r w:rsidRPr="005B55CF">
        <w:rPr>
          <w:rFonts w:ascii="Garamond" w:hAnsi="Garamond" w:cs="Times New Roman"/>
          <w:noProof/>
          <w:sz w:val="24"/>
        </w:rPr>
        <w:t xml:space="preserve">, </w:t>
      </w:r>
      <w:r w:rsidRPr="005B55CF">
        <w:rPr>
          <w:rFonts w:ascii="Garamond" w:hAnsi="Garamond" w:cs="Times New Roman"/>
          <w:i/>
          <w:iCs/>
          <w:noProof/>
          <w:sz w:val="24"/>
        </w:rPr>
        <w:t>58</w:t>
      </w:r>
      <w:r w:rsidRPr="005B55CF">
        <w:rPr>
          <w:rFonts w:ascii="Garamond" w:hAnsi="Garamond" w:cs="Times New Roman"/>
          <w:noProof/>
          <w:sz w:val="24"/>
        </w:rPr>
        <w:t>(2), 367–408. https://doi.org/https://doi.org/10.1111/j.1744-6570.2005.00515.x</w:t>
      </w:r>
    </w:p>
    <w:p w14:paraId="4E231AC1"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Raabe, B., Frese, M., &amp; Beehr, T. A. (2007). Action Regulation Theory and Career Self-Management. </w:t>
      </w:r>
      <w:r w:rsidRPr="005B55CF">
        <w:rPr>
          <w:rFonts w:ascii="Garamond" w:hAnsi="Garamond" w:cs="Times New Roman"/>
          <w:i/>
          <w:iCs/>
          <w:noProof/>
          <w:sz w:val="24"/>
        </w:rPr>
        <w:t>Journal of Vocational Behavior</w:t>
      </w:r>
      <w:r w:rsidRPr="005B55CF">
        <w:rPr>
          <w:rFonts w:ascii="Garamond" w:hAnsi="Garamond" w:cs="Times New Roman"/>
          <w:noProof/>
          <w:sz w:val="24"/>
        </w:rPr>
        <w:t xml:space="preserve">, </w:t>
      </w:r>
      <w:r w:rsidRPr="005B55CF">
        <w:rPr>
          <w:rFonts w:ascii="Garamond" w:hAnsi="Garamond" w:cs="Times New Roman"/>
          <w:i/>
          <w:iCs/>
          <w:noProof/>
          <w:sz w:val="24"/>
        </w:rPr>
        <w:t>70</w:t>
      </w:r>
      <w:r w:rsidRPr="005B55CF">
        <w:rPr>
          <w:rFonts w:ascii="Garamond" w:hAnsi="Garamond" w:cs="Times New Roman"/>
          <w:noProof/>
          <w:sz w:val="24"/>
        </w:rPr>
        <w:t>(2), 297–311. https://doi.org/10.1016/j.jvb.2006.10.005</w:t>
      </w:r>
    </w:p>
    <w:p w14:paraId="33C62D63"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Roe, R. A. (2008). Time in Applied Psychology: The Study of “What Happens” rather than “What Is.” </w:t>
      </w:r>
      <w:r w:rsidRPr="005B55CF">
        <w:rPr>
          <w:rFonts w:ascii="Garamond" w:hAnsi="Garamond" w:cs="Times New Roman"/>
          <w:i/>
          <w:iCs/>
          <w:noProof/>
          <w:sz w:val="24"/>
        </w:rPr>
        <w:t>European Psychologist</w:t>
      </w:r>
      <w:r w:rsidRPr="005B55CF">
        <w:rPr>
          <w:rFonts w:ascii="Garamond" w:hAnsi="Garamond" w:cs="Times New Roman"/>
          <w:noProof/>
          <w:sz w:val="24"/>
        </w:rPr>
        <w:t xml:space="preserve">, </w:t>
      </w:r>
      <w:r w:rsidRPr="005B55CF">
        <w:rPr>
          <w:rFonts w:ascii="Garamond" w:hAnsi="Garamond" w:cs="Times New Roman"/>
          <w:i/>
          <w:iCs/>
          <w:noProof/>
          <w:sz w:val="24"/>
        </w:rPr>
        <w:t>13</w:t>
      </w:r>
      <w:r w:rsidRPr="005B55CF">
        <w:rPr>
          <w:rFonts w:ascii="Garamond" w:hAnsi="Garamond" w:cs="Times New Roman"/>
          <w:noProof/>
          <w:sz w:val="24"/>
        </w:rPr>
        <w:t>(1), 37–52. https://doi.org/10.1027/1016-9040.13.1.37</w:t>
      </w:r>
    </w:p>
    <w:p w14:paraId="54C80F8C"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Schaufeli, W. B. (2004). The Future of Accupational Health. </w:t>
      </w:r>
      <w:r w:rsidRPr="005B55CF">
        <w:rPr>
          <w:rFonts w:ascii="Garamond" w:hAnsi="Garamond" w:cs="Times New Roman"/>
          <w:i/>
          <w:iCs/>
          <w:noProof/>
          <w:sz w:val="24"/>
        </w:rPr>
        <w:t>Applied Psychology: An International Review</w:t>
      </w:r>
      <w:r w:rsidRPr="005B55CF">
        <w:rPr>
          <w:rFonts w:ascii="Garamond" w:hAnsi="Garamond" w:cs="Times New Roman"/>
          <w:noProof/>
          <w:sz w:val="24"/>
        </w:rPr>
        <w:t xml:space="preserve">, </w:t>
      </w:r>
      <w:r w:rsidRPr="005B55CF">
        <w:rPr>
          <w:rFonts w:ascii="Garamond" w:hAnsi="Garamond" w:cs="Times New Roman"/>
          <w:i/>
          <w:iCs/>
          <w:noProof/>
          <w:sz w:val="24"/>
        </w:rPr>
        <w:t>53</w:t>
      </w:r>
      <w:r w:rsidRPr="005B55CF">
        <w:rPr>
          <w:rFonts w:ascii="Garamond" w:hAnsi="Garamond" w:cs="Times New Roman"/>
          <w:noProof/>
          <w:sz w:val="24"/>
        </w:rPr>
        <w:t>(4), 502–517. https://doi.org/https://doi.org/10.1111/j.1464-0597.2004.00184.x</w:t>
      </w:r>
    </w:p>
    <w:p w14:paraId="1A094CDF"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Shi, D., Lee, T., &amp; Maydeu-Olivares, A. (2019). Understanding the Model Size Effect on SEM Fit Indices. </w:t>
      </w:r>
      <w:r w:rsidRPr="005B55CF">
        <w:rPr>
          <w:rFonts w:ascii="Garamond" w:hAnsi="Garamond" w:cs="Times New Roman"/>
          <w:i/>
          <w:iCs/>
          <w:noProof/>
          <w:sz w:val="24"/>
        </w:rPr>
        <w:t>Educational and Psychological Measurement</w:t>
      </w:r>
      <w:r w:rsidRPr="005B55CF">
        <w:rPr>
          <w:rFonts w:ascii="Garamond" w:hAnsi="Garamond" w:cs="Times New Roman"/>
          <w:noProof/>
          <w:sz w:val="24"/>
        </w:rPr>
        <w:t xml:space="preserve">, </w:t>
      </w:r>
      <w:r w:rsidRPr="005B55CF">
        <w:rPr>
          <w:rFonts w:ascii="Garamond" w:hAnsi="Garamond" w:cs="Times New Roman"/>
          <w:i/>
          <w:iCs/>
          <w:noProof/>
          <w:sz w:val="24"/>
        </w:rPr>
        <w:t>79</w:t>
      </w:r>
      <w:r w:rsidRPr="005B55CF">
        <w:rPr>
          <w:rFonts w:ascii="Garamond" w:hAnsi="Garamond" w:cs="Times New Roman"/>
          <w:noProof/>
          <w:sz w:val="24"/>
        </w:rPr>
        <w:t>(2), 310–334. https://doi.org/10.1177/0013164418783530</w:t>
      </w:r>
    </w:p>
    <w:p w14:paraId="71D6C6C6"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Skakon, J., Nielsen, K., Borg, V., &amp; Guzman, J. (2010). Are Leaders’ Well-Being, Behaviours and Style Associated with The Affective Well-Being of Their Employees? A systematic Review of Three Decades of Rresearch. </w:t>
      </w:r>
      <w:r w:rsidRPr="005B55CF">
        <w:rPr>
          <w:rFonts w:ascii="Garamond" w:hAnsi="Garamond" w:cs="Times New Roman"/>
          <w:i/>
          <w:iCs/>
          <w:noProof/>
          <w:sz w:val="24"/>
        </w:rPr>
        <w:t>Work and Stress</w:t>
      </w:r>
      <w:r w:rsidRPr="005B55CF">
        <w:rPr>
          <w:rFonts w:ascii="Garamond" w:hAnsi="Garamond" w:cs="Times New Roman"/>
          <w:noProof/>
          <w:sz w:val="24"/>
        </w:rPr>
        <w:t xml:space="preserve">, </w:t>
      </w:r>
      <w:r w:rsidRPr="005B55CF">
        <w:rPr>
          <w:rFonts w:ascii="Garamond" w:hAnsi="Garamond" w:cs="Times New Roman"/>
          <w:i/>
          <w:iCs/>
          <w:noProof/>
          <w:sz w:val="24"/>
        </w:rPr>
        <w:t>24</w:t>
      </w:r>
      <w:r w:rsidRPr="005B55CF">
        <w:rPr>
          <w:rFonts w:ascii="Garamond" w:hAnsi="Garamond" w:cs="Times New Roman"/>
          <w:noProof/>
          <w:sz w:val="24"/>
        </w:rPr>
        <w:t>(2), 107–139. https://doi.org/10.1080/02678373.2010.495262</w:t>
      </w:r>
    </w:p>
    <w:p w14:paraId="579489DF"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Ting, S. C., &amp; Yeh, L. Y. (2014). Teacher Loyalty of Elementary Schools in Taiwan: The Contribution of Gratitude and Relationship Quality. </w:t>
      </w:r>
      <w:r w:rsidRPr="005B55CF">
        <w:rPr>
          <w:rFonts w:ascii="Garamond" w:hAnsi="Garamond" w:cs="Times New Roman"/>
          <w:i/>
          <w:iCs/>
          <w:noProof/>
          <w:sz w:val="24"/>
        </w:rPr>
        <w:t>School Leadership and Management</w:t>
      </w:r>
      <w:r w:rsidRPr="005B55CF">
        <w:rPr>
          <w:rFonts w:ascii="Garamond" w:hAnsi="Garamond" w:cs="Times New Roman"/>
          <w:noProof/>
          <w:sz w:val="24"/>
        </w:rPr>
        <w:t xml:space="preserve">, </w:t>
      </w:r>
      <w:r w:rsidRPr="005B55CF">
        <w:rPr>
          <w:rFonts w:ascii="Garamond" w:hAnsi="Garamond" w:cs="Times New Roman"/>
          <w:i/>
          <w:iCs/>
          <w:noProof/>
          <w:sz w:val="24"/>
        </w:rPr>
        <w:t>34</w:t>
      </w:r>
      <w:r w:rsidRPr="005B55CF">
        <w:rPr>
          <w:rFonts w:ascii="Garamond" w:hAnsi="Garamond" w:cs="Times New Roman"/>
          <w:noProof/>
          <w:sz w:val="24"/>
        </w:rPr>
        <w:t>(1), 85–101. https://doi.org/10.1080/13632434.2013.813453</w:t>
      </w:r>
    </w:p>
    <w:p w14:paraId="787A183C"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Van Der Heijden, B. I. J. M., Schalk, R., &amp; Van Veldhoven, M. J. p. m. (2008). Ageing and Careers: European Research on Long-Term Career Development and Early Rretirement. </w:t>
      </w:r>
      <w:r w:rsidRPr="005B55CF">
        <w:rPr>
          <w:rFonts w:ascii="Garamond" w:hAnsi="Garamond" w:cs="Times New Roman"/>
          <w:i/>
          <w:iCs/>
          <w:noProof/>
          <w:sz w:val="24"/>
        </w:rPr>
        <w:t>Emerald Insigh: Career Development International</w:t>
      </w:r>
      <w:r w:rsidRPr="005B55CF">
        <w:rPr>
          <w:rFonts w:ascii="Garamond" w:hAnsi="Garamond" w:cs="Times New Roman"/>
          <w:noProof/>
          <w:sz w:val="24"/>
        </w:rPr>
        <w:t xml:space="preserve">, </w:t>
      </w:r>
      <w:r w:rsidRPr="005B55CF">
        <w:rPr>
          <w:rFonts w:ascii="Garamond" w:hAnsi="Garamond" w:cs="Times New Roman"/>
          <w:i/>
          <w:iCs/>
          <w:noProof/>
          <w:sz w:val="24"/>
        </w:rPr>
        <w:t>13</w:t>
      </w:r>
      <w:r w:rsidRPr="005B55CF">
        <w:rPr>
          <w:rFonts w:ascii="Garamond" w:hAnsi="Garamond" w:cs="Times New Roman"/>
          <w:noProof/>
          <w:sz w:val="24"/>
        </w:rPr>
        <w:t>(2), 85–94. https://doi.org/10.1108/13620430810860512</w:t>
      </w:r>
    </w:p>
    <w:p w14:paraId="7F00A908"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lastRenderedPageBreak/>
        <w:t xml:space="preserve">Waters, L. (2012). Predicting Job Satisfaction: Contributions of Individual Gratitude and Institutionalized Gratitude. </w:t>
      </w:r>
      <w:r w:rsidRPr="005B55CF">
        <w:rPr>
          <w:rFonts w:ascii="Garamond" w:hAnsi="Garamond" w:cs="Times New Roman"/>
          <w:i/>
          <w:iCs/>
          <w:noProof/>
          <w:sz w:val="24"/>
        </w:rPr>
        <w:t>Psychology</w:t>
      </w:r>
      <w:r w:rsidRPr="005B55CF">
        <w:rPr>
          <w:rFonts w:ascii="Garamond" w:hAnsi="Garamond" w:cs="Times New Roman"/>
          <w:noProof/>
          <w:sz w:val="24"/>
        </w:rPr>
        <w:t xml:space="preserve">, </w:t>
      </w:r>
      <w:r w:rsidRPr="005B55CF">
        <w:rPr>
          <w:rFonts w:ascii="Garamond" w:hAnsi="Garamond" w:cs="Times New Roman"/>
          <w:i/>
          <w:iCs/>
          <w:noProof/>
          <w:sz w:val="24"/>
        </w:rPr>
        <w:t>03</w:t>
      </w:r>
      <w:r w:rsidRPr="005B55CF">
        <w:rPr>
          <w:rFonts w:ascii="Garamond" w:hAnsi="Garamond" w:cs="Times New Roman"/>
          <w:noProof/>
          <w:sz w:val="24"/>
        </w:rPr>
        <w:t>(12), 1174–1176. https://doi.org/10.4236/psych.2012.312a173</w:t>
      </w:r>
    </w:p>
    <w:p w14:paraId="5761A632"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Williams, L. A., &amp; Bartlett, M. Y. (2015). Warm Thanks: Gratitude Expression Facilitates Social Affiliation in New Rrelationships Via Perceived Warmth. </w:t>
      </w:r>
      <w:r w:rsidRPr="005B55CF">
        <w:rPr>
          <w:rFonts w:ascii="Garamond" w:hAnsi="Garamond" w:cs="Times New Roman"/>
          <w:i/>
          <w:iCs/>
          <w:noProof/>
          <w:sz w:val="24"/>
        </w:rPr>
        <w:t>Emotion</w:t>
      </w:r>
      <w:r w:rsidRPr="005B55CF">
        <w:rPr>
          <w:rFonts w:ascii="Garamond" w:hAnsi="Garamond" w:cs="Times New Roman"/>
          <w:noProof/>
          <w:sz w:val="24"/>
        </w:rPr>
        <w:t xml:space="preserve">, </w:t>
      </w:r>
      <w:r w:rsidRPr="005B55CF">
        <w:rPr>
          <w:rFonts w:ascii="Garamond" w:hAnsi="Garamond" w:cs="Times New Roman"/>
          <w:i/>
          <w:iCs/>
          <w:noProof/>
          <w:sz w:val="24"/>
        </w:rPr>
        <w:t>15</w:t>
      </w:r>
      <w:r w:rsidRPr="005B55CF">
        <w:rPr>
          <w:rFonts w:ascii="Garamond" w:hAnsi="Garamond" w:cs="Times New Roman"/>
          <w:noProof/>
          <w:sz w:val="24"/>
        </w:rPr>
        <w:t>(1), 1–5. https://doi.org/10.1037/emo0000017</w:t>
      </w:r>
    </w:p>
    <w:p w14:paraId="5831A39B"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Wirawan. (2007). </w:t>
      </w:r>
      <w:r w:rsidRPr="005B55CF">
        <w:rPr>
          <w:rFonts w:ascii="Garamond" w:hAnsi="Garamond" w:cs="Times New Roman"/>
          <w:i/>
          <w:iCs/>
          <w:noProof/>
          <w:sz w:val="24"/>
        </w:rPr>
        <w:t>Budaya dan Iklim Organisasi</w:t>
      </w:r>
      <w:r w:rsidRPr="005B55CF">
        <w:rPr>
          <w:rFonts w:ascii="Garamond" w:hAnsi="Garamond" w:cs="Times New Roman"/>
          <w:noProof/>
          <w:sz w:val="24"/>
        </w:rPr>
        <w:t>. Salemba Empat.</w:t>
      </w:r>
    </w:p>
    <w:p w14:paraId="035E4A2D"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Yakbu, I. (1982). </w:t>
      </w:r>
      <w:r w:rsidRPr="005B55CF">
        <w:rPr>
          <w:rFonts w:ascii="Garamond" w:hAnsi="Garamond" w:cs="Times New Roman"/>
          <w:i/>
          <w:iCs/>
          <w:noProof/>
          <w:sz w:val="24"/>
        </w:rPr>
        <w:t>Ihya Ulumuddin Al-Ghazali Jilid IV Terjemahan</w:t>
      </w:r>
      <w:r w:rsidRPr="005B55CF">
        <w:rPr>
          <w:rFonts w:ascii="Garamond" w:hAnsi="Garamond" w:cs="Times New Roman"/>
          <w:noProof/>
          <w:sz w:val="24"/>
        </w:rPr>
        <w:t>. Salemba Empat.</w:t>
      </w:r>
    </w:p>
    <w:p w14:paraId="53506428"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Yoshimura, S. M., &amp; Berzins, K. (2017). Grateful Experiences and Expressions: The Role of Expressions in The Link Between Gratitude Experiences and Well-Being. </w:t>
      </w:r>
      <w:r w:rsidRPr="005B55CF">
        <w:rPr>
          <w:rFonts w:ascii="Garamond" w:hAnsi="Garamond" w:cs="Times New Roman"/>
          <w:i/>
          <w:iCs/>
          <w:noProof/>
          <w:sz w:val="24"/>
        </w:rPr>
        <w:t>Review of Communication</w:t>
      </w:r>
      <w:r w:rsidRPr="005B55CF">
        <w:rPr>
          <w:rFonts w:ascii="Garamond" w:hAnsi="Garamond" w:cs="Times New Roman"/>
          <w:noProof/>
          <w:sz w:val="24"/>
        </w:rPr>
        <w:t xml:space="preserve">, </w:t>
      </w:r>
      <w:r w:rsidRPr="005B55CF">
        <w:rPr>
          <w:rFonts w:ascii="Garamond" w:hAnsi="Garamond" w:cs="Times New Roman"/>
          <w:i/>
          <w:iCs/>
          <w:noProof/>
          <w:sz w:val="24"/>
        </w:rPr>
        <w:t>17</w:t>
      </w:r>
      <w:r w:rsidRPr="005B55CF">
        <w:rPr>
          <w:rFonts w:ascii="Garamond" w:hAnsi="Garamond" w:cs="Times New Roman"/>
          <w:noProof/>
          <w:sz w:val="24"/>
        </w:rPr>
        <w:t>(2), 106–118. https://doi.org/10.1080/15358593.2017.1293836</w:t>
      </w:r>
    </w:p>
    <w:p w14:paraId="4E1F3B21"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cs="Times New Roman"/>
          <w:noProof/>
          <w:sz w:val="24"/>
        </w:rPr>
      </w:pPr>
      <w:r w:rsidRPr="005B55CF">
        <w:rPr>
          <w:rFonts w:ascii="Garamond" w:hAnsi="Garamond" w:cs="Times New Roman"/>
          <w:noProof/>
          <w:sz w:val="24"/>
        </w:rPr>
        <w:t xml:space="preserve">Zhao, S., Liu, L., &amp; Chen, H. (2015). Factors Influencing The Occupational Well-Being of Experienced Nurses. </w:t>
      </w:r>
      <w:r w:rsidRPr="005B55CF">
        <w:rPr>
          <w:rFonts w:ascii="Garamond" w:hAnsi="Garamond" w:cs="Times New Roman"/>
          <w:i/>
          <w:iCs/>
          <w:noProof/>
          <w:sz w:val="24"/>
        </w:rPr>
        <w:t>International Journal of Nursing Sciences</w:t>
      </w:r>
      <w:r w:rsidRPr="005B55CF">
        <w:rPr>
          <w:rFonts w:ascii="Garamond" w:hAnsi="Garamond" w:cs="Times New Roman"/>
          <w:noProof/>
          <w:sz w:val="24"/>
        </w:rPr>
        <w:t xml:space="preserve">, </w:t>
      </w:r>
      <w:r w:rsidRPr="005B55CF">
        <w:rPr>
          <w:rFonts w:ascii="Garamond" w:hAnsi="Garamond" w:cs="Times New Roman"/>
          <w:i/>
          <w:iCs/>
          <w:noProof/>
          <w:sz w:val="24"/>
        </w:rPr>
        <w:t>2</w:t>
      </w:r>
      <w:r w:rsidRPr="005B55CF">
        <w:rPr>
          <w:rFonts w:ascii="Garamond" w:hAnsi="Garamond" w:cs="Times New Roman"/>
          <w:noProof/>
          <w:sz w:val="24"/>
        </w:rPr>
        <w:t>(4), 378–382. https://doi.org/10.1016/j.ijnss.2015.10.001</w:t>
      </w:r>
    </w:p>
    <w:p w14:paraId="1F2C50B5" w14:textId="77777777" w:rsidR="00741FED" w:rsidRPr="005B55CF" w:rsidRDefault="00741FED" w:rsidP="00741FED">
      <w:pPr>
        <w:widowControl w:val="0"/>
        <w:autoSpaceDE w:val="0"/>
        <w:autoSpaceDN w:val="0"/>
        <w:adjustRightInd w:val="0"/>
        <w:spacing w:after="120" w:line="240" w:lineRule="auto"/>
        <w:ind w:left="480" w:hanging="480"/>
        <w:rPr>
          <w:rFonts w:ascii="Garamond" w:hAnsi="Garamond"/>
          <w:noProof/>
          <w:sz w:val="24"/>
        </w:rPr>
      </w:pPr>
      <w:r w:rsidRPr="005B55CF">
        <w:rPr>
          <w:rFonts w:ascii="Garamond" w:hAnsi="Garamond" w:cs="Times New Roman"/>
          <w:noProof/>
          <w:sz w:val="24"/>
        </w:rPr>
        <w:t xml:space="preserve">Zubaidy, A. (2008). Formalisasi Syariat Islam Di Tasikmalaya. </w:t>
      </w:r>
      <w:r w:rsidRPr="005B55CF">
        <w:rPr>
          <w:rFonts w:ascii="Garamond" w:hAnsi="Garamond" w:cs="Times New Roman"/>
          <w:i/>
          <w:iCs/>
          <w:noProof/>
          <w:sz w:val="24"/>
        </w:rPr>
        <w:t>Jurnal Hukum</w:t>
      </w:r>
      <w:r w:rsidRPr="005B55CF">
        <w:rPr>
          <w:rFonts w:ascii="Garamond" w:hAnsi="Garamond" w:cs="Times New Roman"/>
          <w:noProof/>
          <w:sz w:val="24"/>
        </w:rPr>
        <w:t xml:space="preserve">, </w:t>
      </w:r>
      <w:r w:rsidRPr="005B55CF">
        <w:rPr>
          <w:rFonts w:ascii="Garamond" w:hAnsi="Garamond" w:cs="Times New Roman"/>
          <w:i/>
          <w:iCs/>
          <w:noProof/>
          <w:sz w:val="24"/>
        </w:rPr>
        <w:t>3</w:t>
      </w:r>
      <w:r w:rsidRPr="005B55CF">
        <w:rPr>
          <w:rFonts w:ascii="Garamond" w:hAnsi="Garamond" w:cs="Times New Roman"/>
          <w:noProof/>
          <w:sz w:val="24"/>
        </w:rPr>
        <w:t>(15), 426–442. https://doi.org/https://doi.org/10.20885/iustum.vol15.iss3.art1</w:t>
      </w:r>
    </w:p>
    <w:p w14:paraId="3C7013B4" w14:textId="022102EE" w:rsidR="00143989" w:rsidRPr="00723B12" w:rsidRDefault="00741FED" w:rsidP="00741FED">
      <w:pPr>
        <w:pStyle w:val="Alishlah71References"/>
      </w:pPr>
      <w:r>
        <w:rPr>
          <w:rFonts w:ascii="Garamond" w:eastAsia="Garamond" w:hAnsi="Garamond" w:cs="Garamond"/>
          <w:color w:val="FF0000"/>
          <w:sz w:val="24"/>
          <w:szCs w:val="24"/>
        </w:rPr>
        <w:fldChar w:fldCharType="end"/>
      </w:r>
    </w:p>
    <w:sectPr w:rsidR="00143989" w:rsidRPr="00723B12" w:rsidSect="001914CF">
      <w:headerReference w:type="default" r:id="rId12"/>
      <w:footerReference w:type="default" r:id="rId13"/>
      <w:headerReference w:type="first" r:id="rId14"/>
      <w:footerReference w:type="first" r:id="rId15"/>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96F90" w14:textId="77777777" w:rsidR="00806707" w:rsidRDefault="00806707" w:rsidP="008E64A2">
      <w:pPr>
        <w:spacing w:after="0" w:line="240" w:lineRule="auto"/>
      </w:pPr>
      <w:r>
        <w:separator/>
      </w:r>
    </w:p>
    <w:p w14:paraId="6D79BCEA" w14:textId="77777777" w:rsidR="00806707" w:rsidRDefault="00806707"/>
  </w:endnote>
  <w:endnote w:type="continuationSeparator" w:id="0">
    <w:p w14:paraId="3695A0B6" w14:textId="77777777" w:rsidR="00806707" w:rsidRDefault="00806707" w:rsidP="008E64A2">
      <w:pPr>
        <w:spacing w:after="0" w:line="240" w:lineRule="auto"/>
      </w:pPr>
      <w:r>
        <w:continuationSeparator/>
      </w:r>
    </w:p>
    <w:p w14:paraId="254335EB" w14:textId="77777777" w:rsidR="00806707" w:rsidRDefault="00806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Palatino">
    <w:panose1 w:val="00000000000000000000"/>
    <w:charset w:val="4D"/>
    <w:family w:val="auto"/>
    <w:pitch w:val="variable"/>
    <w:sig w:usb0="A00002FF" w:usb1="7800205A" w:usb2="14600000" w:usb3="00000000" w:csb0="000001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9543E"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3FF39"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AB557" w14:textId="77777777" w:rsidR="00806707" w:rsidRDefault="00806707" w:rsidP="008E64A2">
      <w:pPr>
        <w:spacing w:after="0" w:line="240" w:lineRule="auto"/>
      </w:pPr>
      <w:r>
        <w:separator/>
      </w:r>
    </w:p>
    <w:p w14:paraId="034BAE30" w14:textId="77777777" w:rsidR="00806707" w:rsidRDefault="00806707"/>
  </w:footnote>
  <w:footnote w:type="continuationSeparator" w:id="0">
    <w:p w14:paraId="2F709A2C" w14:textId="77777777" w:rsidR="00806707" w:rsidRDefault="00806707" w:rsidP="008E64A2">
      <w:pPr>
        <w:spacing w:after="0" w:line="240" w:lineRule="auto"/>
      </w:pPr>
      <w:r>
        <w:continuationSeparator/>
      </w:r>
    </w:p>
    <w:p w14:paraId="0DD7532F" w14:textId="77777777" w:rsidR="00806707" w:rsidRDefault="008067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75224"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73EF9F17" wp14:editId="4AB73A0E">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8B9522"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LwSitwEAAFYDAAAOAAAAZHJzL2Uyb0RvYy54bWysU8Fu2zAMvQ/YPwi6L7YDJNiMOD2k7S7d&#13;&#10;FqDdBzCybAuTRYFUYufvJ6lJWmy3YT4IlEg+Pj7Sm7t5tOKkiQ26RlaLUgrtFLbG9Y38+fL46bMU&#13;&#10;HMC1YNHpRp41y7vtxw+bydd6iQPaVpOIII7ryTdyCMHXRcFq0CPwAr120dkhjRDilfqiJZgi+miL&#13;&#10;ZVmuiwmp9YRKM8fX+1en3Gb8rtMq/Og61kHYRkZuIZ+Uz0M6i+0G6p7AD0ZdaMA/sBjBuFj0BnUP&#13;&#10;AcSRzF9Qo1GEjF1YKBwL7DqjdO4hdlOVf3TzPIDXuZcoDvubTPz/YNX3087tKVFXs3v2T6h+sXC4&#13;&#10;G8D1OhN4Ofs4uCpJVUye61tKurDfkzhM37CNMXAMmFWYOxoTZOxPzFns801sPQeh4uNqXa3LMs5E&#13;&#10;XX0F1NdETxy+ahxFMhrJgcD0Q9ihc3GkSFUuA6cnDokW1NeEVNXho7E2T9Y6MTXyy2q5ygmM1rTJ&#13;&#10;mcKY+sPOkjhB2o385R6j530Y4dG1GWzQ0D5c7ADGvtqxuHUXaZIaafW4PmB73tNVsji8zPKyaGk7&#13;&#10;3t9z9tvvsP0NAAD//wMAUEsDBBQABgAIAAAAIQCbdACD3gAAAAwBAAAPAAAAZHJzL2Rvd25yZXYu&#13;&#10;eG1sTE9NT8MwDL0j8R8iI3FBLOlgqOuaThOIA0e2SVyzxmsLjVM16Vr26zHiMC6Wnp/9PvL15Fpx&#13;&#10;wj40njQkMwUCqfS2oUrDfvd6n4II0ZA1rSfU8I0B1sX1VW4y60d6x9M2VoJFKGRGQx1jl0kZyhqd&#13;&#10;CTPfITF39L0zkWFfSdubkcVdK+dKPUlnGmKH2nT4XGP5tR2cBgzDIlGbpav2b+fx7mN+/hy7nda3&#13;&#10;N9PLisdmBSLiFC8f8NuB80PBwQ5+IBtEy/iRDzU8qAQE02m64DqHv4Uscvm/RPEDAAD//wMAUEsB&#13;&#10;Ai0AFAAGAAgAAAAhALaDOJL+AAAA4QEAABMAAAAAAAAAAAAAAAAAAAAAAFtDb250ZW50X1R5cGVz&#13;&#10;XS54bWxQSwECLQAUAAYACAAAACEAOP0h/9YAAACUAQAACwAAAAAAAAAAAAAAAAAvAQAAX3JlbHMv&#13;&#10;LnJlbHNQSwECLQAUAAYACAAAACEAby8EorcBAABWAwAADgAAAAAAAAAAAAAAAAAuAgAAZHJzL2Uy&#13;&#10;b0RvYy54bWxQSwECLQAUAAYACAAAACEAm3QAg94AAAAMAQAADwAAAAAAAAAAAAAAAAARBAAAZHJz&#13;&#10;L2Rvd25yZXYueG1sUEsFBgAAAAAEAAQA8wAAABwFAAAAAA==&#13;&#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00871270" w14:textId="77777777" w:rsidR="007F133F" w:rsidRDefault="007F13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46809" w14:textId="77777777" w:rsidR="001C18FA" w:rsidRPr="0048254D" w:rsidRDefault="001C18FA" w:rsidP="0048254D">
    <w:pPr>
      <w:pStyle w:val="Header"/>
      <w:ind w:right="45"/>
      <w:rPr>
        <w:rFonts w:ascii="Palatino Linotype" w:hAnsi="Palatino Linotype"/>
        <w:b/>
        <w:sz w:val="20"/>
      </w:rPr>
    </w:pPr>
    <w:bookmarkStart w:id="6"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1FB7F3B1"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6F0C9FA5"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6"/>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723AF8EF" wp14:editId="5B6CDE76">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1FC414"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LwSitwEAAFYDAAAOAAAAZHJzL2Uyb0RvYy54bWysU8Fu2zAMvQ/YPwi6L7YDJNiMOD2k7S7d&#13;&#10;FqDdBzCybAuTRYFUYufvJ6lJWmy3YT4IlEg+Pj7Sm7t5tOKkiQ26RlaLUgrtFLbG9Y38+fL46bMU&#13;&#10;HMC1YNHpRp41y7vtxw+bydd6iQPaVpOIII7ryTdyCMHXRcFq0CPwAr120dkhjRDilfqiJZgi+miL&#13;&#10;ZVmuiwmp9YRKM8fX+1en3Gb8rtMq/Og61kHYRkZuIZ+Uz0M6i+0G6p7AD0ZdaMA/sBjBuFj0BnUP&#13;&#10;AcSRzF9Qo1GEjF1YKBwL7DqjdO4hdlOVf3TzPIDXuZcoDvubTPz/YNX3087tKVFXs3v2T6h+sXC4&#13;&#10;G8D1OhN4Ofs4uCpJVUye61tKurDfkzhM37CNMXAMmFWYOxoTZOxPzFns801sPQeh4uNqXa3LMs5E&#13;&#10;XX0F1NdETxy+ahxFMhrJgcD0Q9ihc3GkSFUuA6cnDokW1NeEVNXho7E2T9Y6MTXyy2q5ygmM1rTJ&#13;&#10;mcKY+sPOkjhB2o385R6j530Y4dG1GWzQ0D5c7ADGvtqxuHUXaZIaafW4PmB73tNVsji8zPKyaGk7&#13;&#10;3t9z9tvvsP0NAAD//wMAUEsDBBQABgAIAAAAIQCxqCr64gAAAA0BAAAPAAAAZHJzL2Rvd25yZXYu&#13;&#10;eG1sTI9BT8MwDIXvk/gPkZF2mba0haHSNZ2mIQ4c2SZxzRrTFhqnatK17NdjxAEuluyn9/y+fDvZ&#13;&#10;Vlyw940jBfEqAoFUOtNQpeB0fF6mIHzQZHTrCBV8oYdtcTPLdWbcSK94OYRKcAj5TCuoQ+gyKX1Z&#13;&#10;o9V+5Tok1t5db3Xgta+k6fXI4baVSRQ9SKsb4g+17nBfY/l5GKwC9MM6jnaPtjq9XMfFW3L9GLuj&#13;&#10;UvPb6WnDY7cBEXAKfw74YeD+UHCxsxvIeNEqWN4xT1CQpGsQrKdpfA/i/HuQRS7/UxTfAAAA//8D&#13;&#10;AFBLAQItABQABgAIAAAAIQC2gziS/gAAAOEBAAATAAAAAAAAAAAAAAAAAAAAAABbQ29udGVudF9U&#13;&#10;eXBlc10ueG1sUEsBAi0AFAAGAAgAAAAhADj9If/WAAAAlAEAAAsAAAAAAAAAAAAAAAAALwEAAF9y&#13;&#10;ZWxzLy5yZWxzUEsBAi0AFAAGAAgAAAAhAG8vBKK3AQAAVgMAAA4AAAAAAAAAAAAAAAAALgIAAGRy&#13;&#10;cy9lMm9Eb2MueG1sUEsBAi0AFAAGAAgAAAAhALGoKvriAAAADQEAAA8AAAAAAAAAAAAAAAAAEQQA&#13;&#10;AGRycy9kb3ducmV2LnhtbFBLBQYAAAAABAAEAPMAAAAgBQAAAAA=&#13;&#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50941906">
    <w:abstractNumId w:val="9"/>
  </w:num>
  <w:num w:numId="2" w16cid:durableId="1384675717">
    <w:abstractNumId w:val="10"/>
  </w:num>
  <w:num w:numId="3" w16cid:durableId="524713362">
    <w:abstractNumId w:val="6"/>
  </w:num>
  <w:num w:numId="4" w16cid:durableId="1462385906">
    <w:abstractNumId w:val="5"/>
  </w:num>
  <w:num w:numId="5" w16cid:durableId="1239168508">
    <w:abstractNumId w:val="13"/>
  </w:num>
  <w:num w:numId="6" w16cid:durableId="1693800901">
    <w:abstractNumId w:val="16"/>
  </w:num>
  <w:num w:numId="7" w16cid:durableId="1819420464">
    <w:abstractNumId w:val="1"/>
  </w:num>
  <w:num w:numId="8" w16cid:durableId="901251122">
    <w:abstractNumId w:val="15"/>
  </w:num>
  <w:num w:numId="9" w16cid:durableId="1700428005">
    <w:abstractNumId w:val="8"/>
  </w:num>
  <w:num w:numId="10" w16cid:durableId="182600435">
    <w:abstractNumId w:val="14"/>
  </w:num>
  <w:num w:numId="11" w16cid:durableId="13663694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9922167">
    <w:abstractNumId w:val="17"/>
  </w:num>
  <w:num w:numId="13" w16cid:durableId="1113941735">
    <w:abstractNumId w:val="2"/>
  </w:num>
  <w:num w:numId="14" w16cid:durableId="1651131927">
    <w:abstractNumId w:val="11"/>
  </w:num>
  <w:num w:numId="15" w16cid:durableId="441069419">
    <w:abstractNumId w:val="12"/>
  </w:num>
  <w:num w:numId="16" w16cid:durableId="1577478180">
    <w:abstractNumId w:val="0"/>
  </w:num>
  <w:num w:numId="17" w16cid:durableId="1805927488">
    <w:abstractNumId w:val="4"/>
  </w:num>
  <w:num w:numId="18" w16cid:durableId="155026660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AD62D5"/>
    <w:rsid w:val="000061CE"/>
    <w:rsid w:val="00031DD5"/>
    <w:rsid w:val="000333AC"/>
    <w:rsid w:val="000355EA"/>
    <w:rsid w:val="00035C67"/>
    <w:rsid w:val="00044FE0"/>
    <w:rsid w:val="00056E9C"/>
    <w:rsid w:val="00060A65"/>
    <w:rsid w:val="000735BB"/>
    <w:rsid w:val="00075197"/>
    <w:rsid w:val="000831BD"/>
    <w:rsid w:val="000A13A3"/>
    <w:rsid w:val="000A36F0"/>
    <w:rsid w:val="000D5EE8"/>
    <w:rsid w:val="000E2588"/>
    <w:rsid w:val="000E2C60"/>
    <w:rsid w:val="000E7A05"/>
    <w:rsid w:val="000F1812"/>
    <w:rsid w:val="000F66B9"/>
    <w:rsid w:val="00114306"/>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E42C1"/>
    <w:rsid w:val="001F4625"/>
    <w:rsid w:val="002001C5"/>
    <w:rsid w:val="00202D95"/>
    <w:rsid w:val="0022427B"/>
    <w:rsid w:val="002263FF"/>
    <w:rsid w:val="00226E30"/>
    <w:rsid w:val="0023514C"/>
    <w:rsid w:val="00245BDA"/>
    <w:rsid w:val="002663A1"/>
    <w:rsid w:val="00270B5A"/>
    <w:rsid w:val="00287854"/>
    <w:rsid w:val="00290481"/>
    <w:rsid w:val="002A02C2"/>
    <w:rsid w:val="002A2BCB"/>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1136D"/>
    <w:rsid w:val="00617741"/>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1FED"/>
    <w:rsid w:val="0074579B"/>
    <w:rsid w:val="00750180"/>
    <w:rsid w:val="00751F6C"/>
    <w:rsid w:val="007549C7"/>
    <w:rsid w:val="00763D48"/>
    <w:rsid w:val="007706D1"/>
    <w:rsid w:val="00776DFE"/>
    <w:rsid w:val="00784B9B"/>
    <w:rsid w:val="00787398"/>
    <w:rsid w:val="007A2C38"/>
    <w:rsid w:val="007B2B7A"/>
    <w:rsid w:val="007B716C"/>
    <w:rsid w:val="007C0FE7"/>
    <w:rsid w:val="007E0F04"/>
    <w:rsid w:val="007E5CEF"/>
    <w:rsid w:val="007E6AA6"/>
    <w:rsid w:val="007E6E1C"/>
    <w:rsid w:val="007F0542"/>
    <w:rsid w:val="007F133F"/>
    <w:rsid w:val="007F1BA9"/>
    <w:rsid w:val="007F2733"/>
    <w:rsid w:val="00802C6D"/>
    <w:rsid w:val="008036D9"/>
    <w:rsid w:val="00806707"/>
    <w:rsid w:val="008477FA"/>
    <w:rsid w:val="00863036"/>
    <w:rsid w:val="00873823"/>
    <w:rsid w:val="00874DBD"/>
    <w:rsid w:val="00883EAA"/>
    <w:rsid w:val="008841DF"/>
    <w:rsid w:val="008858AA"/>
    <w:rsid w:val="00887B61"/>
    <w:rsid w:val="0089730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120B2"/>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62D5"/>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53AD"/>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4847"/>
    <w:rsid w:val="00CA3B3C"/>
    <w:rsid w:val="00CC0C2B"/>
    <w:rsid w:val="00CC3DB2"/>
    <w:rsid w:val="00CC7F21"/>
    <w:rsid w:val="00CD3AE9"/>
    <w:rsid w:val="00CE131B"/>
    <w:rsid w:val="00CE242C"/>
    <w:rsid w:val="00CF34E8"/>
    <w:rsid w:val="00CF5425"/>
    <w:rsid w:val="00D13D39"/>
    <w:rsid w:val="00D2296B"/>
    <w:rsid w:val="00D31547"/>
    <w:rsid w:val="00D37209"/>
    <w:rsid w:val="00D51A98"/>
    <w:rsid w:val="00D74358"/>
    <w:rsid w:val="00D75604"/>
    <w:rsid w:val="00D77FAD"/>
    <w:rsid w:val="00D81206"/>
    <w:rsid w:val="00D90DB0"/>
    <w:rsid w:val="00DA0836"/>
    <w:rsid w:val="00DA2631"/>
    <w:rsid w:val="00DD295B"/>
    <w:rsid w:val="00DE2B7D"/>
    <w:rsid w:val="00DF215F"/>
    <w:rsid w:val="00E00922"/>
    <w:rsid w:val="00E05855"/>
    <w:rsid w:val="00E1438C"/>
    <w:rsid w:val="00E22B8E"/>
    <w:rsid w:val="00E45249"/>
    <w:rsid w:val="00E517C5"/>
    <w:rsid w:val="00E56B59"/>
    <w:rsid w:val="00E85AC8"/>
    <w:rsid w:val="00EA7D37"/>
    <w:rsid w:val="00EE35A7"/>
    <w:rsid w:val="00EF47B8"/>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81B87"/>
  <w15:chartTrackingRefBased/>
  <w15:docId w15:val="{053B374B-0D4B-094E-AB7D-44506D52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user/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Template-2022.dotx</Template>
  <TotalTime>34</TotalTime>
  <Pages>11</Pages>
  <Words>16624</Words>
  <Characters>94759</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cucu.arumsari</dc:creator>
  <cp:keywords/>
  <dc:description/>
  <cp:lastModifiedBy>cucu.arumsari</cp:lastModifiedBy>
  <cp:revision>5</cp:revision>
  <cp:lastPrinted>2022-03-12T14:54:00Z</cp:lastPrinted>
  <dcterms:created xsi:type="dcterms:W3CDTF">2024-09-26T03:13:00Z</dcterms:created>
  <dcterms:modified xsi:type="dcterms:W3CDTF">2024-09-26T08:05:00Z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