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0C0DF" w14:textId="77777777" w:rsidR="00A41F8C" w:rsidRDefault="00A41F8C" w:rsidP="00727D5A">
      <w:pPr>
        <w:pStyle w:val="Alishlah12title"/>
      </w:pPr>
      <w:r w:rsidRPr="00A41F8C">
        <w:t xml:space="preserve">Jigsaw Strategy on Learning Outcomes and Higher Order Thinking Skills of Students in Social Science at Madrasah </w:t>
      </w:r>
      <w:proofErr w:type="spellStart"/>
      <w:r w:rsidRPr="00A41F8C">
        <w:t>Tsanawiyah</w:t>
      </w:r>
      <w:proofErr w:type="spellEnd"/>
    </w:p>
    <w:p w14:paraId="01D8F122" w14:textId="5CA7044E" w:rsidR="00BE398A" w:rsidRPr="002E2CD1" w:rsidRDefault="002B31FD" w:rsidP="002C57D4">
      <w:pPr>
        <w:pStyle w:val="Alishlah13authornames"/>
        <w:rPr>
          <w:vertAlign w:val="superscript"/>
          <w:lang w:val="en-GB"/>
        </w:rPr>
      </w:pPr>
      <w:r w:rsidRPr="002B31FD">
        <w:rPr>
          <w:lang w:val="en-GB"/>
        </w:rPr>
        <w:t>F</w:t>
      </w:r>
      <w:r w:rsidR="004E46F9">
        <w:rPr>
          <w:lang w:val="en-GB"/>
        </w:rPr>
        <w:t>erdi Yufriadi</w:t>
      </w:r>
      <w:r w:rsidR="007E6AA6">
        <w:rPr>
          <w:vertAlign w:val="superscript"/>
          <w:lang w:val="en-GB"/>
        </w:rPr>
        <w:t>1</w:t>
      </w:r>
      <w:r w:rsidR="007E6AA6" w:rsidRPr="007E6AA6">
        <w:rPr>
          <w:lang w:val="en-GB"/>
        </w:rPr>
        <w:t xml:space="preserve">, </w:t>
      </w:r>
      <w:r w:rsidRPr="002B31FD">
        <w:rPr>
          <w:lang w:val="en-GB"/>
        </w:rPr>
        <w:t>F</w:t>
      </w:r>
      <w:r w:rsidR="004E46F9">
        <w:rPr>
          <w:lang w:val="en-GB"/>
        </w:rPr>
        <w:t>adilla Syahriani</w:t>
      </w:r>
      <w:r w:rsidR="007E6AA6">
        <w:rPr>
          <w:vertAlign w:val="superscript"/>
          <w:lang w:val="en-GB"/>
        </w:rPr>
        <w:t>2</w:t>
      </w:r>
      <w:r w:rsidR="004E46F9">
        <w:rPr>
          <w:lang w:val="en-GB"/>
        </w:rPr>
        <w:t>, Beni Firdaus</w:t>
      </w:r>
      <w:r w:rsidR="004E46F9">
        <w:rPr>
          <w:vertAlign w:val="superscript"/>
          <w:lang w:val="en-GB"/>
        </w:rPr>
        <w:t>3</w:t>
      </w:r>
      <w:r w:rsidR="004E46F9">
        <w:rPr>
          <w:lang w:val="en-GB"/>
        </w:rPr>
        <w:t xml:space="preserve">, </w:t>
      </w:r>
      <w:proofErr w:type="spellStart"/>
      <w:r w:rsidR="00A45E69">
        <w:rPr>
          <w:lang w:val="en-GB"/>
        </w:rPr>
        <w:t>Yernati</w:t>
      </w:r>
      <w:proofErr w:type="spellEnd"/>
      <w:r w:rsidR="00A45E69">
        <w:rPr>
          <w:lang w:val="en-GB"/>
        </w:rPr>
        <w:t xml:space="preserve"> Ulfazah</w:t>
      </w:r>
      <w:r w:rsidR="00A45E69">
        <w:rPr>
          <w:vertAlign w:val="superscript"/>
          <w:lang w:val="en-GB"/>
        </w:rPr>
        <w:t>4</w:t>
      </w:r>
      <w:r w:rsidR="00A45E69">
        <w:rPr>
          <w:lang w:val="en-GB"/>
        </w:rPr>
        <w:t>,</w:t>
      </w:r>
      <w:r w:rsidR="00A45E69" w:rsidRPr="00A45E69">
        <w:t xml:space="preserve"> </w:t>
      </w:r>
      <w:proofErr w:type="spellStart"/>
      <w:r w:rsidR="00A45E69" w:rsidRPr="00A45E69">
        <w:rPr>
          <w:lang w:val="en-GB"/>
        </w:rPr>
        <w:t>Meisya</w:t>
      </w:r>
      <w:proofErr w:type="spellEnd"/>
      <w:r w:rsidR="00A45E69" w:rsidRPr="00A45E69">
        <w:rPr>
          <w:lang w:val="en-GB"/>
        </w:rPr>
        <w:t xml:space="preserve"> </w:t>
      </w:r>
      <w:proofErr w:type="spellStart"/>
      <w:r w:rsidR="00A45E69" w:rsidRPr="00A45E69">
        <w:rPr>
          <w:lang w:val="en-GB"/>
        </w:rPr>
        <w:t>Anggraini</w:t>
      </w:r>
      <w:proofErr w:type="spellEnd"/>
      <w:r w:rsidR="00A45E69" w:rsidRPr="00A45E69">
        <w:rPr>
          <w:lang w:val="en-GB"/>
        </w:rPr>
        <w:t xml:space="preserve"> Rizki</w:t>
      </w:r>
      <w:r w:rsidR="00A45E69">
        <w:rPr>
          <w:vertAlign w:val="superscript"/>
          <w:lang w:val="en-GB"/>
        </w:rPr>
        <w:t>5</w:t>
      </w:r>
      <w:r w:rsidR="00A45E69">
        <w:rPr>
          <w:lang w:val="en-GB"/>
        </w:rPr>
        <w:t xml:space="preserve">, </w:t>
      </w:r>
      <w:proofErr w:type="spellStart"/>
      <w:r w:rsidR="00A45E69" w:rsidRPr="00A45E69">
        <w:rPr>
          <w:lang w:val="en-GB"/>
        </w:rPr>
        <w:t>Nadyya</w:t>
      </w:r>
      <w:proofErr w:type="spellEnd"/>
      <w:r w:rsidR="00A45E69" w:rsidRPr="00A45E69">
        <w:rPr>
          <w:lang w:val="en-GB"/>
        </w:rPr>
        <w:t xml:space="preserve"> </w:t>
      </w:r>
      <w:proofErr w:type="spellStart"/>
      <w:r w:rsidR="00A45E69" w:rsidRPr="00A45E69">
        <w:rPr>
          <w:lang w:val="en-GB"/>
        </w:rPr>
        <w:t>Zahratul</w:t>
      </w:r>
      <w:proofErr w:type="spellEnd"/>
      <w:r w:rsidR="00A45E69" w:rsidRPr="00A45E69">
        <w:rPr>
          <w:lang w:val="en-GB"/>
        </w:rPr>
        <w:t xml:space="preserve"> Janna</w:t>
      </w:r>
      <w:r w:rsidR="00A45E69">
        <w:rPr>
          <w:lang w:val="en-GB"/>
        </w:rPr>
        <w:t>h</w:t>
      </w:r>
      <w:r w:rsidR="00A45E69">
        <w:rPr>
          <w:vertAlign w:val="superscript"/>
          <w:lang w:val="en-GB"/>
        </w:rPr>
        <w:t>6</w:t>
      </w:r>
      <w:r w:rsidR="00A45E69">
        <w:rPr>
          <w:lang w:val="en-GB"/>
        </w:rPr>
        <w:t xml:space="preserve">, </w:t>
      </w:r>
      <w:proofErr w:type="spellStart"/>
      <w:r w:rsidR="00A45E69">
        <w:rPr>
          <w:lang w:val="en-GB"/>
        </w:rPr>
        <w:t>Valensius</w:t>
      </w:r>
      <w:proofErr w:type="spellEnd"/>
      <w:r w:rsidR="00A45E69">
        <w:rPr>
          <w:lang w:val="en-GB"/>
        </w:rPr>
        <w:t xml:space="preserve"> Ngardi</w:t>
      </w:r>
      <w:r w:rsidR="00A45E69">
        <w:rPr>
          <w:vertAlign w:val="superscript"/>
          <w:lang w:val="en-GB"/>
        </w:rPr>
        <w:t>7</w:t>
      </w:r>
      <w:r w:rsidR="002E2CD1">
        <w:rPr>
          <w:lang w:val="en-GB"/>
        </w:rPr>
        <w:t>,</w:t>
      </w:r>
      <w:r w:rsidR="002E2CD1" w:rsidRPr="002E2CD1">
        <w:t xml:space="preserve"> </w:t>
      </w:r>
      <w:r w:rsidR="002E2CD1" w:rsidRPr="002E2CD1">
        <w:rPr>
          <w:lang w:val="en-GB"/>
        </w:rPr>
        <w:t>Tri Wibowo</w:t>
      </w:r>
      <w:r w:rsidR="002E2CD1">
        <w:rPr>
          <w:vertAlign w:val="superscript"/>
          <w:lang w:val="en-GB"/>
        </w:rPr>
        <w:t>8</w:t>
      </w:r>
    </w:p>
    <w:p w14:paraId="7AA75F6B" w14:textId="19816D8E"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A45E69">
        <w:rPr>
          <w:color w:val="auto"/>
          <w:lang w:val="en-GB"/>
        </w:rPr>
        <w:t xml:space="preserve">Universitas Islam Negeri </w:t>
      </w:r>
      <w:proofErr w:type="spellStart"/>
      <w:r w:rsidR="00A45E69">
        <w:rPr>
          <w:color w:val="auto"/>
          <w:lang w:val="en-GB"/>
        </w:rPr>
        <w:t>Sjech</w:t>
      </w:r>
      <w:proofErr w:type="spellEnd"/>
      <w:r w:rsidR="00A45E69">
        <w:rPr>
          <w:color w:val="auto"/>
          <w:lang w:val="en-GB"/>
        </w:rPr>
        <w:t xml:space="preserve"> M. </w:t>
      </w:r>
      <w:proofErr w:type="spellStart"/>
      <w:r w:rsidR="00A45E69">
        <w:rPr>
          <w:color w:val="auto"/>
          <w:lang w:val="en-GB"/>
        </w:rPr>
        <w:t>Djamil</w:t>
      </w:r>
      <w:proofErr w:type="spellEnd"/>
      <w:r w:rsidR="00A45E69">
        <w:rPr>
          <w:color w:val="auto"/>
          <w:lang w:val="en-GB"/>
        </w:rPr>
        <w:t xml:space="preserve"> </w:t>
      </w:r>
      <w:proofErr w:type="spellStart"/>
      <w:r w:rsidR="00A45E69">
        <w:rPr>
          <w:color w:val="auto"/>
          <w:lang w:val="en-GB"/>
        </w:rPr>
        <w:t>Djambek</w:t>
      </w:r>
      <w:proofErr w:type="spellEnd"/>
      <w:r w:rsidR="00A45E69">
        <w:rPr>
          <w:color w:val="auto"/>
          <w:lang w:val="en-GB"/>
        </w:rPr>
        <w:t xml:space="preserve"> </w:t>
      </w:r>
      <w:proofErr w:type="spellStart"/>
      <w:r w:rsidR="00A45E69">
        <w:rPr>
          <w:color w:val="auto"/>
          <w:lang w:val="en-GB"/>
        </w:rPr>
        <w:t>Bukittinggi</w:t>
      </w:r>
      <w:proofErr w:type="spellEnd"/>
      <w:r w:rsidR="002B31FD" w:rsidRPr="002B31FD">
        <w:rPr>
          <w:color w:val="auto"/>
          <w:lang w:val="en-GB"/>
        </w:rPr>
        <w:t xml:space="preserve">; </w:t>
      </w:r>
      <w:r w:rsidR="002E2CD1">
        <w:rPr>
          <w:color w:val="auto"/>
          <w:lang w:val="en-GB"/>
        </w:rPr>
        <w:t>ferdiyufriadi07@g</w:t>
      </w:r>
      <w:r w:rsidR="002B31FD" w:rsidRPr="002B31FD">
        <w:rPr>
          <w:color w:val="auto"/>
          <w:lang w:val="en-GB"/>
        </w:rPr>
        <w:t>mail.com</w:t>
      </w:r>
    </w:p>
    <w:p w14:paraId="02048350" w14:textId="7CC8B792"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A45E69">
        <w:rPr>
          <w:color w:val="auto"/>
          <w:lang w:val="en-GB"/>
        </w:rPr>
        <w:t>Universitas Negeri Padang</w:t>
      </w:r>
      <w:r w:rsidR="002B31FD" w:rsidRPr="002B31FD">
        <w:rPr>
          <w:color w:val="auto"/>
          <w:lang w:val="en-GB"/>
        </w:rPr>
        <w:t xml:space="preserve">; </w:t>
      </w:r>
      <w:r w:rsidR="002E2CD1">
        <w:rPr>
          <w:color w:val="auto"/>
          <w:lang w:val="en-GB"/>
        </w:rPr>
        <w:t>fadilasyahriani4631@g</w:t>
      </w:r>
      <w:r w:rsidR="00A45E69">
        <w:rPr>
          <w:color w:val="auto"/>
          <w:lang w:val="en-GB"/>
        </w:rPr>
        <w:t>mail.com</w:t>
      </w:r>
    </w:p>
    <w:p w14:paraId="0276ACC4" w14:textId="11AB9158" w:rsidR="00A45E69" w:rsidRDefault="00A45E69" w:rsidP="00784B9B">
      <w:pPr>
        <w:pStyle w:val="Alishlah16affiliation"/>
        <w:rPr>
          <w:color w:val="auto"/>
          <w:lang w:val="en-GB"/>
        </w:rPr>
      </w:pPr>
      <w:r>
        <w:rPr>
          <w:color w:val="auto"/>
          <w:vertAlign w:val="superscript"/>
          <w:lang w:val="en-GB"/>
        </w:rPr>
        <w:t>3</w:t>
      </w:r>
      <w:r>
        <w:rPr>
          <w:color w:val="auto"/>
          <w:vertAlign w:val="superscript"/>
          <w:lang w:val="en-GB"/>
        </w:rPr>
        <w:tab/>
      </w:r>
      <w:r>
        <w:rPr>
          <w:color w:val="auto"/>
          <w:lang w:val="en-GB"/>
        </w:rPr>
        <w:t xml:space="preserve">Universitas Islam Negeri </w:t>
      </w:r>
      <w:proofErr w:type="spellStart"/>
      <w:r>
        <w:rPr>
          <w:color w:val="auto"/>
          <w:lang w:val="en-GB"/>
        </w:rPr>
        <w:t>Sjech</w:t>
      </w:r>
      <w:proofErr w:type="spellEnd"/>
      <w:r>
        <w:rPr>
          <w:color w:val="auto"/>
          <w:lang w:val="en-GB"/>
        </w:rPr>
        <w:t xml:space="preserve"> M. </w:t>
      </w:r>
      <w:proofErr w:type="spellStart"/>
      <w:r>
        <w:rPr>
          <w:color w:val="auto"/>
          <w:lang w:val="en-GB"/>
        </w:rPr>
        <w:t>Djamil</w:t>
      </w:r>
      <w:proofErr w:type="spellEnd"/>
      <w:r>
        <w:rPr>
          <w:color w:val="auto"/>
          <w:lang w:val="en-GB"/>
        </w:rPr>
        <w:t xml:space="preserve"> </w:t>
      </w:r>
      <w:proofErr w:type="spellStart"/>
      <w:r>
        <w:rPr>
          <w:color w:val="auto"/>
          <w:lang w:val="en-GB"/>
        </w:rPr>
        <w:t>Djambek</w:t>
      </w:r>
      <w:proofErr w:type="spellEnd"/>
      <w:r>
        <w:rPr>
          <w:color w:val="auto"/>
          <w:lang w:val="en-GB"/>
        </w:rPr>
        <w:t xml:space="preserve"> </w:t>
      </w:r>
      <w:proofErr w:type="spellStart"/>
      <w:r>
        <w:rPr>
          <w:color w:val="auto"/>
          <w:lang w:val="en-GB"/>
        </w:rPr>
        <w:t>Bukittinggi</w:t>
      </w:r>
      <w:proofErr w:type="spellEnd"/>
      <w:r w:rsidR="002F3871">
        <w:rPr>
          <w:color w:val="auto"/>
          <w:lang w:val="en-GB"/>
        </w:rPr>
        <w:t xml:space="preserve">; </w:t>
      </w:r>
      <w:r w:rsidR="008D2282" w:rsidRPr="008D2282">
        <w:rPr>
          <w:color w:val="auto"/>
          <w:lang w:val="en-GB"/>
        </w:rPr>
        <w:t>beni.firdaus1979@gmail.com</w:t>
      </w:r>
    </w:p>
    <w:p w14:paraId="7479F996" w14:textId="18FEAF8A" w:rsidR="002F3871" w:rsidRDefault="002F3871" w:rsidP="00784B9B">
      <w:pPr>
        <w:pStyle w:val="Alishlah16affiliation"/>
        <w:rPr>
          <w:color w:val="auto"/>
          <w:lang w:val="en-GB"/>
        </w:rPr>
      </w:pPr>
      <w:r>
        <w:rPr>
          <w:color w:val="auto"/>
          <w:vertAlign w:val="superscript"/>
          <w:lang w:val="en-GB"/>
        </w:rPr>
        <w:t>4</w:t>
      </w:r>
      <w:r>
        <w:rPr>
          <w:color w:val="auto"/>
          <w:vertAlign w:val="superscript"/>
          <w:lang w:val="en-GB"/>
        </w:rPr>
        <w:tab/>
      </w:r>
      <w:r>
        <w:rPr>
          <w:color w:val="auto"/>
          <w:lang w:val="en-GB"/>
        </w:rPr>
        <w:t xml:space="preserve">Universitas Islam Negeri Sunan </w:t>
      </w:r>
      <w:proofErr w:type="spellStart"/>
      <w:r>
        <w:rPr>
          <w:color w:val="auto"/>
          <w:lang w:val="en-GB"/>
        </w:rPr>
        <w:t>Kalijaga</w:t>
      </w:r>
      <w:proofErr w:type="spellEnd"/>
      <w:r>
        <w:rPr>
          <w:color w:val="auto"/>
          <w:lang w:val="en-GB"/>
        </w:rPr>
        <w:t xml:space="preserve"> Yogyakarta; </w:t>
      </w:r>
      <w:r w:rsidR="002E2CD1" w:rsidRPr="002E2CD1">
        <w:rPr>
          <w:color w:val="auto"/>
          <w:lang w:val="en-GB"/>
        </w:rPr>
        <w:t>yernatiulfa@gmail.com</w:t>
      </w:r>
    </w:p>
    <w:p w14:paraId="68BB3A10" w14:textId="71DC43F2" w:rsidR="002F3871" w:rsidRDefault="002F3871" w:rsidP="00784B9B">
      <w:pPr>
        <w:pStyle w:val="Alishlah16affiliation"/>
        <w:rPr>
          <w:color w:val="auto"/>
          <w:lang w:val="en-GB"/>
        </w:rPr>
      </w:pPr>
      <w:r>
        <w:rPr>
          <w:color w:val="auto"/>
          <w:vertAlign w:val="superscript"/>
          <w:lang w:val="en-GB"/>
        </w:rPr>
        <w:t>5</w:t>
      </w:r>
      <w:r>
        <w:rPr>
          <w:color w:val="auto"/>
          <w:vertAlign w:val="superscript"/>
          <w:lang w:val="en-GB"/>
        </w:rPr>
        <w:tab/>
      </w:r>
      <w:r>
        <w:rPr>
          <w:color w:val="auto"/>
          <w:lang w:val="en-GB"/>
        </w:rPr>
        <w:t xml:space="preserve">Universitas Gajah </w:t>
      </w:r>
      <w:proofErr w:type="spellStart"/>
      <w:r>
        <w:rPr>
          <w:color w:val="auto"/>
          <w:lang w:val="en-GB"/>
        </w:rPr>
        <w:t>Mada</w:t>
      </w:r>
      <w:proofErr w:type="spellEnd"/>
      <w:r>
        <w:rPr>
          <w:color w:val="auto"/>
          <w:lang w:val="en-GB"/>
        </w:rPr>
        <w:t xml:space="preserve">; </w:t>
      </w:r>
      <w:r w:rsidR="002E2CD1" w:rsidRPr="002E2CD1">
        <w:rPr>
          <w:color w:val="auto"/>
          <w:lang w:val="en-GB"/>
        </w:rPr>
        <w:t>meisyaanggrainirizki@mail.ugm.ac.id</w:t>
      </w:r>
    </w:p>
    <w:p w14:paraId="506ED661" w14:textId="70A61313" w:rsidR="002F3871" w:rsidRDefault="002F3871" w:rsidP="00784B9B">
      <w:pPr>
        <w:pStyle w:val="Alishlah16affiliation"/>
        <w:rPr>
          <w:color w:val="auto"/>
          <w:lang w:val="en-GB"/>
        </w:rPr>
      </w:pPr>
      <w:r>
        <w:rPr>
          <w:color w:val="auto"/>
          <w:vertAlign w:val="superscript"/>
          <w:lang w:val="en-GB"/>
        </w:rPr>
        <w:t>6</w:t>
      </w:r>
      <w:r>
        <w:rPr>
          <w:color w:val="auto"/>
          <w:vertAlign w:val="superscript"/>
          <w:lang w:val="en-GB"/>
        </w:rPr>
        <w:tab/>
      </w:r>
      <w:r>
        <w:rPr>
          <w:color w:val="auto"/>
          <w:lang w:val="en-GB"/>
        </w:rPr>
        <w:t xml:space="preserve">Universitas Islam Negeri </w:t>
      </w:r>
      <w:proofErr w:type="spellStart"/>
      <w:r>
        <w:rPr>
          <w:color w:val="auto"/>
          <w:lang w:val="en-GB"/>
        </w:rPr>
        <w:t>Sjech</w:t>
      </w:r>
      <w:proofErr w:type="spellEnd"/>
      <w:r>
        <w:rPr>
          <w:color w:val="auto"/>
          <w:lang w:val="en-GB"/>
        </w:rPr>
        <w:t xml:space="preserve"> M. </w:t>
      </w:r>
      <w:proofErr w:type="spellStart"/>
      <w:r>
        <w:rPr>
          <w:color w:val="auto"/>
          <w:lang w:val="en-GB"/>
        </w:rPr>
        <w:t>Djamil</w:t>
      </w:r>
      <w:proofErr w:type="spellEnd"/>
      <w:r>
        <w:rPr>
          <w:color w:val="auto"/>
          <w:lang w:val="en-GB"/>
        </w:rPr>
        <w:t xml:space="preserve"> </w:t>
      </w:r>
      <w:proofErr w:type="spellStart"/>
      <w:r>
        <w:rPr>
          <w:color w:val="auto"/>
          <w:lang w:val="en-GB"/>
        </w:rPr>
        <w:t>Djambek</w:t>
      </w:r>
      <w:proofErr w:type="spellEnd"/>
      <w:r>
        <w:rPr>
          <w:color w:val="auto"/>
          <w:lang w:val="en-GB"/>
        </w:rPr>
        <w:t xml:space="preserve"> </w:t>
      </w:r>
      <w:proofErr w:type="spellStart"/>
      <w:r>
        <w:rPr>
          <w:color w:val="auto"/>
          <w:lang w:val="en-GB"/>
        </w:rPr>
        <w:t>Bukittinggi</w:t>
      </w:r>
      <w:proofErr w:type="spellEnd"/>
      <w:r>
        <w:rPr>
          <w:color w:val="auto"/>
          <w:lang w:val="en-GB"/>
        </w:rPr>
        <w:t>;</w:t>
      </w:r>
      <w:r w:rsidR="002E2CD1" w:rsidRPr="002E2CD1">
        <w:t xml:space="preserve"> </w:t>
      </w:r>
      <w:r w:rsidR="002E2CD1" w:rsidRPr="002E2CD1">
        <w:rPr>
          <w:color w:val="auto"/>
          <w:lang w:val="en-GB"/>
        </w:rPr>
        <w:t>nadyyazahratulj@gmail.com</w:t>
      </w:r>
    </w:p>
    <w:p w14:paraId="7F2070D3" w14:textId="5856E368" w:rsidR="002F3871" w:rsidRDefault="002F3871" w:rsidP="00784B9B">
      <w:pPr>
        <w:pStyle w:val="Alishlah16affiliation"/>
        <w:rPr>
          <w:color w:val="auto"/>
          <w:lang w:val="en-GB"/>
        </w:rPr>
      </w:pPr>
      <w:r>
        <w:rPr>
          <w:color w:val="auto"/>
          <w:vertAlign w:val="superscript"/>
          <w:lang w:val="en-GB"/>
        </w:rPr>
        <w:t>7</w:t>
      </w:r>
      <w:r>
        <w:rPr>
          <w:color w:val="auto"/>
          <w:vertAlign w:val="superscript"/>
          <w:lang w:val="en-GB"/>
        </w:rPr>
        <w:tab/>
      </w:r>
      <w:r>
        <w:rPr>
          <w:color w:val="auto"/>
          <w:lang w:val="en-GB"/>
        </w:rPr>
        <w:t xml:space="preserve">Universitas Islam Negeri Sunan </w:t>
      </w:r>
      <w:proofErr w:type="spellStart"/>
      <w:r>
        <w:rPr>
          <w:color w:val="auto"/>
          <w:lang w:val="en-GB"/>
        </w:rPr>
        <w:t>Kalijaga</w:t>
      </w:r>
      <w:proofErr w:type="spellEnd"/>
      <w:r>
        <w:rPr>
          <w:color w:val="auto"/>
          <w:lang w:val="en-GB"/>
        </w:rPr>
        <w:t xml:space="preserve"> Yogyakarta</w:t>
      </w:r>
      <w:r>
        <w:rPr>
          <w:color w:val="auto"/>
          <w:lang w:val="en-GB"/>
        </w:rPr>
        <w:t>;</w:t>
      </w:r>
      <w:r w:rsidR="002E2CD1">
        <w:rPr>
          <w:color w:val="auto"/>
          <w:lang w:val="en-GB"/>
        </w:rPr>
        <w:t xml:space="preserve"> flavingardi@gmail.com</w:t>
      </w:r>
    </w:p>
    <w:p w14:paraId="04E20414" w14:textId="16ABDB1E" w:rsidR="002E2CD1" w:rsidRPr="002E2CD1" w:rsidRDefault="002E2CD1" w:rsidP="00784B9B">
      <w:pPr>
        <w:pStyle w:val="Alishlah16affiliation"/>
        <w:rPr>
          <w:color w:val="auto"/>
          <w:lang w:val="en-GB"/>
        </w:rPr>
      </w:pPr>
      <w:r>
        <w:rPr>
          <w:color w:val="auto"/>
          <w:vertAlign w:val="superscript"/>
          <w:lang w:val="en-GB"/>
        </w:rPr>
        <w:t>8</w:t>
      </w:r>
      <w:r>
        <w:rPr>
          <w:color w:val="auto"/>
          <w:vertAlign w:val="superscript"/>
          <w:lang w:val="en-GB"/>
        </w:rPr>
        <w:tab/>
      </w:r>
      <w:r w:rsidRPr="002E2CD1">
        <w:rPr>
          <w:color w:val="auto"/>
          <w:lang w:val="en-GB"/>
        </w:rPr>
        <w:t xml:space="preserve">Universitas Islam Negeri </w:t>
      </w:r>
      <w:proofErr w:type="spellStart"/>
      <w:r w:rsidRPr="002E2CD1">
        <w:rPr>
          <w:color w:val="auto"/>
          <w:lang w:val="en-GB"/>
        </w:rPr>
        <w:t>Profesor</w:t>
      </w:r>
      <w:proofErr w:type="spellEnd"/>
      <w:r w:rsidRPr="002E2CD1">
        <w:rPr>
          <w:color w:val="auto"/>
          <w:lang w:val="en-GB"/>
        </w:rPr>
        <w:t xml:space="preserve"> Kiai Haji Saifuddin Zuhri </w:t>
      </w:r>
      <w:proofErr w:type="spellStart"/>
      <w:r w:rsidRPr="002E2CD1">
        <w:rPr>
          <w:color w:val="auto"/>
          <w:lang w:val="en-GB"/>
        </w:rPr>
        <w:t>Purwokerto</w:t>
      </w:r>
      <w:proofErr w:type="spellEnd"/>
      <w:r>
        <w:rPr>
          <w:color w:val="auto"/>
          <w:lang w:val="en-GB"/>
        </w:rPr>
        <w:t xml:space="preserve">; </w:t>
      </w:r>
      <w:r w:rsidRPr="002E2CD1">
        <w:rPr>
          <w:color w:val="auto"/>
          <w:lang w:val="en-GB"/>
        </w:rPr>
        <w:t>triwibowo@uinsaizu.ac.id</w:t>
      </w:r>
    </w:p>
    <w:p w14:paraId="022E4CCA"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34AC2C1B" w14:textId="77777777" w:rsidTr="0048254D">
        <w:trPr>
          <w:jc w:val="center"/>
        </w:trPr>
        <w:tc>
          <w:tcPr>
            <w:tcW w:w="2787" w:type="dxa"/>
            <w:tcBorders>
              <w:top w:val="double" w:sz="4" w:space="0" w:color="auto"/>
              <w:left w:val="nil"/>
              <w:bottom w:val="single" w:sz="4" w:space="0" w:color="auto"/>
              <w:right w:val="nil"/>
            </w:tcBorders>
          </w:tcPr>
          <w:p w14:paraId="454481C1"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7032A591"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6206A9C7"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65DEC1FE" w14:textId="77777777" w:rsidTr="0048254D">
        <w:trPr>
          <w:trHeight w:val="1268"/>
          <w:jc w:val="center"/>
        </w:trPr>
        <w:tc>
          <w:tcPr>
            <w:tcW w:w="2787" w:type="dxa"/>
            <w:tcBorders>
              <w:top w:val="single" w:sz="4" w:space="0" w:color="auto"/>
              <w:left w:val="nil"/>
              <w:bottom w:val="single" w:sz="4" w:space="0" w:color="auto"/>
              <w:right w:val="nil"/>
            </w:tcBorders>
          </w:tcPr>
          <w:p w14:paraId="4C24E877" w14:textId="77777777" w:rsidR="0048254D" w:rsidRPr="0048254D" w:rsidRDefault="0048254D" w:rsidP="001C18FA">
            <w:pPr>
              <w:spacing w:before="120" w:after="120"/>
              <w:jc w:val="both"/>
              <w:rPr>
                <w:rFonts w:ascii="Palatino Linotype" w:hAnsi="Palatino Linotype"/>
                <w:b/>
                <w:i/>
                <w:sz w:val="18"/>
                <w:szCs w:val="18"/>
              </w:rPr>
            </w:pPr>
            <w:bookmarkStart w:id="0" w:name="_Hlk178182616"/>
            <w:r w:rsidRPr="0048254D">
              <w:rPr>
                <w:rFonts w:ascii="Palatino Linotype" w:hAnsi="Palatino Linotype"/>
                <w:b/>
                <w:i/>
                <w:sz w:val="18"/>
                <w:szCs w:val="18"/>
              </w:rPr>
              <w:t>Keywords:</w:t>
            </w:r>
          </w:p>
          <w:p w14:paraId="3EF70335" w14:textId="52349DAD" w:rsidR="002B31FD" w:rsidRDefault="00AE1C5B" w:rsidP="00290481">
            <w:pPr>
              <w:pStyle w:val="Alishlah18keywords"/>
            </w:pPr>
            <w:r>
              <w:t>Jigsaw Strategy</w:t>
            </w:r>
            <w:r w:rsidR="002B31FD" w:rsidRPr="002B31FD">
              <w:t xml:space="preserve">; </w:t>
            </w:r>
          </w:p>
          <w:p w14:paraId="2542EA43" w14:textId="03D9B160" w:rsidR="002B31FD" w:rsidRDefault="00AE1C5B" w:rsidP="00290481">
            <w:pPr>
              <w:pStyle w:val="Alishlah18keywords"/>
            </w:pPr>
            <w:r>
              <w:t>Social Science</w:t>
            </w:r>
            <w:r w:rsidR="002B31FD" w:rsidRPr="002B31FD">
              <w:t xml:space="preserve">; </w:t>
            </w:r>
          </w:p>
          <w:p w14:paraId="1321D64C" w14:textId="2820DA38" w:rsidR="002B31FD" w:rsidRDefault="00AE1C5B" w:rsidP="00290481">
            <w:pPr>
              <w:pStyle w:val="Alishlah18keywords"/>
            </w:pPr>
            <w:r>
              <w:t xml:space="preserve">Madrasah </w:t>
            </w:r>
            <w:proofErr w:type="spellStart"/>
            <w:r>
              <w:t>Tsanawiyah</w:t>
            </w:r>
            <w:proofErr w:type="spellEnd"/>
            <w:r w:rsidR="002B31FD" w:rsidRPr="002B31FD">
              <w:t xml:space="preserve"> </w:t>
            </w:r>
          </w:p>
          <w:p w14:paraId="56623F83"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122B6207"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E38B6AF" w14:textId="314F10A3" w:rsidR="00745AB5" w:rsidRDefault="00226872" w:rsidP="00745AB5">
            <w:pPr>
              <w:pStyle w:val="Alishlah17abstract"/>
            </w:pPr>
            <w:r w:rsidRPr="00226872">
              <w:t xml:space="preserve">This study investigates the impact of the Jigsaw learning strategy on student learning outcomes and Higher Order Thinking Skills (HOTS) in Social Science at </w:t>
            </w:r>
            <w:proofErr w:type="spellStart"/>
            <w:r w:rsidRPr="00226872">
              <w:t>MTsS</w:t>
            </w:r>
            <w:proofErr w:type="spellEnd"/>
            <w:r w:rsidRPr="00226872">
              <w:t xml:space="preserve"> </w:t>
            </w:r>
            <w:proofErr w:type="spellStart"/>
            <w:r w:rsidRPr="00226872">
              <w:t>Ashhabul</w:t>
            </w:r>
            <w:proofErr w:type="spellEnd"/>
            <w:r w:rsidRPr="00226872">
              <w:t xml:space="preserve"> Yamin </w:t>
            </w:r>
            <w:proofErr w:type="spellStart"/>
            <w:r w:rsidRPr="00226872">
              <w:t>Lasi</w:t>
            </w:r>
            <w:proofErr w:type="spellEnd"/>
            <w:r w:rsidRPr="00226872">
              <w:t xml:space="preserve">. A quasi-experimental design was employed, involving two groups of students: an experimental group that utilized the Jigsaw strategy and a control group that adhered to conventional learning methods. Data were collected through pretests and posttests, utilizing a combination of multiple-choice questions and descriptive tests to measure learning outcomes and HOTS. Correlation techniques and simple regression analysis were used for data analysis, processed using SPSS version 2.6. The study population comprised all VIII grade students at </w:t>
            </w:r>
            <w:proofErr w:type="spellStart"/>
            <w:r w:rsidRPr="00226872">
              <w:t>MTsS</w:t>
            </w:r>
            <w:proofErr w:type="spellEnd"/>
            <w:r w:rsidRPr="00226872">
              <w:t xml:space="preserve"> </w:t>
            </w:r>
            <w:proofErr w:type="spellStart"/>
            <w:r w:rsidRPr="00226872">
              <w:t>Ashhabul</w:t>
            </w:r>
            <w:proofErr w:type="spellEnd"/>
            <w:r w:rsidRPr="00226872">
              <w:t xml:space="preserve"> Yamin </w:t>
            </w:r>
            <w:proofErr w:type="spellStart"/>
            <w:r w:rsidRPr="00226872">
              <w:t>Lasi</w:t>
            </w:r>
            <w:proofErr w:type="spellEnd"/>
            <w:r w:rsidRPr="00226872">
              <w:t>, with specific samples drawn from experimental and control classes. The research was conducted in three stages: pretest, Jigsaw strategy implementation, and posttest. The findings are anticipated to offer valuable insights into the effectiveness of the Jigsaw strategy in enhancing students' ability to think critically, analyze, and solve problems in Social Science subjects. This research aims to contribute significantly to the development of innovative teaching methods in secondary education. By highlighting the positive impact of collaborative learning strategies like Jigsaw, the study supports efforts to implement more dynamic and student-centered approaches in the classroom. These findings could also inform broader pedagogical practices, offering practical solutions for improving learning outcomes and cognitive skills in various educational contexts globally.</w:t>
            </w:r>
          </w:p>
          <w:p w14:paraId="255C6D6D" w14:textId="5DE2F7C4" w:rsidR="00226872" w:rsidRPr="00226872" w:rsidRDefault="00226872" w:rsidP="00226872">
            <w:pPr>
              <w:pStyle w:val="Alishlah18keywords"/>
            </w:pPr>
          </w:p>
        </w:tc>
      </w:tr>
      <w:bookmarkEnd w:id="0"/>
      <w:tr w:rsidR="0048254D" w:rsidRPr="0048254D" w14:paraId="6C6B775A"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2DC50D7C"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7BA30A36" w14:textId="5F8E9F7E" w:rsidR="0048254D" w:rsidRPr="006A6719" w:rsidRDefault="0048254D" w:rsidP="00E45249">
            <w:pPr>
              <w:pStyle w:val="Alishlah14history"/>
            </w:pPr>
            <w:r w:rsidRPr="006A6719">
              <w:t xml:space="preserve">Received </w:t>
            </w:r>
            <w:r w:rsidR="00FA43FF" w:rsidRPr="00FA43FF">
              <w:t>202</w:t>
            </w:r>
            <w:r w:rsidR="008D2282">
              <w:t>4</w:t>
            </w:r>
            <w:r w:rsidR="00FA43FF" w:rsidRPr="00FA43FF">
              <w:t>-0</w:t>
            </w:r>
            <w:r w:rsidR="008D2282">
              <w:t>9</w:t>
            </w:r>
            <w:r w:rsidR="00FA43FF" w:rsidRPr="00FA43FF">
              <w:t>-</w:t>
            </w:r>
            <w:r w:rsidR="008D2282">
              <w:t>25</w:t>
            </w:r>
          </w:p>
          <w:p w14:paraId="38CBB45A"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79D2A88C"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21990A7B"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0733E1D6"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5A3B7782" w14:textId="77777777" w:rsidTr="0048254D">
        <w:trPr>
          <w:trHeight w:val="70"/>
          <w:jc w:val="center"/>
        </w:trPr>
        <w:tc>
          <w:tcPr>
            <w:tcW w:w="2787" w:type="dxa"/>
            <w:vMerge/>
            <w:tcBorders>
              <w:top w:val="single" w:sz="4" w:space="0" w:color="auto"/>
              <w:left w:val="nil"/>
              <w:bottom w:val="single" w:sz="4" w:space="0" w:color="auto"/>
              <w:right w:val="nil"/>
            </w:tcBorders>
          </w:tcPr>
          <w:p w14:paraId="71CEA2C4"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1F4728C6"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07F3F93E"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35AD73AD"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lastRenderedPageBreak/>
              <w:drawing>
                <wp:inline distT="0" distB="0" distL="0" distR="0" wp14:anchorId="5A8628C1" wp14:editId="67D668A0">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24FBC62A" w14:textId="77777777" w:rsidTr="0048254D">
        <w:trPr>
          <w:jc w:val="center"/>
        </w:trPr>
        <w:tc>
          <w:tcPr>
            <w:tcW w:w="8845" w:type="dxa"/>
            <w:gridSpan w:val="3"/>
            <w:tcBorders>
              <w:top w:val="nil"/>
              <w:left w:val="nil"/>
              <w:bottom w:val="double" w:sz="4" w:space="0" w:color="auto"/>
              <w:right w:val="nil"/>
            </w:tcBorders>
          </w:tcPr>
          <w:p w14:paraId="366490E4" w14:textId="77777777" w:rsidR="0048254D" w:rsidRPr="00E45249" w:rsidRDefault="0048254D" w:rsidP="00E45249">
            <w:pPr>
              <w:pStyle w:val="Alishlah16affiliation"/>
              <w:ind w:left="0" w:firstLine="10"/>
              <w:rPr>
                <w:b/>
                <w:bCs/>
              </w:rPr>
            </w:pPr>
            <w:bookmarkStart w:id="1" w:name="_Hlk97159440"/>
            <w:r w:rsidRPr="00E45249">
              <w:rPr>
                <w:b/>
                <w:bCs/>
              </w:rPr>
              <w:lastRenderedPageBreak/>
              <w:t>Corresponding Author</w:t>
            </w:r>
            <w:bookmarkEnd w:id="1"/>
            <w:r w:rsidRPr="00E45249">
              <w:rPr>
                <w:b/>
                <w:bCs/>
              </w:rPr>
              <w:t>:</w:t>
            </w:r>
          </w:p>
          <w:p w14:paraId="4B174C6D" w14:textId="377F99F4" w:rsidR="00457015" w:rsidRDefault="002B31FD" w:rsidP="00E45249">
            <w:pPr>
              <w:pStyle w:val="Alishlah2authorcorrespondence"/>
            </w:pPr>
            <w:r w:rsidRPr="002B31FD">
              <w:t>F</w:t>
            </w:r>
            <w:r w:rsidR="008D2282">
              <w:t xml:space="preserve">adilla </w:t>
            </w:r>
            <w:proofErr w:type="spellStart"/>
            <w:r w:rsidR="008D2282">
              <w:t>Syahriani</w:t>
            </w:r>
            <w:proofErr w:type="spellEnd"/>
            <w:r w:rsidR="00457015" w:rsidRPr="00457015">
              <w:t xml:space="preserve"> </w:t>
            </w:r>
          </w:p>
          <w:p w14:paraId="57DBC405" w14:textId="12E38B42" w:rsidR="0048254D" w:rsidRPr="008D2282" w:rsidRDefault="008D2282" w:rsidP="008D2282">
            <w:pPr>
              <w:pStyle w:val="Alishlah16affiliation"/>
              <w:rPr>
                <w:color w:val="auto"/>
                <w:lang w:val="en-GB"/>
              </w:rPr>
            </w:pPr>
            <w:r>
              <w:rPr>
                <w:color w:val="auto"/>
                <w:lang w:val="en-GB"/>
              </w:rPr>
              <w:t>Universitas Negeri Padang</w:t>
            </w:r>
            <w:r w:rsidRPr="002B31FD">
              <w:rPr>
                <w:color w:val="auto"/>
                <w:lang w:val="en-GB"/>
              </w:rPr>
              <w:t xml:space="preserve">; </w:t>
            </w:r>
            <w:hyperlink r:id="rId10" w:history="1">
              <w:r w:rsidRPr="000112D0">
                <w:rPr>
                  <w:rStyle w:val="Hyperlink"/>
                  <w:lang w:val="en-GB"/>
                </w:rPr>
                <w:t>fadilasyahriani4631@gmail.com</w:t>
              </w:r>
            </w:hyperlink>
          </w:p>
        </w:tc>
      </w:tr>
    </w:tbl>
    <w:p w14:paraId="0294CD77" w14:textId="77777777" w:rsidR="00226872" w:rsidRDefault="00226872" w:rsidP="00226872">
      <w:pPr>
        <w:pStyle w:val="Alishlah21heading1"/>
        <w:numPr>
          <w:ilvl w:val="0"/>
          <w:numId w:val="0"/>
        </w:numPr>
        <w:ind w:left="426"/>
        <w:rPr>
          <w:lang w:val="en-GB"/>
        </w:rPr>
      </w:pPr>
    </w:p>
    <w:p w14:paraId="69EE04A2" w14:textId="413E000D" w:rsidR="008E64A2" w:rsidRPr="00A75CB1" w:rsidRDefault="0048254D" w:rsidP="00A10E86">
      <w:pPr>
        <w:pStyle w:val="Alishlah21heading1"/>
        <w:rPr>
          <w:lang w:val="en-GB"/>
        </w:rPr>
      </w:pPr>
      <w:r w:rsidRPr="00A75CB1">
        <w:rPr>
          <w:lang w:val="en-GB"/>
        </w:rPr>
        <w:t>INTRODUCTION</w:t>
      </w:r>
    </w:p>
    <w:p w14:paraId="02B00EF7" w14:textId="5454746B" w:rsidR="00A41F8C" w:rsidRPr="00A41F8C" w:rsidRDefault="00A41F8C" w:rsidP="00A82864">
      <w:pPr>
        <w:spacing w:after="0" w:line="240" w:lineRule="auto"/>
        <w:ind w:firstLine="425"/>
        <w:jc w:val="both"/>
        <w:rPr>
          <w:rFonts w:ascii="Palatino Linotype" w:hAnsi="Palatino Linotype" w:cstheme="majorBidi"/>
          <w:sz w:val="20"/>
          <w:szCs w:val="20"/>
          <w:lang w:val="en-US"/>
        </w:rPr>
      </w:pPr>
      <w:r w:rsidRPr="00A41F8C">
        <w:rPr>
          <w:rFonts w:ascii="Palatino Linotype" w:hAnsi="Palatino Linotype" w:cstheme="majorBidi"/>
          <w:sz w:val="20"/>
          <w:szCs w:val="20"/>
        </w:rPr>
        <w:t xml:space="preserve">MTSS </w:t>
      </w:r>
      <w:r w:rsidRPr="00A41F8C">
        <w:rPr>
          <w:rFonts w:ascii="Palatino Linotype" w:hAnsi="Palatino Linotype" w:cstheme="majorBidi"/>
          <w:sz w:val="20"/>
          <w:szCs w:val="20"/>
          <w:lang w:val="id-ID"/>
        </w:rPr>
        <w:t>Ashhabul Yamin is an educational institution that follows the 2013 Curriculum as a guideline for implementing learning activities. The 2013 Curriculum is a national curriculum introduced by the Ministry of Education and Culture of the Republic of Indonesia in 2013. Teachers are expected to train students to enhance high-order thinking skills, encouraging them to become critical learners. In the 21st century, teachers play the role of guides assisting students in constructing their knowledge and skills. Teachers need to strengthen students' intellectual interests, identification, problem-solving skills, and their ability to build knowledge collectively. Systematic teacher readiness is required to fulfill their duties.</w:t>
      </w:r>
      <w:r w:rsidR="00A82864">
        <w:rPr>
          <w:rFonts w:ascii="Palatino Linotype" w:hAnsi="Palatino Linotype" w:cstheme="majorBidi"/>
          <w:sz w:val="20"/>
          <w:szCs w:val="20"/>
          <w:lang w:val="en-US"/>
        </w:rPr>
        <w:t xml:space="preserve"> </w:t>
      </w:r>
      <w:r w:rsidRPr="00A41F8C">
        <w:rPr>
          <w:rFonts w:ascii="Palatino Linotype" w:hAnsi="Palatino Linotype" w:cstheme="majorBidi"/>
          <w:sz w:val="20"/>
          <w:szCs w:val="20"/>
          <w:lang w:val="id-ID"/>
        </w:rPr>
        <w:t>The goal of the 2013 Curriculum is to develop learners holistically, covering aspects of knowledge, skills, attitudes, and values needed for life in the continually evolving society. MTSS Ashhabul Yamin, as an institution implementing the 2013 Curriculum, acknowledges the importance of a learner-centered approach, activating students' roles in the learning process. In the eighth-grade Social Science learning, this approach is manifested through the use of various methods and learning models suitable for students' needs and characteristics. The Jigsaw learning model, emphasizing cooperation and interdependence among students in studying Social Science material, is chosen to enhance students' engagement and active participation in learning.</w:t>
      </w:r>
    </w:p>
    <w:p w14:paraId="67A2879F" w14:textId="4CB83972" w:rsidR="00A41F8C" w:rsidRPr="00A41F8C" w:rsidRDefault="00A41F8C" w:rsidP="00A82864">
      <w:pPr>
        <w:spacing w:after="0" w:line="240" w:lineRule="auto"/>
        <w:ind w:firstLine="425"/>
        <w:jc w:val="both"/>
        <w:rPr>
          <w:rFonts w:ascii="Palatino Linotype" w:hAnsi="Palatino Linotype" w:cstheme="majorBidi"/>
          <w:sz w:val="20"/>
          <w:szCs w:val="20"/>
          <w:lang w:val="en-US"/>
        </w:rPr>
      </w:pPr>
      <w:r w:rsidRPr="00A41F8C">
        <w:rPr>
          <w:rFonts w:ascii="Palatino Linotype" w:hAnsi="Palatino Linotype" w:cstheme="majorBidi"/>
          <w:sz w:val="20"/>
          <w:szCs w:val="20"/>
          <w:lang w:val="id-ID"/>
        </w:rPr>
        <w:t>In eighth-grade Social Science learning, it is crucial to adopt teaching methods and models that align with students' needs and characteristics. One applicable learning model is the Jigsaw model, emphasizing cooperation and interdependence among students in studying Social Science material. Students work in small groups with different roles and responsibilities, depending on each other to understand and convey information to other group members. The selection of the Jigsaw learning model at MTSS Ashhabul Yamin for eighth-grade S</w:t>
      </w:r>
      <w:proofErr w:type="spellStart"/>
      <w:r w:rsidRPr="00A41F8C">
        <w:rPr>
          <w:rFonts w:ascii="Palatino Linotype" w:hAnsi="Palatino Linotype" w:cstheme="majorBidi"/>
          <w:sz w:val="20"/>
          <w:szCs w:val="20"/>
          <w:lang w:val="en-US"/>
        </w:rPr>
        <w:t>ocial</w:t>
      </w:r>
      <w:proofErr w:type="spellEnd"/>
      <w:r w:rsidRPr="00A41F8C">
        <w:rPr>
          <w:rFonts w:ascii="Palatino Linotype" w:hAnsi="Palatino Linotype" w:cstheme="majorBidi"/>
          <w:sz w:val="20"/>
          <w:szCs w:val="20"/>
          <w:lang w:val="id-ID"/>
        </w:rPr>
        <w:t xml:space="preserve"> S</w:t>
      </w:r>
      <w:proofErr w:type="spellStart"/>
      <w:r w:rsidRPr="00A41F8C">
        <w:rPr>
          <w:rFonts w:ascii="Palatino Linotype" w:hAnsi="Palatino Linotype" w:cstheme="majorBidi"/>
          <w:sz w:val="20"/>
          <w:szCs w:val="20"/>
          <w:lang w:val="en-US"/>
        </w:rPr>
        <w:t>ceience</w:t>
      </w:r>
      <w:proofErr w:type="spellEnd"/>
      <w:r w:rsidRPr="00A41F8C">
        <w:rPr>
          <w:rFonts w:ascii="Palatino Linotype" w:hAnsi="Palatino Linotype" w:cstheme="majorBidi"/>
          <w:sz w:val="20"/>
          <w:szCs w:val="20"/>
          <w:lang w:val="id-ID"/>
        </w:rPr>
        <w:t xml:space="preserve"> learning is based on the effort to enhance student engagement and active participation in the learning process.</w:t>
      </w:r>
      <w:r w:rsidR="00A82864">
        <w:rPr>
          <w:rFonts w:ascii="Palatino Linotype" w:hAnsi="Palatino Linotype" w:cstheme="majorBidi"/>
          <w:sz w:val="20"/>
          <w:szCs w:val="20"/>
          <w:lang w:val="en-US"/>
        </w:rPr>
        <w:t xml:space="preserve"> </w:t>
      </w:r>
      <w:r w:rsidRPr="00A41F8C">
        <w:rPr>
          <w:rFonts w:ascii="Palatino Linotype" w:hAnsi="Palatino Linotype" w:cstheme="majorBidi"/>
          <w:sz w:val="20"/>
          <w:szCs w:val="20"/>
          <w:lang w:val="id-ID"/>
        </w:rPr>
        <w:t>In the 2013 Curriculum Social Science learning in eighth grade plays a significant role in equipping learners with an understanding of various social, economic, and political aspects of daily life</w:t>
      </w:r>
      <w:r w:rsidR="00B11C1B">
        <w:rPr>
          <w:rFonts w:ascii="Palatino Linotype" w:hAnsi="Palatino Linotype" w:cstheme="majorBidi"/>
          <w:sz w:val="20"/>
          <w:szCs w:val="20"/>
          <w:lang w:val="id-ID"/>
        </w:rPr>
        <w:t xml:space="preserve"> </w:t>
      </w:r>
      <w:r w:rsidRPr="00A41F8C">
        <w:rPr>
          <w:rFonts w:ascii="Palatino Linotype" w:hAnsi="Palatino Linotype" w:cstheme="majorBidi"/>
          <w:sz w:val="20"/>
          <w:szCs w:val="20"/>
          <w:lang w:val="id-ID"/>
        </w:rPr>
        <w:fldChar w:fldCharType="begin"/>
      </w:r>
      <w:r w:rsidR="00A0227A">
        <w:rPr>
          <w:rFonts w:ascii="Palatino Linotype" w:hAnsi="Palatino Linotype" w:cstheme="majorBidi"/>
          <w:sz w:val="20"/>
          <w:szCs w:val="20"/>
          <w:lang w:val="id-ID"/>
        </w:rPr>
        <w:instrText xml:space="preserve"> ADDIN ZOTERO_ITEM CSL_CITATION {"citationID":"CQ8RUBg1","properties":{"formattedCitation":"(Ubaidillah et al., 2023)","plainCitation":"(Ubaidillah et al., 2023)","noteIndex":0},"citationItems":[{"id":"hiqTCfwy/bUUWD62f","uris":["http://zotero.org/users/local/Pjdjlz4D/items/GBVAFXUB"],"itemData":{"id":1178,"type":"article-journal","abstract":"Problem-solving and decision-making skills are essential for individuals across various fields. These skills emphasize the importance of preparing a generation capable of solving problems and making informed decisions. Therefore, this study aimed to learn the publication trends related to problem-solving and decision-making skills for ESD (Education for Sustainable Development) from 2013 to 2022 through Bibliometric analysis. In line with the analysis, a VOSviewer software was used to graphically analyze the obtained bibliographic data. A total of 1519 documents were also analytically acquired from the Scopus database. The results showed a fluctuating trend in the number of publications, with the Journal of Chemical Education and Social Sciences being the highest contributor and the most prevalent field of study at 147 and 689 documents, respectively. The United States was also ranked first in the documents emphasizing problem-solving and decision-making skills, at 512 documents. Moreover, the University of Toronto was the most prolific affiliation, contributing the most publications at 17 documents. The representatives from Indonesia were also grouped into two institutions in the global top twenty affiliates, namely (1) the Indonesian University of Education and (2) the State University of Malang. In line with the results, 159 study experts from Indonesia contributed to the analyzed theme, as the top author originated from the United States having 7 documents. The top document excerpts were also published 240 times in the journal Expert Systems with Applications. The trend of the study visualization subsequently produced 9 clusters, problem-solving and decision-making skills, human, psychology, clinical competencies, education, curriculum, support systems, creativity, and content analysis. These results were helpful to relevant experts, regarding the analytical trend in problem-solving and decision-making skills, recommending directions for future analyses.","container-title":"International Journal of Cognitive Research in Science, Engineering and Education (IJCRSEE)","DOI":"10.23947/2334-8496-2023-11-3-401-415","ISSN":"2334-8496","issue":"3","journalAbbreviation":"IJCRSEE","page":"401-415","source":"DOI.org (Crossref)","title":"Problem Solving and Decision-Making Skills for ESD: A Bibliometric Analysis","title-short":"Problem Solving and Decision-Making Skills for ESD","volume":"11","author":[{"family":"Ubaidillah","given":"Mujib"},{"family":"Marwoto","given":"Putut"},{"family":"Wiyanto","given":"Wiyanto"},{"family":"Subali","given":"Bambang"}],"issued":{"date-parts":[["2023",12,20]]}}}],"schema":"https://github.com/citation-style-language/schema/raw/master/csl-citation.json"} </w:instrText>
      </w:r>
      <w:r w:rsidRPr="00A41F8C">
        <w:rPr>
          <w:rFonts w:ascii="Palatino Linotype" w:hAnsi="Palatino Linotype" w:cstheme="majorBidi"/>
          <w:sz w:val="20"/>
          <w:szCs w:val="20"/>
          <w:lang w:val="id-ID"/>
        </w:rPr>
        <w:fldChar w:fldCharType="separate"/>
      </w:r>
      <w:r w:rsidRPr="00A41F8C">
        <w:rPr>
          <w:rFonts w:ascii="Palatino Linotype" w:hAnsi="Palatino Linotype"/>
          <w:sz w:val="20"/>
          <w:szCs w:val="20"/>
        </w:rPr>
        <w:t>(</w:t>
      </w:r>
      <w:proofErr w:type="spellStart"/>
      <w:r w:rsidRPr="00A41F8C">
        <w:rPr>
          <w:rFonts w:ascii="Palatino Linotype" w:hAnsi="Palatino Linotype"/>
          <w:sz w:val="20"/>
          <w:szCs w:val="20"/>
        </w:rPr>
        <w:t>Ubaidillah</w:t>
      </w:r>
      <w:proofErr w:type="spellEnd"/>
      <w:r w:rsidRPr="00A41F8C">
        <w:rPr>
          <w:rFonts w:ascii="Palatino Linotype" w:hAnsi="Palatino Linotype"/>
          <w:sz w:val="20"/>
          <w:szCs w:val="20"/>
        </w:rPr>
        <w:t xml:space="preserve"> et al., 2023)</w:t>
      </w:r>
      <w:r w:rsidRPr="00A41F8C">
        <w:rPr>
          <w:rFonts w:ascii="Palatino Linotype" w:hAnsi="Palatino Linotype" w:cstheme="majorBidi"/>
          <w:sz w:val="20"/>
          <w:szCs w:val="20"/>
          <w:lang w:val="id-ID"/>
        </w:rPr>
        <w:fldChar w:fldCharType="end"/>
      </w:r>
      <w:r w:rsidR="00B11C1B">
        <w:rPr>
          <w:rFonts w:ascii="Palatino Linotype" w:hAnsi="Palatino Linotype" w:cstheme="majorBidi"/>
          <w:sz w:val="20"/>
          <w:szCs w:val="20"/>
          <w:lang w:val="id-ID"/>
        </w:rPr>
        <w:t>.</w:t>
      </w:r>
      <w:r w:rsidRPr="00A41F8C">
        <w:rPr>
          <w:rFonts w:ascii="Palatino Linotype" w:hAnsi="Palatino Linotype" w:cstheme="majorBidi"/>
          <w:sz w:val="20"/>
          <w:szCs w:val="20"/>
          <w:lang w:val="id-ID"/>
        </w:rPr>
        <w:t xml:space="preserve"> Through the 2013 Curriculum, Social Science learning at MTSS Ashhabul Yamin aims to provide a comprehensive understanding of society, culture, geography, history, and relevant global issues. By adopting the 2013 Curriculum, MTSS Ashhabul Yamin is committed to providing education in line with national standards and keeping up with the latest developments in the education sector. The use of the 2013 Curriculum provides a clear framework for teachers and students to plan, implement, and evaluate the eighth-grade S</w:t>
      </w:r>
      <w:proofErr w:type="spellStart"/>
      <w:r w:rsidRPr="00A41F8C">
        <w:rPr>
          <w:rFonts w:ascii="Palatino Linotype" w:hAnsi="Palatino Linotype" w:cstheme="majorBidi"/>
          <w:sz w:val="20"/>
          <w:szCs w:val="20"/>
          <w:lang w:val="en-US"/>
        </w:rPr>
        <w:t>cience</w:t>
      </w:r>
      <w:proofErr w:type="spellEnd"/>
      <w:r w:rsidRPr="00A41F8C">
        <w:rPr>
          <w:rFonts w:ascii="Palatino Linotype" w:hAnsi="Palatino Linotype" w:cstheme="majorBidi"/>
          <w:sz w:val="20"/>
          <w:szCs w:val="20"/>
          <w:lang w:val="id-ID"/>
        </w:rPr>
        <w:t xml:space="preserve"> S</w:t>
      </w:r>
      <w:proofErr w:type="spellStart"/>
      <w:r w:rsidRPr="00A41F8C">
        <w:rPr>
          <w:rFonts w:ascii="Palatino Linotype" w:hAnsi="Palatino Linotype" w:cstheme="majorBidi"/>
          <w:sz w:val="20"/>
          <w:szCs w:val="20"/>
          <w:lang w:val="en-US"/>
        </w:rPr>
        <w:t>cience</w:t>
      </w:r>
      <w:proofErr w:type="spellEnd"/>
      <w:r w:rsidRPr="00A41F8C">
        <w:rPr>
          <w:rFonts w:ascii="Palatino Linotype" w:hAnsi="Palatino Linotype" w:cstheme="majorBidi"/>
          <w:sz w:val="20"/>
          <w:szCs w:val="20"/>
          <w:lang w:val="id-ID"/>
        </w:rPr>
        <w:t xml:space="preserve"> learning process, with the expectation of improving students' learning outcomes and high-order thinking skills (HOTS).</w:t>
      </w:r>
    </w:p>
    <w:p w14:paraId="21D3251D" w14:textId="10BF95FF" w:rsidR="00A82864" w:rsidRDefault="00A41F8C" w:rsidP="00A82864">
      <w:pPr>
        <w:spacing w:after="0" w:line="240" w:lineRule="auto"/>
        <w:ind w:firstLine="425"/>
        <w:jc w:val="both"/>
        <w:rPr>
          <w:rFonts w:ascii="Palatino Linotype" w:hAnsi="Palatino Linotype" w:cstheme="majorBidi"/>
          <w:sz w:val="20"/>
          <w:szCs w:val="20"/>
          <w:lang w:val="id-ID"/>
        </w:rPr>
      </w:pPr>
      <w:r w:rsidRPr="00A41F8C">
        <w:rPr>
          <w:rFonts w:ascii="Palatino Linotype" w:hAnsi="Palatino Linotype" w:cstheme="majorBidi"/>
          <w:sz w:val="20"/>
          <w:szCs w:val="20"/>
          <w:lang w:val="id-ID"/>
        </w:rPr>
        <w:t>Social Science learning plays a crucial role in providing learners with an understanding of social, economic, and political aspects of daily life. The 2013 Curriculum aims to provide a comprehensive understanding of society, culture, geography, history, and relevant global issues</w:t>
      </w:r>
      <w:r w:rsidR="00B11C1B">
        <w:rPr>
          <w:rFonts w:ascii="Palatino Linotype" w:hAnsi="Palatino Linotype" w:cstheme="majorBidi"/>
          <w:sz w:val="20"/>
          <w:szCs w:val="20"/>
          <w:lang w:val="id-ID"/>
        </w:rPr>
        <w:t xml:space="preserve"> </w:t>
      </w:r>
      <w:r w:rsidRPr="00A41F8C">
        <w:rPr>
          <w:rFonts w:ascii="Palatino Linotype" w:hAnsi="Palatino Linotype" w:cstheme="majorBidi"/>
          <w:sz w:val="20"/>
          <w:szCs w:val="20"/>
          <w:lang w:val="id-ID"/>
        </w:rPr>
        <w:fldChar w:fldCharType="begin"/>
      </w:r>
      <w:r w:rsidR="00A0227A">
        <w:rPr>
          <w:rFonts w:ascii="Palatino Linotype" w:hAnsi="Palatino Linotype" w:cstheme="majorBidi"/>
          <w:sz w:val="20"/>
          <w:szCs w:val="20"/>
          <w:lang w:val="id-ID"/>
        </w:rPr>
        <w:instrText xml:space="preserve"> ADDIN ZOTERO_ITEM CSL_CITATION {"citationID":"M1oDcwbT","properties":{"formattedCitation":"(Widiyatmoko &amp; Shimizu, 2018)","plainCitation":"(Widiyatmoko &amp; Shimizu, 2018)","noteIndex":0},"citationItems":[{"id":"hiqTCfwy/YlWGTC6K","uris":["http://zotero.org/users/local/Pjdjlz4D/items/T444IDRF"],"itemData":{"id":1179,"type":"article-journal","container-title":"Journal of Physics: Conference Series","DOI":"10.1088/1742-6596/983/1/012044","ISSN":"1742-6588, 1742-6596","journalAbbreviation":"J. Phys.: Conf. Ser.","page":"012044","source":"DOI.org (Crossref)","title":"An overview of conceptual understanding in science education curriculum in Indonesia","volume":"983","author":[{"family":"Widiyatmoko","given":"A"},{"family":"Shimizu","given":"K"}],"issued":{"date-parts":[["2018",3]]}}}],"schema":"https://github.com/citation-style-language/schema/raw/master/csl-citation.json"} </w:instrText>
      </w:r>
      <w:r w:rsidRPr="00A41F8C">
        <w:rPr>
          <w:rFonts w:ascii="Palatino Linotype" w:hAnsi="Palatino Linotype" w:cstheme="majorBidi"/>
          <w:sz w:val="20"/>
          <w:szCs w:val="20"/>
          <w:lang w:val="id-ID"/>
        </w:rPr>
        <w:fldChar w:fldCharType="separate"/>
      </w:r>
      <w:r w:rsidRPr="00A41F8C">
        <w:rPr>
          <w:rFonts w:ascii="Palatino Linotype" w:hAnsi="Palatino Linotype"/>
          <w:sz w:val="20"/>
          <w:szCs w:val="20"/>
        </w:rPr>
        <w:t>(</w:t>
      </w:r>
      <w:proofErr w:type="spellStart"/>
      <w:r w:rsidRPr="00A41F8C">
        <w:rPr>
          <w:rFonts w:ascii="Palatino Linotype" w:hAnsi="Palatino Linotype"/>
          <w:sz w:val="20"/>
          <w:szCs w:val="20"/>
        </w:rPr>
        <w:t>Widiyatmoko</w:t>
      </w:r>
      <w:proofErr w:type="spellEnd"/>
      <w:r w:rsidRPr="00A41F8C">
        <w:rPr>
          <w:rFonts w:ascii="Palatino Linotype" w:hAnsi="Palatino Linotype"/>
          <w:sz w:val="20"/>
          <w:szCs w:val="20"/>
        </w:rPr>
        <w:t xml:space="preserve"> &amp; Shimizu, 2018)</w:t>
      </w:r>
      <w:r w:rsidRPr="00A41F8C">
        <w:rPr>
          <w:rFonts w:ascii="Palatino Linotype" w:hAnsi="Palatino Linotype" w:cstheme="majorBidi"/>
          <w:sz w:val="20"/>
          <w:szCs w:val="20"/>
          <w:lang w:val="id-ID"/>
        </w:rPr>
        <w:fldChar w:fldCharType="end"/>
      </w:r>
      <w:r w:rsidR="00B11C1B">
        <w:rPr>
          <w:rFonts w:ascii="Palatino Linotype" w:hAnsi="Palatino Linotype" w:cstheme="majorBidi"/>
          <w:sz w:val="20"/>
          <w:szCs w:val="20"/>
          <w:lang w:val="id-ID"/>
        </w:rPr>
        <w:t>.</w:t>
      </w:r>
      <w:r w:rsidRPr="00A41F8C">
        <w:rPr>
          <w:rFonts w:ascii="Palatino Linotype" w:hAnsi="Palatino Linotype" w:cstheme="majorBidi"/>
          <w:sz w:val="20"/>
          <w:szCs w:val="20"/>
          <w:lang w:val="id-ID"/>
        </w:rPr>
        <w:t xml:space="preserve"> MTSS Ashhabul Yamin is committed to providing education in line with national standards and keeping up with the latest developments in the education sector by adopting the 2013 Curriculum. The use of the 2013 Curriculum provides a clear framework for teachers and students to plan, implement, and evaluate the eighth-grade Social Science learning process to enhance understanding and students' learning outcomes.</w:t>
      </w:r>
      <w:r w:rsidR="00A82864">
        <w:rPr>
          <w:rFonts w:ascii="Palatino Linotype" w:hAnsi="Palatino Linotype" w:cstheme="majorBidi"/>
          <w:sz w:val="20"/>
          <w:szCs w:val="20"/>
          <w:lang w:val="en-US"/>
        </w:rPr>
        <w:t xml:space="preserve"> </w:t>
      </w:r>
      <w:r w:rsidRPr="00A41F8C">
        <w:rPr>
          <w:rFonts w:ascii="Palatino Linotype" w:hAnsi="Palatino Linotype" w:cstheme="majorBidi"/>
          <w:sz w:val="20"/>
          <w:szCs w:val="20"/>
          <w:lang w:val="id-ID"/>
        </w:rPr>
        <w:t>The implementation of the 2013 Curriculum trains students to enhance high-order thinking skills (HOTS)</w:t>
      </w:r>
      <w:r w:rsidR="00B11C1B">
        <w:rPr>
          <w:rFonts w:ascii="Palatino Linotype" w:hAnsi="Palatino Linotype" w:cstheme="majorBidi"/>
          <w:sz w:val="20"/>
          <w:szCs w:val="20"/>
          <w:lang w:val="id-ID"/>
        </w:rPr>
        <w:t xml:space="preserve"> </w:t>
      </w:r>
      <w:r w:rsidRPr="00A41F8C">
        <w:rPr>
          <w:rFonts w:ascii="Palatino Linotype" w:hAnsi="Palatino Linotype" w:cstheme="majorBidi"/>
          <w:sz w:val="20"/>
          <w:szCs w:val="20"/>
          <w:lang w:val="id-ID"/>
        </w:rPr>
        <w:fldChar w:fldCharType="begin"/>
      </w:r>
      <w:r w:rsidR="00A0227A">
        <w:rPr>
          <w:rFonts w:ascii="Palatino Linotype" w:hAnsi="Palatino Linotype" w:cstheme="majorBidi"/>
          <w:sz w:val="20"/>
          <w:szCs w:val="20"/>
          <w:lang w:val="id-ID"/>
        </w:rPr>
        <w:instrText xml:space="preserve"> ADDIN ZOTERO_ITEM CSL_CITATION {"citationID":"Ny1VzJNc","properties":{"formattedCitation":"(Wahono et al., 2020)","plainCitation":"(Wahono et al., 2020)","noteIndex":0},"citationItems":[{"id":"hiqTCfwy/JJ2h41k0","uris":["http://zotero.org/users/local/Pjdjlz4D/items/ZBV6CLPL"],"itemData":{"id":1134,"type":"article-journal","abstract":"Abstract\n            This study used a systematic review and meta-analysis as a method to investigate whether STEM enactment in Asia effectively enhances students’ learning outcomes. Verifiable examples of science, technology, engineering, and mathematics (STEM) education, effectively being applied in Asia, are presented in this study. The study involved 4768 students from 54 studies. Learning outcomes focused on the students’ academic learning achievement, higher-order thinking skills (HOTS), and motivation. The analysis results of effect sizes showed that the STEM enactments in Asia were effective at a moderate level (0.69 [0.58, 0.81 of 95% CI]) of improving students’ learning outcomes. Sequentially, the effectiveness of STEM enactment starts from students’ higher-order thinking skills, moves to students’ academic learning achievement, and ends with the motivation. In addition, STEM enactments in Asia were carried out with several variations where STEM integrated with project-based learning was preferred. The recommendations of this study include a combination of the learning approach, learning orientation, and duration of instruction, all of which contribute to the STEM enactment effectiveness and maximize results in STEM education. Some practical implications, such as the central role of the teacher during the STEM enactment, are extensively discussed. This study supports that STEM education is a universally crucial tool which effectively prepares students from various national and cultural backgrounds, across Asia, toward improved learning outcomes.","container-title":"International Journal of STEM Education","DOI":"10.1186/s40594-020-00236-1","ISSN":"2196-7822","issue":"1","journalAbbreviation":"IJ STEM Ed","language":"en","page":"36","source":"DOI.org (Crossref)","title":"Evidence of STEM enactment effectiveness in Asian student learning outcomes","volume":"7","author":[{"family":"Wahono","given":"Bevo"},{"family":"Lin","given":"Pei-Ling"},{"family":"Chang","given":"Chun-Yen"}],"issued":{"date-parts":[["2020",12]]}}}],"schema":"https://github.com/citation-style-language/schema/raw/master/csl-citation.json"} </w:instrText>
      </w:r>
      <w:r w:rsidRPr="00A41F8C">
        <w:rPr>
          <w:rFonts w:ascii="Palatino Linotype" w:hAnsi="Palatino Linotype" w:cstheme="majorBidi"/>
          <w:sz w:val="20"/>
          <w:szCs w:val="20"/>
          <w:lang w:val="id-ID"/>
        </w:rPr>
        <w:fldChar w:fldCharType="separate"/>
      </w:r>
      <w:r w:rsidRPr="00A41F8C">
        <w:rPr>
          <w:rFonts w:ascii="Palatino Linotype" w:hAnsi="Palatino Linotype"/>
          <w:sz w:val="20"/>
          <w:szCs w:val="20"/>
        </w:rPr>
        <w:t>(Wahono et al., 2020)</w:t>
      </w:r>
      <w:r w:rsidRPr="00A41F8C">
        <w:rPr>
          <w:rFonts w:ascii="Palatino Linotype" w:hAnsi="Palatino Linotype" w:cstheme="majorBidi"/>
          <w:sz w:val="20"/>
          <w:szCs w:val="20"/>
          <w:lang w:val="id-ID"/>
        </w:rPr>
        <w:fldChar w:fldCharType="end"/>
      </w:r>
      <w:r w:rsidR="00B11C1B">
        <w:rPr>
          <w:rFonts w:ascii="Palatino Linotype" w:hAnsi="Palatino Linotype" w:cstheme="majorBidi"/>
          <w:sz w:val="20"/>
          <w:szCs w:val="20"/>
          <w:lang w:val="id-ID"/>
        </w:rPr>
        <w:t>.</w:t>
      </w:r>
      <w:r w:rsidRPr="00A41F8C">
        <w:rPr>
          <w:rFonts w:ascii="Palatino Linotype" w:hAnsi="Palatino Linotype" w:cstheme="majorBidi"/>
          <w:sz w:val="20"/>
          <w:szCs w:val="20"/>
          <w:lang w:val="id-ID"/>
        </w:rPr>
        <w:t xml:space="preserve"> Learning activities in the </w:t>
      </w:r>
      <w:r w:rsidRPr="00A41F8C">
        <w:rPr>
          <w:rFonts w:ascii="Palatino Linotype" w:hAnsi="Palatino Linotype" w:cstheme="majorBidi"/>
          <w:sz w:val="20"/>
          <w:szCs w:val="20"/>
          <w:lang w:val="id-ID"/>
        </w:rPr>
        <w:lastRenderedPageBreak/>
        <w:t>2013 Curriculum play a crucial role in developing students' thinking skills. During the learning process, students' thinking skills can be developed through meaningful experiences involving decision-making and problem-solving, which includes analysis, evaluation, and creation. Teachers are expected to train students to enhance high-order thinking skills, encouraging them to become critical learners. In this context, learning activities will be designed to make students actively connect the concepts they learn by linking the taught learning material to real-world situations in their environment.</w:t>
      </w:r>
      <w:r w:rsidR="00A82864">
        <w:rPr>
          <w:rFonts w:ascii="Palatino Linotype" w:hAnsi="Palatino Linotype" w:cstheme="majorBidi"/>
          <w:sz w:val="20"/>
          <w:szCs w:val="20"/>
          <w:lang w:val="en-US"/>
        </w:rPr>
        <w:t xml:space="preserve"> </w:t>
      </w:r>
      <w:r w:rsidRPr="00A41F8C">
        <w:rPr>
          <w:rFonts w:ascii="Palatino Linotype" w:hAnsi="Palatino Linotype" w:cstheme="majorBidi"/>
          <w:sz w:val="20"/>
          <w:szCs w:val="20"/>
          <w:lang w:val="id-ID"/>
        </w:rPr>
        <w:t xml:space="preserve">In this context, the presence of teachers with creativity is necessary to create engaging and enjoyable learning for students. Planning and creating a classroom atmosphere using the right teaching model is crucial so that students have the opportunity to interact with each other, ultimately leading to optimal learning outcomes. </w:t>
      </w:r>
    </w:p>
    <w:p w14:paraId="77C011A1" w14:textId="7EE5F4AA" w:rsidR="00A41F8C" w:rsidRPr="00A41F8C" w:rsidRDefault="00A41F8C" w:rsidP="00A82864">
      <w:pPr>
        <w:spacing w:after="0" w:line="240" w:lineRule="auto"/>
        <w:ind w:firstLine="425"/>
        <w:jc w:val="both"/>
        <w:rPr>
          <w:rFonts w:ascii="Palatino Linotype" w:hAnsi="Palatino Linotype" w:cstheme="majorBidi"/>
          <w:sz w:val="20"/>
          <w:szCs w:val="20"/>
          <w:lang w:val="en-US"/>
        </w:rPr>
      </w:pPr>
      <w:r w:rsidRPr="00A41F8C">
        <w:rPr>
          <w:rFonts w:ascii="Palatino Linotype" w:hAnsi="Palatino Linotype" w:cstheme="majorBidi"/>
          <w:sz w:val="20"/>
          <w:szCs w:val="20"/>
          <w:lang w:val="id-ID"/>
        </w:rPr>
        <w:t>Cooperative learning is a method to teach students in the context of everyday life and provide relevant training. Cooperative learning, also known as Cooperative Learning, can be explained as a group learning activity that is directed, integrated, effective, and efficient, aiming to explore or investigate something through collaboration and mutual assistance, thus achieving productive learning processes and outcomes</w:t>
      </w:r>
      <w:r w:rsidRPr="00A41F8C">
        <w:rPr>
          <w:rFonts w:ascii="Palatino Linotype" w:hAnsi="Palatino Linotype" w:cstheme="majorBidi"/>
          <w:sz w:val="20"/>
          <w:szCs w:val="20"/>
          <w:lang w:val="en-US"/>
        </w:rPr>
        <w:t>.</w:t>
      </w:r>
      <w:r w:rsidR="00A82864">
        <w:rPr>
          <w:rFonts w:ascii="Palatino Linotype" w:hAnsi="Palatino Linotype" w:cstheme="majorBidi"/>
          <w:sz w:val="20"/>
          <w:szCs w:val="20"/>
          <w:lang w:val="en-US"/>
        </w:rPr>
        <w:t xml:space="preserve"> </w:t>
      </w:r>
      <w:r w:rsidRPr="00A41F8C">
        <w:rPr>
          <w:rFonts w:ascii="Palatino Linotype" w:hAnsi="Palatino Linotype" w:cstheme="majorBidi"/>
          <w:sz w:val="20"/>
          <w:szCs w:val="20"/>
          <w:lang w:val="id-ID"/>
        </w:rPr>
        <w:t>In addition to academic aspects, Social Sciencelearning also aims to develop students' understanding of social, political, and economic issues</w:t>
      </w:r>
      <w:r w:rsidR="00B11C1B">
        <w:rPr>
          <w:rFonts w:ascii="Palatino Linotype" w:hAnsi="Palatino Linotype" w:cstheme="majorBidi"/>
          <w:sz w:val="20"/>
          <w:szCs w:val="20"/>
          <w:lang w:val="id-ID"/>
        </w:rPr>
        <w:t xml:space="preserve"> </w:t>
      </w:r>
      <w:r w:rsidRPr="00A41F8C">
        <w:rPr>
          <w:rFonts w:ascii="Palatino Linotype" w:hAnsi="Palatino Linotype" w:cstheme="majorBidi"/>
          <w:sz w:val="20"/>
          <w:szCs w:val="20"/>
          <w:lang w:val="id-ID"/>
        </w:rPr>
        <w:fldChar w:fldCharType="begin"/>
      </w:r>
      <w:r w:rsidR="00A0227A">
        <w:rPr>
          <w:rFonts w:ascii="Palatino Linotype" w:hAnsi="Palatino Linotype" w:cstheme="majorBidi"/>
          <w:sz w:val="20"/>
          <w:szCs w:val="20"/>
          <w:lang w:val="id-ID"/>
        </w:rPr>
        <w:instrText xml:space="preserve"> ADDIN ZOTERO_ITEM CSL_CITATION {"citationID":"jValNyav","properties":{"formattedCitation":"(Dharmawan et al., 2022)","plainCitation":"(Dharmawan et al., 2022)","noteIndex":0},"citationItems":[{"id":"hiqTCfwy/YDaWLBmC","uris":["http://zotero.org/users/local/Pjdjlz4D/items/BU99AICB"],"itemData":{"id":889,"type":"article-journal","abstract":"In the Law on the National Education System, Government Regulations, and the Strategic Plan of the Directorate General of Secondary Education (Renstra Dirjen Dikmen) 2010-2014, it is explained that education does not only form intelligent Indonesian people, but also has personality/character (cognitive aspects, affective, and psychomotor) must be met. Strengthening the character of students from an early age will make students not only smart, but also tough and have a good attitude as the capital of life. The good and strong character of students will form a strong character and national identity so that they can compete on the global stage. Demoralization problems such as the tradition of Punk children who are far from religious norms, promiscuity, free sex and acts that deviate from religious morals are part of the lives of today's teenagers. With some of these problems, there needs to be a rescue effort in order to save the morality of teenagers, especially students who are still studying in high school / vocational school. This study aims to determine: 1) the concept of character education development, 2) character values developed, and 3) the implementation of character education development in learning activities at SMKN Bandung. The philosophical foundation used is the philosophy of constructivism education. The theoretical basis used is the management theory of George R. Terry. This study uses a qualitative research method with a case study design. Data was collected by means of in-depth interviews, participant observation and documentation. After the data is obtained then it is organized, interpreted, analyzed and then concluded. The findings in this study are: 1) the concept of national spirit character education is carried out by involving at least three main elements of education, namely: a) the existence of educational support devices which include policies, guidelines, resources, environment, facilities and infrastructure, togetherness and commitment of stakeholders. b) the intervention of the values of the character of the national spirit into the three components of education in schools which include the learning process, management, and extracurricular activities. c) there is a culture of character education in schools. 2) The values of the character of the national spirit developed at SMKN Bandung include nationalist values and respect for diversity. 3) The implementation of national character education is carried out by incorporating the values of national character into the syllabus and learning device plans. Then the syllabus and lesson plans based on Islamic and national character are implemented in the classroom learning process using the CTL (Contectual Teaching ang Learning) principle, and through extracurricular activities.","container-title":"International Journal of Educational Research &amp; Social Sciences","DOI":"10.51601/ijersc.v3i1.271","ISSN":"2774-5406","issue":"1","journalAbbreviation":"IJERSC","page":"351-359","source":"DOI.org (Crossref)","title":"Management Of Character Education Strengthening Program In Building The National Soul Of Vocational School Students In Bandung City (Case Study at SMKN 9 and SMKN 13 Bandung)","volume":"3","author":[{"family":"Dharmawan","given":"Dedy"},{"family":"Trisnamansyah","given":"Sutaryat"},{"family":"Mulyasana","given":"Dedi"},{"family":"Fiah","given":"Hana"}],"issued":{"date-parts":[["2022",2,20]]}}}],"schema":"https://github.com/citation-style-language/schema/raw/master/csl-citation.json"} </w:instrText>
      </w:r>
      <w:r w:rsidRPr="00A41F8C">
        <w:rPr>
          <w:rFonts w:ascii="Palatino Linotype" w:hAnsi="Palatino Linotype" w:cstheme="majorBidi"/>
          <w:sz w:val="20"/>
          <w:szCs w:val="20"/>
          <w:lang w:val="id-ID"/>
        </w:rPr>
        <w:fldChar w:fldCharType="separate"/>
      </w:r>
      <w:r w:rsidRPr="00A41F8C">
        <w:rPr>
          <w:rFonts w:ascii="Palatino Linotype" w:hAnsi="Palatino Linotype"/>
          <w:sz w:val="20"/>
          <w:szCs w:val="20"/>
        </w:rPr>
        <w:t>(</w:t>
      </w:r>
      <w:proofErr w:type="spellStart"/>
      <w:r w:rsidRPr="00A41F8C">
        <w:rPr>
          <w:rFonts w:ascii="Palatino Linotype" w:hAnsi="Palatino Linotype"/>
          <w:sz w:val="20"/>
          <w:szCs w:val="20"/>
        </w:rPr>
        <w:t>Dharmawan</w:t>
      </w:r>
      <w:proofErr w:type="spellEnd"/>
      <w:r w:rsidRPr="00A41F8C">
        <w:rPr>
          <w:rFonts w:ascii="Palatino Linotype" w:hAnsi="Palatino Linotype"/>
          <w:sz w:val="20"/>
          <w:szCs w:val="20"/>
        </w:rPr>
        <w:t xml:space="preserve"> et al., 2022)</w:t>
      </w:r>
      <w:r w:rsidRPr="00A41F8C">
        <w:rPr>
          <w:rFonts w:ascii="Palatino Linotype" w:hAnsi="Palatino Linotype" w:cstheme="majorBidi"/>
          <w:sz w:val="20"/>
          <w:szCs w:val="20"/>
          <w:lang w:val="id-ID"/>
        </w:rPr>
        <w:fldChar w:fldCharType="end"/>
      </w:r>
      <w:r w:rsidR="00B11C1B">
        <w:rPr>
          <w:rFonts w:ascii="Palatino Linotype" w:hAnsi="Palatino Linotype" w:cstheme="majorBidi"/>
          <w:sz w:val="20"/>
          <w:szCs w:val="20"/>
          <w:lang w:val="id-ID"/>
        </w:rPr>
        <w:t>.</w:t>
      </w:r>
      <w:r w:rsidRPr="00A41F8C">
        <w:rPr>
          <w:rFonts w:ascii="Palatino Linotype" w:hAnsi="Palatino Linotype" w:cstheme="majorBidi"/>
          <w:sz w:val="20"/>
          <w:szCs w:val="20"/>
          <w:lang w:val="id-ID"/>
        </w:rPr>
        <w:t xml:space="preserve"> The Jigsaw learning model, with its emphasis on collaboration and mutual teaching among students, can help enhance their understanding of complex Social Science content and broaden their insights into social realities around them</w:t>
      </w:r>
      <w:r w:rsidR="00081C72">
        <w:rPr>
          <w:rFonts w:ascii="Palatino Linotype" w:hAnsi="Palatino Linotype" w:cstheme="majorBidi"/>
          <w:sz w:val="20"/>
          <w:szCs w:val="20"/>
          <w:lang w:val="id-ID"/>
        </w:rPr>
        <w:t xml:space="preserve"> </w:t>
      </w:r>
      <w:r w:rsidR="00081C72">
        <w:rPr>
          <w:rFonts w:ascii="Palatino Linotype" w:hAnsi="Palatino Linotype" w:cstheme="majorBidi"/>
          <w:sz w:val="20"/>
          <w:szCs w:val="20"/>
          <w:lang w:val="id-ID"/>
        </w:rPr>
        <w:fldChar w:fldCharType="begin"/>
      </w:r>
      <w:r w:rsidR="00081C72">
        <w:rPr>
          <w:rFonts w:ascii="Palatino Linotype" w:hAnsi="Palatino Linotype" w:cstheme="majorBidi"/>
          <w:sz w:val="20"/>
          <w:szCs w:val="20"/>
          <w:lang w:val="id-ID"/>
        </w:rPr>
        <w:instrText xml:space="preserve"> ADDIN ZOTERO_ITEM CSL_CITATION {"citationID":"M4MW0qs5","properties":{"formattedCitation":"(Klerkx et al., 2019)","plainCitation":"(Klerkx et al., 2019)","noteIndex":0},"citationItems":[{"id":797,"uris":["http://zotero.org/users/local/Wqqix2jN/items/MZYN6K6M"],"itemData":{"id":797,"type":"article-journal","container-title":"NJAS: Wageningen Journal of Life Sciences","DOI":"10.1016/j.njas.2019.100315","ISSN":"1573-5214, 2212-1307","issue":"1","journalAbbreviation":"NJAS: Wageningen Journal of Life Sciences","language":"en","page":"1-16","source":"DOI.org (Crossref)","title":"A review of social science on digital agriculture, smart farming and agriculture 4.0: New contributions and a future research agenda","title-short":"A review of social science on digital agriculture, smart farming and agriculture 4.0","volume":"90-91","author":[{"family":"Klerkx","given":"Laurens"},{"family":"Jakku","given":"Emma"},{"family":"Labarthe","given":"Pierre"}],"issued":{"date-parts":[["2019",12,1]]}}}],"schema":"https://github.com/citation-style-language/schema/raw/master/csl-citation.json"} </w:instrText>
      </w:r>
      <w:r w:rsidR="00081C72">
        <w:rPr>
          <w:rFonts w:ascii="Palatino Linotype" w:hAnsi="Palatino Linotype" w:cstheme="majorBidi"/>
          <w:sz w:val="20"/>
          <w:szCs w:val="20"/>
          <w:lang w:val="id-ID"/>
        </w:rPr>
        <w:fldChar w:fldCharType="separate"/>
      </w:r>
      <w:r w:rsidR="00081C72" w:rsidRPr="00081C72">
        <w:rPr>
          <w:rFonts w:ascii="Palatino Linotype" w:hAnsi="Palatino Linotype"/>
          <w:sz w:val="20"/>
        </w:rPr>
        <w:t>(Klerkx et al., 2019)</w:t>
      </w:r>
      <w:r w:rsidR="00081C72">
        <w:rPr>
          <w:rFonts w:ascii="Palatino Linotype" w:hAnsi="Palatino Linotype" w:cstheme="majorBidi"/>
          <w:sz w:val="20"/>
          <w:szCs w:val="20"/>
          <w:lang w:val="id-ID"/>
        </w:rPr>
        <w:fldChar w:fldCharType="end"/>
      </w:r>
      <w:r w:rsidRPr="00A41F8C">
        <w:rPr>
          <w:rFonts w:ascii="Palatino Linotype" w:hAnsi="Palatino Linotype" w:cstheme="majorBidi"/>
          <w:sz w:val="20"/>
          <w:szCs w:val="20"/>
          <w:lang w:val="id-ID"/>
        </w:rPr>
        <w:t>. On the other hand, conventional learning may tend to provide shallow and limited understanding of theoretical aspects without expanding students' perspectives on real-world issues. MTSS Ashhabul Yamin Lasi, as an educational institution, aims to create an inclusive learning environment that empowers students. In this context, selecting the appropriate teaching model can promote the inclusion and active participation of all students, regardless of their social background or abilities.</w:t>
      </w:r>
    </w:p>
    <w:p w14:paraId="1E7157F5" w14:textId="1E4DF97B" w:rsidR="00A41F8C" w:rsidRPr="00A41F8C" w:rsidRDefault="00A41F8C" w:rsidP="00A82864">
      <w:pPr>
        <w:spacing w:after="0" w:line="240" w:lineRule="auto"/>
        <w:ind w:firstLine="425"/>
        <w:jc w:val="both"/>
        <w:rPr>
          <w:rFonts w:ascii="Palatino Linotype" w:hAnsi="Palatino Linotype" w:cstheme="majorBidi"/>
          <w:sz w:val="20"/>
          <w:szCs w:val="20"/>
          <w:lang w:val="id-ID"/>
        </w:rPr>
      </w:pPr>
      <w:r w:rsidRPr="00A41F8C">
        <w:rPr>
          <w:rFonts w:ascii="Palatino Linotype" w:hAnsi="Palatino Linotype" w:cstheme="majorBidi"/>
          <w:sz w:val="20"/>
          <w:szCs w:val="20"/>
          <w:lang w:val="id-ID"/>
        </w:rPr>
        <w:t>The Jigsaw learning model, with its emphasis on collaboration and mutual understanding, can create an inclusive environment and provide opportunities for each student to contribute to learnin</w:t>
      </w:r>
      <w:r w:rsidRPr="00A41F8C">
        <w:rPr>
          <w:rFonts w:ascii="Palatino Linotype" w:hAnsi="Palatino Linotype" w:cstheme="majorBidi"/>
          <w:sz w:val="20"/>
          <w:szCs w:val="20"/>
          <w:lang w:val="en-US"/>
        </w:rPr>
        <w:t>g</w:t>
      </w:r>
      <w:r w:rsidR="00B11C1B">
        <w:rPr>
          <w:rFonts w:ascii="Palatino Linotype" w:hAnsi="Palatino Linotype" w:cstheme="majorBidi"/>
          <w:sz w:val="20"/>
          <w:szCs w:val="20"/>
          <w:lang w:val="id-ID"/>
        </w:rPr>
        <w:t xml:space="preserve"> </w:t>
      </w:r>
      <w:r w:rsidRPr="00A41F8C">
        <w:rPr>
          <w:rFonts w:ascii="Palatino Linotype" w:hAnsi="Palatino Linotype" w:cstheme="majorBidi"/>
          <w:sz w:val="20"/>
          <w:szCs w:val="20"/>
          <w:lang w:val="id-ID"/>
        </w:rPr>
        <w:fldChar w:fldCharType="begin"/>
      </w:r>
      <w:r w:rsidR="00A0227A">
        <w:rPr>
          <w:rFonts w:ascii="Palatino Linotype" w:hAnsi="Palatino Linotype" w:cstheme="majorBidi"/>
          <w:sz w:val="20"/>
          <w:szCs w:val="20"/>
          <w:lang w:val="id-ID"/>
        </w:rPr>
        <w:instrText xml:space="preserve"> ADDIN ZOTERO_ITEM CSL_CITATION {"citationID":"MNf0xa4a","properties":{"formattedCitation":"(Shammout, 2020)","plainCitation":"(Shammout, 2020)","noteIndex":0},"citationItems":[{"id":"hiqTCfwy/yhneJQzR","uris":["http://zotero.org/users/local/Pjdjlz4D/items/VSFREULV"],"itemData":{"id":1176,"type":"article-journal","abstract":"This paper aims at enhancing writing skills by using cooperative learning strategies since recent methodologies in foreign language teaching have deviated the shift of focus from traditional teacher-oriented classes to more learner-centered contexts. Among the methods endorsed in teaching writing is the application of Cooperative Learning (CL). The use of CL has become an increasingly popular method to improve the learner’s linguistic, social and communicative competence. This research investigated the effects of CL to improve the writing skill of AIU students. A questionnaire was done to spot their problems and weak points. The quasi experimental design was used, with pre-test and post-test of two different kinds of essay as an instrument. Two different kinds of studies were employed qualitatively and quantitatively to analyze the data. The students’ writing was scored on the five writing components which were content, vocabulary, organization, grammar and mechanics see (Yusuf, Jusoh, &amp; Yusuf, 2019). After analyzing the results of the post test, it was noted that there was a significant increase in the scores of students’ writing in comparison with their marks of the pretest as a result of implementing cooperative learning. Subsequently, the results lent credence to the positive effects of cooperative learning in enhancing writing performance and teachers were able to involve more students to participate and the class environment was very encouraging and intriguing. EFL participants in a cooperative learning ambience managed to foster the linguistic competence that they need to acquire which was also tackled in the paper.","container-title":"Theory and Practice in Language Studies","DOI":"10.17507/tpls.1007.10","ISSN":"1799-2591","issue":"7","journalAbbreviation":"TPLS","page":"791","source":"DOI.org (Crossref)","title":"The Effect of Cooperative Learning Activities on Enhancing the Writing Skills of Syrian EFL Learners at Arab International University","volume":"10","author":[{"family":"Shammout","given":"Manal"}],"issued":{"date-parts":[["2020",7,1]]}}}],"schema":"https://github.com/citation-style-language/schema/raw/master/csl-citation.json"} </w:instrText>
      </w:r>
      <w:r w:rsidRPr="00A41F8C">
        <w:rPr>
          <w:rFonts w:ascii="Palatino Linotype" w:hAnsi="Palatino Linotype" w:cstheme="majorBidi"/>
          <w:sz w:val="20"/>
          <w:szCs w:val="20"/>
          <w:lang w:val="id-ID"/>
        </w:rPr>
        <w:fldChar w:fldCharType="separate"/>
      </w:r>
      <w:r w:rsidRPr="00A41F8C">
        <w:rPr>
          <w:rFonts w:ascii="Palatino Linotype" w:hAnsi="Palatino Linotype"/>
          <w:sz w:val="20"/>
          <w:szCs w:val="20"/>
        </w:rPr>
        <w:t>(</w:t>
      </w:r>
      <w:proofErr w:type="spellStart"/>
      <w:r w:rsidRPr="00A41F8C">
        <w:rPr>
          <w:rFonts w:ascii="Palatino Linotype" w:hAnsi="Palatino Linotype"/>
          <w:sz w:val="20"/>
          <w:szCs w:val="20"/>
        </w:rPr>
        <w:t>Shammout</w:t>
      </w:r>
      <w:proofErr w:type="spellEnd"/>
      <w:r w:rsidRPr="00A41F8C">
        <w:rPr>
          <w:rFonts w:ascii="Palatino Linotype" w:hAnsi="Palatino Linotype"/>
          <w:sz w:val="20"/>
          <w:szCs w:val="20"/>
        </w:rPr>
        <w:t>, 2020)</w:t>
      </w:r>
      <w:r w:rsidRPr="00A41F8C">
        <w:rPr>
          <w:rFonts w:ascii="Palatino Linotype" w:hAnsi="Palatino Linotype" w:cstheme="majorBidi"/>
          <w:sz w:val="20"/>
          <w:szCs w:val="20"/>
          <w:lang w:val="id-ID"/>
        </w:rPr>
        <w:fldChar w:fldCharType="end"/>
      </w:r>
      <w:r w:rsidR="00B11C1B">
        <w:rPr>
          <w:rFonts w:ascii="Palatino Linotype" w:hAnsi="Palatino Linotype" w:cstheme="majorBidi"/>
          <w:sz w:val="20"/>
          <w:szCs w:val="20"/>
          <w:lang w:val="id-ID"/>
        </w:rPr>
        <w:t>.</w:t>
      </w:r>
      <w:r w:rsidRPr="00A41F8C">
        <w:rPr>
          <w:rFonts w:ascii="Palatino Linotype" w:hAnsi="Palatino Linotype" w:cstheme="majorBidi"/>
          <w:sz w:val="20"/>
          <w:szCs w:val="20"/>
          <w:lang w:val="id-ID"/>
        </w:rPr>
        <w:t xml:space="preserve"> The Jigsaw learning model is a learning approach that guides students to present their ideas/opinions to their peers</w:t>
      </w:r>
      <w:r w:rsidR="00081C72">
        <w:rPr>
          <w:rFonts w:ascii="Palatino Linotype" w:hAnsi="Palatino Linotype" w:cstheme="majorBidi"/>
          <w:sz w:val="20"/>
          <w:szCs w:val="20"/>
          <w:lang w:val="id-ID"/>
        </w:rPr>
        <w:t xml:space="preserve"> </w:t>
      </w:r>
      <w:r w:rsidR="00081C72">
        <w:rPr>
          <w:rFonts w:ascii="Palatino Linotype" w:hAnsi="Palatino Linotype" w:cstheme="majorBidi"/>
          <w:sz w:val="20"/>
          <w:szCs w:val="20"/>
          <w:lang w:val="id-ID"/>
        </w:rPr>
        <w:fldChar w:fldCharType="begin"/>
      </w:r>
      <w:r w:rsidR="00081C72">
        <w:rPr>
          <w:rFonts w:ascii="Palatino Linotype" w:hAnsi="Palatino Linotype" w:cstheme="majorBidi"/>
          <w:sz w:val="20"/>
          <w:szCs w:val="20"/>
          <w:lang w:val="id-ID"/>
        </w:rPr>
        <w:instrText xml:space="preserve"> ADDIN ZOTERO_ITEM CSL_CITATION {"citationID":"M80jrHtW","properties":{"formattedCitation":"(Bhebhe et al., 2018)","plainCitation":"(Bhebhe et al., 2018)","noteIndex":0},"citationItems":[{"id":794,"uris":["http://zotero.org/users/local/Wqqix2jN/items/MX7F3D49"],"itemData":{"id":794,"type":"article-journal","abstract":"Abstract\n            The invention of optical tweezers almost forty years ago has triggered applications spanning multiple disciplines and has also found its way into commercial products. A major breakthrough came with the invention of holographic optical tweezers (HOTs), allowing simultaneous manipulation of many particles, traditionally done with arrays of scalar beams. Here we demonstrate a vector HOT with arrays of digitally controlled Higher-Order Poincaré Sphere (HOPS) beams. We employ a simple set-up using a spatial light modulator and show that each beam in the array can be manipulated independently and set to an arbitrary HOPS state, including replicating traditional scalar beam HOTs. We demonstrate trapping and tweezing with customized arrays of HOPS beams comprising scalar orbital angular momentum and cylindrical vector beams, including radially and azimuthally polarized beams simultaneously in the same trap. Our approach is general enough to be easily extended to arbitrary vector beams, could be implemented with fast refresh rates and will be of interest to the structured light and optical manipulation communities alike.","container-title":"Scientific Reports","DOI":"10.1038/s41598-018-35889-0","ISSN":"2045-2322","issue":"1","journalAbbreviation":"Sci Rep","language":"en","page":"17387","source":"DOI.org (Crossref)","title":"A vector holographic optical trap","volume":"8","author":[{"family":"Bhebhe","given":"Nkosiphile"},{"family":"Williams","given":"Peter A. C."},{"family":"Rosales-Guzmán","given":"Carmelo"},{"family":"Rodriguez-Fajardo","given":"Valeria"},{"family":"Forbes","given":"Andrew"}],"issued":{"date-parts":[["2018",11,26]]}}}],"schema":"https://github.com/citation-style-language/schema/raw/master/csl-citation.json"} </w:instrText>
      </w:r>
      <w:r w:rsidR="00081C72">
        <w:rPr>
          <w:rFonts w:ascii="Palatino Linotype" w:hAnsi="Palatino Linotype" w:cstheme="majorBidi"/>
          <w:sz w:val="20"/>
          <w:szCs w:val="20"/>
          <w:lang w:val="id-ID"/>
        </w:rPr>
        <w:fldChar w:fldCharType="separate"/>
      </w:r>
      <w:r w:rsidR="00081C72" w:rsidRPr="00081C72">
        <w:rPr>
          <w:rFonts w:ascii="Palatino Linotype" w:hAnsi="Palatino Linotype"/>
          <w:sz w:val="20"/>
        </w:rPr>
        <w:t>(Bhebhe et al., 2018)</w:t>
      </w:r>
      <w:r w:rsidR="00081C72">
        <w:rPr>
          <w:rFonts w:ascii="Palatino Linotype" w:hAnsi="Palatino Linotype" w:cstheme="majorBidi"/>
          <w:sz w:val="20"/>
          <w:szCs w:val="20"/>
          <w:lang w:val="id-ID"/>
        </w:rPr>
        <w:fldChar w:fldCharType="end"/>
      </w:r>
      <w:r w:rsidRPr="00A41F8C">
        <w:rPr>
          <w:rFonts w:ascii="Palatino Linotype" w:hAnsi="Palatino Linotype" w:cstheme="majorBidi"/>
          <w:sz w:val="20"/>
          <w:szCs w:val="20"/>
          <w:lang w:val="id-ID"/>
        </w:rPr>
        <w:t>. This learning model is effective in training students to express their own thoughts/ideas and opinions. Related to this expression, it is evident how the Jigsaw learning model can support active student involvement in the learning process. These learning activities take place in group activities, allowing participants to learn from each other through the exchange of thoughts, experiences, and ideas</w:t>
      </w:r>
      <w:r w:rsidR="00B11C1B">
        <w:rPr>
          <w:rFonts w:ascii="Palatino Linotype" w:hAnsi="Palatino Linotype" w:cstheme="majorBidi"/>
          <w:sz w:val="20"/>
          <w:szCs w:val="20"/>
          <w:lang w:val="id-ID"/>
        </w:rPr>
        <w:t xml:space="preserve"> </w:t>
      </w:r>
      <w:r w:rsidRPr="00A41F8C">
        <w:rPr>
          <w:rFonts w:ascii="Palatino Linotype" w:hAnsi="Palatino Linotype" w:cstheme="majorBidi"/>
          <w:sz w:val="20"/>
          <w:szCs w:val="20"/>
          <w:lang w:val="id-ID"/>
        </w:rPr>
        <w:fldChar w:fldCharType="begin"/>
      </w:r>
      <w:r w:rsidR="00A0227A">
        <w:rPr>
          <w:rFonts w:ascii="Palatino Linotype" w:hAnsi="Palatino Linotype" w:cstheme="majorBidi"/>
          <w:sz w:val="20"/>
          <w:szCs w:val="20"/>
          <w:lang w:val="id-ID"/>
        </w:rPr>
        <w:instrText xml:space="preserve"> ADDIN ZOTERO_ITEM CSL_CITATION {"citationID":"Wufd1LB6","properties":{"formattedCitation":"(Lestari et al., 2019)","plainCitation":"(Lestari et al., 2019)","noteIndex":0},"citationItems":[{"id":"hiqTCfwy/cGUhSZoo","uris":["http://zotero.org/users/local/Pjdjlz4D/items/MI84WH3C"],"itemData":{"id":1191,"type":"article-journal","abstract":"Almost\nall countries pay full attention to the education system, especially countries\nwith smaller populations have an advantage in this field. Relatively small\ncountries and regions, including Hong Kong, Singapore, South Korea, Taiwan,\nEstonia and Finland, were at the top of the results of the 2015 Program for\nInternational Student Assessment (PISA) test. This test was carried out by\nevaluating academic achievement for 15 years around the world. The results of\nthe last evaluation, Shanghai took the overall top position. Japan is one\ncountry that has a good learning concept, with 4th to 7th positions in various\nfields of competition. The application of cooperative learning with the\ndevelopment of learning methods is very important to improve the achievement of\nstudent learning outcomes. The purpose of this study is to observe the\nunderstanding of concepts, and how to think critically in analyzing exam\nquestions. Cooperative learning application with a combination of the\n\"Network Tree Concept Map\" method as a depiction to increase students'\ninterest and thinking power.","container-title":"Journal for the Education of Gifted Young Scientists","DOI":"10.17478/jegys.471466","ISSN":"2149-360X","issue":"1","page":"15-32","source":"DOI.org (Crossref)","title":"Cooperative Learning Application with the Method of \"Network Tree Concept Map\" : Based on Japanese Learning System Approach","title-short":"Cooperative Learning Application with the Method of \"Network Tree Concept Map\"","volume":"7","author":[{"family":"Lestari","given":"Fitria"},{"family":"Saryantono","given":"Buang"},{"family":"Syazali","given":"Muhamad"},{"family":"Saregar","given":"Antomi"},{"family":"Madiyo","given":"Madiyo"},{"family":"Jauhariyah","given":"Durrul"},{"family":"Umam","given":"Rofiqul"}],"issued":{"date-parts":[["2019",3,15]]}}}],"schema":"https://github.com/citation-style-language/schema/raw/master/csl-citation.json"} </w:instrText>
      </w:r>
      <w:r w:rsidRPr="00A41F8C">
        <w:rPr>
          <w:rFonts w:ascii="Palatino Linotype" w:hAnsi="Palatino Linotype" w:cstheme="majorBidi"/>
          <w:sz w:val="20"/>
          <w:szCs w:val="20"/>
          <w:lang w:val="id-ID"/>
        </w:rPr>
        <w:fldChar w:fldCharType="separate"/>
      </w:r>
      <w:r w:rsidRPr="00A41F8C">
        <w:rPr>
          <w:rFonts w:ascii="Palatino Linotype" w:hAnsi="Palatino Linotype"/>
          <w:sz w:val="20"/>
          <w:szCs w:val="20"/>
        </w:rPr>
        <w:t>(Lestari et al., 2019)</w:t>
      </w:r>
      <w:r w:rsidRPr="00A41F8C">
        <w:rPr>
          <w:rFonts w:ascii="Palatino Linotype" w:hAnsi="Palatino Linotype" w:cstheme="majorBidi"/>
          <w:sz w:val="20"/>
          <w:szCs w:val="20"/>
          <w:lang w:val="id-ID"/>
        </w:rPr>
        <w:fldChar w:fldCharType="end"/>
      </w:r>
      <w:r w:rsidR="00B11C1B">
        <w:rPr>
          <w:rFonts w:ascii="Palatino Linotype" w:hAnsi="Palatino Linotype" w:cstheme="majorBidi"/>
          <w:sz w:val="20"/>
          <w:szCs w:val="20"/>
          <w:lang w:val="id-ID"/>
        </w:rPr>
        <w:t>.</w:t>
      </w:r>
      <w:r w:rsidRPr="00A41F8C">
        <w:rPr>
          <w:rFonts w:ascii="Palatino Linotype" w:hAnsi="Palatino Linotype" w:cstheme="majorBidi"/>
          <w:sz w:val="20"/>
          <w:szCs w:val="20"/>
          <w:lang w:val="id-ID"/>
        </w:rPr>
        <w:t xml:space="preserve"> One of the group learning model strategies is cooperative learning. Cooperative learning emphasizes collaboration among students in groups. This is based on the idea that students find it easier to discover and understand a concept if they discuss the problem with their peers</w:t>
      </w:r>
      <w:r w:rsidR="00081C72">
        <w:rPr>
          <w:rFonts w:ascii="Palatino Linotype" w:hAnsi="Palatino Linotype" w:cstheme="majorBidi"/>
          <w:sz w:val="20"/>
          <w:szCs w:val="20"/>
          <w:lang w:val="id-ID"/>
        </w:rPr>
        <w:t xml:space="preserve"> </w:t>
      </w:r>
      <w:r w:rsidR="00081C72">
        <w:rPr>
          <w:rFonts w:ascii="Palatino Linotype" w:hAnsi="Palatino Linotype" w:cstheme="majorBidi"/>
          <w:sz w:val="20"/>
          <w:szCs w:val="20"/>
          <w:lang w:val="id-ID"/>
        </w:rPr>
        <w:fldChar w:fldCharType="begin"/>
      </w:r>
      <w:r w:rsidR="00081C72">
        <w:rPr>
          <w:rFonts w:ascii="Palatino Linotype" w:hAnsi="Palatino Linotype" w:cstheme="majorBidi"/>
          <w:sz w:val="20"/>
          <w:szCs w:val="20"/>
          <w:lang w:val="id-ID"/>
        </w:rPr>
        <w:instrText xml:space="preserve"> ADDIN ZOTERO_ITEM CSL_CITATION {"citationID":"QYhf6Gvb","properties":{"formattedCitation":"(Binti Misrom et al., 2020)","plainCitation":"(Binti Misrom et al., 2020)","noteIndex":0},"citationItems":[{"id":796,"uris":["http://zotero.org/users/local/Wqqix2jN/items/TH3TD577"],"itemData":{"id":796,"type":"article-journal","abstract":"The concept of Higher-Order Thinking Skills (HOTS) is one of the highlighted aspects in producing human capital of high quality. However, the level of HOTS among students in Malaysia is still at a lower stage. Among the causes of this problem is the learning strategy used in classroom, which is less effective in creating and enhancing HOTS optimally. Therefore, the main focus in this study was to investigate the potential role of an inductive reasoning strategy using Geogebra in increasing the students’ level of HOTS. Besides, it also aimed to identify the relationship between HOTS and students’ inductive reasoning for the topic of Graphs of Functions II. The design of study was quasi-experimental which involved 94 form-four students from a secondary school in Johor. The sample of this study was divided into three groups: (1) Treatment Group 1 (inductive reasoning strategy using Geogebra); Treatment Group 2 (inductive reasoning strategy); and (3) a control group (conventional). The instrument of the study comprised a set of HOTS questions and a worksheet based on an inductive reasoning strategy using Geogebra. Using the Multivariate Analysis of Variance (MANOVA), it was found that the overall HOTS level of the students, which included applying, analysing, evaluating and creating skills, could be enhanced through this strategy. The findings also show that there was a positive relationship between HOTS and inductive reasoning. In conclusion, an inductive reasoning strategy can provide positive impacts on students’ HOTS in the topic of Graphs of Functions II","container-title":"International Journal of Emerging Technologies in Learning (iJET)","DOI":"10.3991/ijet.v15i03.9839","ISSN":"1863-0383","issue":"03","journalAbbreviation":"Int. J. Emerg. Technol. Learn.","page":"156","source":"DOI.org (Crossref)","title":"Enhancing Students’ Higher-Order Thinking Skills (HOTS) Through an Inductive Reasoning Strategy Using Geogebra","volume":"15","author":[{"family":"Binti Misrom","given":"Noor Suhaily"},{"family":"Muhammad","given":"Abdurrahman Sani"},{"family":"Abdullah","given":"Abdul Halim"},{"family":"Osman","given":"Sharifah"},{"family":"Hamzah","given":"Mohd Hilmi"},{"family":"Fauzan","given":"Ahmad"}],"issued":{"date-parts":[["2020",2,18]]}}}],"schema":"https://github.com/citation-style-language/schema/raw/master/csl-citation.json"} </w:instrText>
      </w:r>
      <w:r w:rsidR="00081C72">
        <w:rPr>
          <w:rFonts w:ascii="Palatino Linotype" w:hAnsi="Palatino Linotype" w:cstheme="majorBidi"/>
          <w:sz w:val="20"/>
          <w:szCs w:val="20"/>
          <w:lang w:val="id-ID"/>
        </w:rPr>
        <w:fldChar w:fldCharType="separate"/>
      </w:r>
      <w:r w:rsidR="00081C72" w:rsidRPr="00081C72">
        <w:rPr>
          <w:rFonts w:ascii="Palatino Linotype" w:hAnsi="Palatino Linotype"/>
          <w:sz w:val="20"/>
        </w:rPr>
        <w:t xml:space="preserve">(Binti </w:t>
      </w:r>
      <w:proofErr w:type="spellStart"/>
      <w:r w:rsidR="00081C72" w:rsidRPr="00081C72">
        <w:rPr>
          <w:rFonts w:ascii="Palatino Linotype" w:hAnsi="Palatino Linotype"/>
          <w:sz w:val="20"/>
        </w:rPr>
        <w:t>Misrom</w:t>
      </w:r>
      <w:proofErr w:type="spellEnd"/>
      <w:r w:rsidR="00081C72" w:rsidRPr="00081C72">
        <w:rPr>
          <w:rFonts w:ascii="Palatino Linotype" w:hAnsi="Palatino Linotype"/>
          <w:sz w:val="20"/>
        </w:rPr>
        <w:t xml:space="preserve"> et al., 2020)</w:t>
      </w:r>
      <w:r w:rsidR="00081C72">
        <w:rPr>
          <w:rFonts w:ascii="Palatino Linotype" w:hAnsi="Palatino Linotype" w:cstheme="majorBidi"/>
          <w:sz w:val="20"/>
          <w:szCs w:val="20"/>
          <w:lang w:val="id-ID"/>
        </w:rPr>
        <w:fldChar w:fldCharType="end"/>
      </w:r>
      <w:r w:rsidRPr="00A41F8C">
        <w:rPr>
          <w:rFonts w:ascii="Palatino Linotype" w:hAnsi="Palatino Linotype" w:cstheme="majorBidi"/>
          <w:sz w:val="20"/>
          <w:szCs w:val="20"/>
          <w:lang w:val="id-ID"/>
        </w:rPr>
        <w:t>. In group learning activities, cooperative learning strategies like the Jigsaw learning model can be used. The Jigsaw model involves students working in groups, where each group member is responsible for mastering a part of the learning material and can teach that material to other group members</w:t>
      </w:r>
      <w:r w:rsidR="00081C72">
        <w:rPr>
          <w:rFonts w:ascii="Palatino Linotype" w:hAnsi="Palatino Linotype" w:cstheme="majorBidi"/>
          <w:sz w:val="20"/>
          <w:szCs w:val="20"/>
          <w:lang w:val="id-ID"/>
        </w:rPr>
        <w:t xml:space="preserve"> </w:t>
      </w:r>
      <w:r w:rsidR="00081C72">
        <w:rPr>
          <w:rFonts w:ascii="Palatino Linotype" w:hAnsi="Palatino Linotype" w:cstheme="majorBidi"/>
          <w:sz w:val="20"/>
          <w:szCs w:val="20"/>
          <w:lang w:val="id-ID"/>
        </w:rPr>
        <w:fldChar w:fldCharType="begin"/>
      </w:r>
      <w:r w:rsidR="00081C72">
        <w:rPr>
          <w:rFonts w:ascii="Palatino Linotype" w:hAnsi="Palatino Linotype" w:cstheme="majorBidi"/>
          <w:sz w:val="20"/>
          <w:szCs w:val="20"/>
          <w:lang w:val="id-ID"/>
        </w:rPr>
        <w:instrText xml:space="preserve"> ADDIN ZOTERO_ITEM CSL_CITATION {"citationID":"QOWpZuS2","properties":{"formattedCitation":"(Lu et al., 2021)","plainCitation":"(Lu et al., 2021)","noteIndex":0},"citationItems":[{"id":803,"uris":["http://zotero.org/users/local/Wqqix2jN/items/3QN25CXS"],"itemData":{"id":803,"type":"article-journal","abstract":"Abstract\n            To understand the development of students’ higher-order thinking skills (HOTS) in the smart classroom environment, a structural equation modeling analysis was used to examine the relationships between key factors that influence students’ learning and their HOTS within a smart classroom environment. A sample of 217 first-year Chinese college students, who studied in a smart classroom environment for one semester, completed a survey that measures their smart classroom preferences, learning motivation, learning strategy, peer interaction, and HOTS. The results indicated that peer interaction and learning motivation had a direct impact on students’ HOTS. Furthermore, indirect effects were found between students’ learning strategy and HOTS through the mediator peer interaction, and between smart classroom preferences and HOTS through the following: learning motivation, the combination of learning strategy and peer interaction, and the combination of learning motivation, learning strategy and peer interaction. Based on these findings, this study recommends that instructors teaching in a smart learning environment should focus on improving peer interaction and learning motivation, as well as smart classroom preferences and learning strategy, to hone students’ HOTS.","container-title":"International Journal of Educational Technology in Higher Education","DOI":"10.1186/s41239-020-00238-7","ISSN":"2365-9440","issue":"1","journalAbbreviation":"Int J Educ Technol High Educ","language":"en","page":"1","source":"DOI.org (Crossref)","title":"Examining the key influencing factors on college students’ higher-order thinking skills in the smart classroom environment","volume":"18","author":[{"family":"Lu","given":"Kaili"},{"family":"Yang","given":"Harrison H."},{"family":"Shi","given":"Yinghui"},{"family":"Wang","given":"Xuan"}],"issued":{"date-parts":[["2021",12]]}}}],"schema":"https://github.com/citation-style-language/schema/raw/master/csl-citation.json"} </w:instrText>
      </w:r>
      <w:r w:rsidR="00081C72">
        <w:rPr>
          <w:rFonts w:ascii="Palatino Linotype" w:hAnsi="Palatino Linotype" w:cstheme="majorBidi"/>
          <w:sz w:val="20"/>
          <w:szCs w:val="20"/>
          <w:lang w:val="id-ID"/>
        </w:rPr>
        <w:fldChar w:fldCharType="separate"/>
      </w:r>
      <w:r w:rsidR="00081C72" w:rsidRPr="00081C72">
        <w:rPr>
          <w:rFonts w:ascii="Palatino Linotype" w:hAnsi="Palatino Linotype"/>
          <w:sz w:val="20"/>
        </w:rPr>
        <w:t>(Lu et al., 2021)</w:t>
      </w:r>
      <w:r w:rsidR="00081C72">
        <w:rPr>
          <w:rFonts w:ascii="Palatino Linotype" w:hAnsi="Palatino Linotype" w:cstheme="majorBidi"/>
          <w:sz w:val="20"/>
          <w:szCs w:val="20"/>
          <w:lang w:val="id-ID"/>
        </w:rPr>
        <w:fldChar w:fldCharType="end"/>
      </w:r>
      <w:r w:rsidRPr="00A41F8C">
        <w:rPr>
          <w:rFonts w:ascii="Palatino Linotype" w:hAnsi="Palatino Linotype" w:cstheme="majorBidi"/>
          <w:sz w:val="20"/>
          <w:szCs w:val="20"/>
          <w:lang w:val="id-ID"/>
        </w:rPr>
        <w:t>. The Jigsaw learning model is one of the collaborative approaches that involve active student participation in creating a deeper understanding through group work. In Social Science learning, this model can enhance higher-order thinking skills (HOTS) and facilitate social interaction among students, allowing them to be more active and engaged in the learning process</w:t>
      </w:r>
      <w:r w:rsidR="00B11C1B">
        <w:rPr>
          <w:rFonts w:ascii="Palatino Linotype" w:hAnsi="Palatino Linotype" w:cstheme="majorBidi"/>
          <w:sz w:val="20"/>
          <w:szCs w:val="20"/>
          <w:lang w:val="id-ID"/>
        </w:rPr>
        <w:t xml:space="preserve"> </w:t>
      </w:r>
      <w:r w:rsidRPr="00A41F8C">
        <w:rPr>
          <w:rFonts w:ascii="Palatino Linotype" w:hAnsi="Palatino Linotype" w:cstheme="majorBidi"/>
          <w:sz w:val="20"/>
          <w:szCs w:val="20"/>
          <w:lang w:val="id-ID"/>
        </w:rPr>
        <w:fldChar w:fldCharType="begin"/>
      </w:r>
      <w:r w:rsidR="00A0227A">
        <w:rPr>
          <w:rFonts w:ascii="Palatino Linotype" w:hAnsi="Palatino Linotype" w:cstheme="majorBidi"/>
          <w:sz w:val="20"/>
          <w:szCs w:val="20"/>
          <w:lang w:val="id-ID"/>
        </w:rPr>
        <w:instrText xml:space="preserve"> ADDIN ZOTERO_ITEM CSL_CITATION {"citationID":"QKgBmYNl","properties":{"formattedCitation":"(Lazer et al., 2020)","plainCitation":"(Lazer et al., 2020)","noteIndex":0},"citationItems":[{"id":"hiqTCfwy/kh6uhfQZ","uris":["http://zotero.org/users/local/Pjdjlz4D/items/MF9SWQD3"],"itemData":{"id":1015,"type":"article-journal","abstract":"Data sharing, research ethics, and incentives must improve\n          , \n            The field of computational social science (CSS) has exploded in prominence over the past decade, with thousands of papers published using observational data, experimental designs, and large-scale simulations that were once unfeasible or unavailable to researchers. These studies have greatly improved our understanding of important phenomena, ranging from social inequality to the spread of infectious diseases. The institutions supporting CSS in the academy have also grown substantially, as evidenced by the proliferation of conferences, workshops, and summer schools across the globe, across disciplines, and across sources of data. But the field has also fallen short in important ways. Many institutional structures around the field—including research ethics, pedagogy, and data infrastructure—are still nascent. We suggest opportunities to address these issues, especially in improving the alignment between the organization of the 20th-century university and the intellectual requirements of the field.","container-title":"Science","DOI":"10.1126/science.aaz8170","ISSN":"0036-8075, 1095-9203","issue":"6507","journalAbbreviation":"Science","language":"en","page":"1060-1062","source":"DOI.org (Crossref)","title":"Computational social science: Obstacles and opportunities","title-short":"Computational social science","volume":"369","author":[{"family":"Lazer","given":"David M. J."},{"family":"Pentland","given":"Alex"},{"family":"Watts","given":"Duncan J."},{"family":"Aral","given":"Sinan"},{"family":"Athey","given":"Susan"},{"family":"Contractor","given":"Noshir"},{"family":"Freelon","given":"Deen"},{"family":"Gonzalez-Bailon","given":"Sandra"},{"family":"King","given":"Gary"},{"family":"Margetts","given":"Helen"},{"family":"Nelson","given":"Alondra"},{"family":"Salganik","given":"Matthew J."},{"family":"Strohmaier","given":"Markus"},{"family":"Vespignani","given":"Alessandro"},{"family":"Wagner","given":"Claudia"}],"issued":{"date-parts":[["2020",8,28]]}}}],"schema":"https://github.com/citation-style-language/schema/raw/master/csl-citation.json"} </w:instrText>
      </w:r>
      <w:r w:rsidRPr="00A41F8C">
        <w:rPr>
          <w:rFonts w:ascii="Palatino Linotype" w:hAnsi="Palatino Linotype" w:cstheme="majorBidi"/>
          <w:sz w:val="20"/>
          <w:szCs w:val="20"/>
          <w:lang w:val="id-ID"/>
        </w:rPr>
        <w:fldChar w:fldCharType="separate"/>
      </w:r>
      <w:r w:rsidRPr="00A41F8C">
        <w:rPr>
          <w:rFonts w:ascii="Palatino Linotype" w:hAnsi="Palatino Linotype"/>
          <w:sz w:val="20"/>
          <w:szCs w:val="20"/>
          <w:lang w:val="id-ID"/>
        </w:rPr>
        <w:t>(Lazer et al., 2020)</w:t>
      </w:r>
      <w:r w:rsidRPr="00A41F8C">
        <w:rPr>
          <w:rFonts w:ascii="Palatino Linotype" w:hAnsi="Palatino Linotype" w:cstheme="majorBidi"/>
          <w:sz w:val="20"/>
          <w:szCs w:val="20"/>
          <w:lang w:val="id-ID"/>
        </w:rPr>
        <w:fldChar w:fldCharType="end"/>
      </w:r>
      <w:r w:rsidR="00B11C1B">
        <w:rPr>
          <w:rFonts w:ascii="Palatino Linotype" w:hAnsi="Palatino Linotype" w:cstheme="majorBidi"/>
          <w:sz w:val="20"/>
          <w:szCs w:val="20"/>
          <w:lang w:val="id-ID"/>
        </w:rPr>
        <w:t>.</w:t>
      </w:r>
    </w:p>
    <w:p w14:paraId="52E3E4DE" w14:textId="380F93EF" w:rsidR="00A41F8C" w:rsidRPr="00A41F8C" w:rsidRDefault="00A41F8C" w:rsidP="00A82864">
      <w:pPr>
        <w:spacing w:after="0" w:line="240" w:lineRule="auto"/>
        <w:ind w:firstLine="425"/>
        <w:jc w:val="both"/>
        <w:rPr>
          <w:rFonts w:ascii="Palatino Linotype" w:hAnsi="Palatino Linotype" w:cstheme="majorBidi"/>
          <w:sz w:val="20"/>
          <w:szCs w:val="20"/>
          <w:lang w:val="en-US"/>
        </w:rPr>
      </w:pPr>
      <w:r w:rsidRPr="00A41F8C">
        <w:rPr>
          <w:rFonts w:ascii="Palatino Linotype" w:hAnsi="Palatino Linotype" w:cstheme="majorBidi"/>
          <w:sz w:val="20"/>
          <w:szCs w:val="20"/>
          <w:lang w:val="id-ID"/>
        </w:rPr>
        <w:tab/>
        <w:t xml:space="preserve">The Jigsaw learning model has advantages in engaging all students in learning and providing them with opportunities to teach and learn from each other. This can enhance students' understanding, critical thinking skills, and broaden their perspectives on social, political, and economic issues. The strength of this strategy lies in its ability to involve all students in learning while simultaneously teaching others. The identified challenges indicate the need for more innovative and participatory teaching models, such as the Jigsaw learning model. The Jigsaw learning model is an appealing strategy to use when the material to be learned can be divided into several parts and does not require a specific sequence of delivery. The Jigsaw learning model is one of the collaborative approaches that involve </w:t>
      </w:r>
      <w:r w:rsidRPr="00A41F8C">
        <w:rPr>
          <w:rFonts w:ascii="Palatino Linotype" w:hAnsi="Palatino Linotype" w:cstheme="majorBidi"/>
          <w:sz w:val="20"/>
          <w:szCs w:val="20"/>
          <w:lang w:val="id-ID"/>
        </w:rPr>
        <w:lastRenderedPageBreak/>
        <w:t>active student participation in creating a deeper understanding through group work. Therefore, one  model that can enhance higher-order thinking skills is the Jigsaw learning model</w:t>
      </w:r>
      <w:r w:rsidR="00B11C1B">
        <w:rPr>
          <w:rFonts w:ascii="Palatino Linotype" w:hAnsi="Palatino Linotype" w:cstheme="majorBidi"/>
          <w:sz w:val="20"/>
          <w:szCs w:val="20"/>
          <w:lang w:val="id-ID"/>
        </w:rPr>
        <w:t xml:space="preserve"> </w:t>
      </w:r>
      <w:r w:rsidRPr="00A41F8C">
        <w:rPr>
          <w:rFonts w:ascii="Palatino Linotype" w:hAnsi="Palatino Linotype" w:cstheme="majorBidi"/>
          <w:sz w:val="20"/>
          <w:szCs w:val="20"/>
          <w:lang w:val="id-ID"/>
        </w:rPr>
        <w:fldChar w:fldCharType="begin"/>
      </w:r>
      <w:r w:rsidR="00A0227A">
        <w:rPr>
          <w:rFonts w:ascii="Palatino Linotype" w:hAnsi="Palatino Linotype" w:cstheme="majorBidi"/>
          <w:sz w:val="20"/>
          <w:szCs w:val="20"/>
          <w:lang w:val="id-ID"/>
        </w:rPr>
        <w:instrText xml:space="preserve"> ADDIN ZOTERO_ITEM CSL_CITATION {"citationID":"LS55gYcI","properties":{"formattedCitation":"(Li &amp; Li, 2019)","plainCitation":"(Li &amp; Li, 2019)","noteIndex":0},"citationItems":[{"id":"hiqTCfwy/jqM1EvXy","uris":["http://zotero.org/users/local/Pjdjlz4D/items/CWA7C8RF"],"itemData":{"id":1189,"type":"article-journal","abstract":"Recently China has miraculously transformed itself from a learner in the 20th century to a re-rising leader of educational excellence. The enduring policy endeavors over the past few decades have largely enabled China as the largest educational system in the world move to a recently emerging status as a global leader of educational improvement, recognized and appreciated with admiration by many traditionally advanced countries. The two authors intend to offer a snapshot of the China miracle of educational development in terms of public policies since the turn of the 21st century. With a Multi-Flows Approach constructed from Csikszentmihalyi’s idea of “flow”, this paper investigates the complexity and dynamism of three policy streams, i.e., basic education, teacher education and higher education. It is concluded from the literature review that central to China’s key policy actions in recent decades are four core themes, i.e., equality in terms of a democratic mission of education for every citizen, quality in terms of individual and social productivity, efficiency as a national priority based on practicality, and rejuvenation of the state for nation-building and global status. Educational policy development in China since the new century is thus examined with economic, political, cultural and international flows, each presenting a colorful jigsaw puzzle that is not easily tessellated by other flows. The authors argue that the different focus of flows and beyond can benefit policy communities in the world with varied directions for educational change resulting in significant improvement while none of them should be seen as a single force in solely shaping educational policy development without the convergence of other forces. This implies that for any public policy in education policymakers, implementers and other stakeholders must ensure a comprehensive consideration of the interdependent, converging effects of these forces to prioritize and maximize their outcomes, which may be easily missed by any single force of them. The implications from this paper sheds new light on policy studies in education in China and globally, and the learner-provider dynamism of educational development in a post-colonial context.","container-title":"Beijing International Review of Education","DOI":"10.1163/25902547-00101014","ISSN":"2590-2547, 2590-2539","issue":"1","journalAbbreviation":"Beijing International Review of Education","page":"196-220","source":"DOI.org (Crossref)","title":"Educational Policy Development in China in the 21st Century: A Multi-Flows Approach","title-short":"Educational Policy Development in China in the 21st Century","volume":"1","author":[{"family":"Li","given":"Jun"},{"family":"Li","given":"Jian"}],"issued":{"date-parts":[["2019",3,22]]}}}],"schema":"https://github.com/citation-style-language/schema/raw/master/csl-citation.json"} </w:instrText>
      </w:r>
      <w:r w:rsidRPr="00A41F8C">
        <w:rPr>
          <w:rFonts w:ascii="Palatino Linotype" w:hAnsi="Palatino Linotype" w:cstheme="majorBidi"/>
          <w:sz w:val="20"/>
          <w:szCs w:val="20"/>
          <w:lang w:val="id-ID"/>
        </w:rPr>
        <w:fldChar w:fldCharType="separate"/>
      </w:r>
      <w:r w:rsidRPr="00A41F8C">
        <w:rPr>
          <w:rFonts w:ascii="Palatino Linotype" w:hAnsi="Palatino Linotype"/>
          <w:sz w:val="20"/>
          <w:szCs w:val="20"/>
        </w:rPr>
        <w:t>(Li &amp; Li, 2019)</w:t>
      </w:r>
      <w:r w:rsidRPr="00A41F8C">
        <w:rPr>
          <w:rFonts w:ascii="Palatino Linotype" w:hAnsi="Palatino Linotype" w:cstheme="majorBidi"/>
          <w:sz w:val="20"/>
          <w:szCs w:val="20"/>
          <w:lang w:val="id-ID"/>
        </w:rPr>
        <w:fldChar w:fldCharType="end"/>
      </w:r>
      <w:r w:rsidR="00B11C1B">
        <w:rPr>
          <w:rFonts w:ascii="Palatino Linotype" w:hAnsi="Palatino Linotype" w:cstheme="majorBidi"/>
          <w:sz w:val="20"/>
          <w:szCs w:val="20"/>
          <w:lang w:val="id-ID"/>
        </w:rPr>
        <w:t>.</w:t>
      </w:r>
      <w:r w:rsidRPr="00A41F8C">
        <w:rPr>
          <w:rFonts w:ascii="Palatino Linotype" w:hAnsi="Palatino Linotype" w:cstheme="majorBidi"/>
          <w:sz w:val="20"/>
          <w:szCs w:val="20"/>
          <w:lang w:val="id-ID"/>
        </w:rPr>
        <w:t xml:space="preserve"> By actively involving students in Social Science learning, it is expected to improve Social Science learning outcomes and high-order thinking skills (HOTS).</w:t>
      </w:r>
      <w:r w:rsidR="00A82864">
        <w:rPr>
          <w:rFonts w:ascii="Palatino Linotype" w:hAnsi="Palatino Linotype" w:cstheme="majorBidi"/>
          <w:sz w:val="20"/>
          <w:szCs w:val="20"/>
          <w:lang w:val="en-US"/>
        </w:rPr>
        <w:t xml:space="preserve"> </w:t>
      </w:r>
      <w:r w:rsidRPr="00A41F8C">
        <w:rPr>
          <w:rFonts w:ascii="Palatino Linotype" w:hAnsi="Palatino Linotype" w:cstheme="majorBidi"/>
          <w:sz w:val="20"/>
          <w:szCs w:val="20"/>
          <w:lang w:val="id-ID"/>
        </w:rPr>
        <w:t>Considering the initial issues mentioned above, the Jigsaw Cooperative method is implemented as a way to improve student learning outcomes. The Jigsaw Cooperative learning model involves working together and discussing with students in groups. Research results show that the Jigsaw method enhances students' knowledge and is effective in reading without getting bored with the text itself. The Jigsaw Cooperative learning type is a cooperative learning type consisting of several members in one group who are responsible for mastering a portion of the learning material and can teach that material to other members</w:t>
      </w:r>
      <w:r w:rsidRPr="00A41F8C">
        <w:rPr>
          <w:rFonts w:ascii="Palatino Linotype" w:hAnsi="Palatino Linotype" w:cstheme="majorBidi"/>
          <w:sz w:val="20"/>
          <w:szCs w:val="20"/>
          <w:lang w:val="en-US"/>
        </w:rPr>
        <w:t>.</w:t>
      </w:r>
    </w:p>
    <w:p w14:paraId="5F6C2B9A" w14:textId="724D1255" w:rsidR="00727D5A" w:rsidRPr="00A82864" w:rsidRDefault="00A41F8C" w:rsidP="00A82864">
      <w:pPr>
        <w:spacing w:after="0" w:line="240" w:lineRule="auto"/>
        <w:ind w:firstLine="425"/>
        <w:jc w:val="both"/>
        <w:rPr>
          <w:rFonts w:ascii="Palatino Linotype" w:hAnsi="Palatino Linotype" w:cstheme="majorBidi"/>
          <w:sz w:val="20"/>
          <w:szCs w:val="20"/>
          <w:lang w:val="en-US"/>
        </w:rPr>
      </w:pPr>
      <w:r w:rsidRPr="00A41F8C">
        <w:rPr>
          <w:rFonts w:ascii="Palatino Linotype" w:hAnsi="Palatino Linotype" w:cstheme="majorBidi"/>
          <w:sz w:val="20"/>
          <w:szCs w:val="20"/>
          <w:lang w:val="en-US"/>
        </w:rPr>
        <w:tab/>
      </w:r>
      <w:r w:rsidRPr="00A41F8C">
        <w:rPr>
          <w:rFonts w:ascii="Palatino Linotype" w:hAnsi="Palatino Linotype" w:cstheme="majorBidi"/>
          <w:sz w:val="20"/>
          <w:szCs w:val="20"/>
          <w:lang w:val="id-ID"/>
        </w:rPr>
        <w:t>Previous research on Jigsaw and HOTS</w:t>
      </w:r>
      <w:r w:rsidRPr="00A41F8C">
        <w:rPr>
          <w:rFonts w:ascii="Palatino Linotype" w:hAnsi="Palatino Linotype" w:cstheme="majorBidi"/>
          <w:sz w:val="20"/>
          <w:szCs w:val="20"/>
          <w:lang w:val="en-US"/>
        </w:rPr>
        <w:t xml:space="preserve">. </w:t>
      </w:r>
      <w:r w:rsidRPr="00A41F8C">
        <w:rPr>
          <w:rFonts w:ascii="Palatino Linotype" w:hAnsi="Palatino Linotype" w:cstheme="majorBidi"/>
          <w:i/>
          <w:iCs/>
          <w:sz w:val="20"/>
          <w:szCs w:val="20"/>
          <w:lang w:val="en-US"/>
        </w:rPr>
        <w:t>First,</w:t>
      </w:r>
      <w:r>
        <w:rPr>
          <w:rFonts w:ascii="Palatino Linotype" w:hAnsi="Palatino Linotype" w:cstheme="majorBidi"/>
          <w:sz w:val="20"/>
          <w:szCs w:val="20"/>
          <w:lang w:val="en-US"/>
        </w:rPr>
        <w:t xml:space="preserve"> </w:t>
      </w:r>
      <w:r w:rsidRPr="00A41F8C">
        <w:rPr>
          <w:rFonts w:ascii="Palatino Linotype" w:hAnsi="Palatino Linotype" w:cstheme="majorBidi"/>
          <w:sz w:val="20"/>
          <w:szCs w:val="20"/>
          <w:lang w:val="en-US"/>
        </w:rPr>
        <w:t xml:space="preserve">the </w:t>
      </w:r>
      <w:r w:rsidR="004E46F9">
        <w:rPr>
          <w:rFonts w:ascii="Palatino Linotype" w:hAnsi="Palatino Linotype" w:cstheme="majorBidi"/>
          <w:sz w:val="20"/>
          <w:szCs w:val="20"/>
          <w:lang w:val="en-US"/>
        </w:rPr>
        <w:t>finding</w:t>
      </w:r>
      <w:r w:rsidRPr="00A41F8C">
        <w:rPr>
          <w:rFonts w:ascii="Palatino Linotype" w:hAnsi="Palatino Linotype" w:cstheme="majorBidi"/>
          <w:sz w:val="20"/>
          <w:szCs w:val="20"/>
          <w:lang w:val="en-US"/>
        </w:rPr>
        <w:t xml:space="preserve"> indicated the following: (1) the material expert test received a rating of very good and is deemed suitable for use, (2) the learning design expert test received a rating of very good and is considered suitable for use, (3) the learning media expert test received a rating of very good and is deemed suitable for use, (4) individual trials achieved very good criteria, (5) small group trials obtained very good criteria, and (6) field trials demonstrated very good criteria. The effectiveness of the developed product suggests that students' social studies learning outcomes are more effective when utilizing the HOTS-integrated PBL-based LKPD compared to the regular LKPD</w:t>
      </w:r>
      <w:r>
        <w:rPr>
          <w:rFonts w:ascii="Palatino Linotype" w:hAnsi="Palatino Linotype" w:cstheme="majorBidi"/>
          <w:sz w:val="20"/>
          <w:szCs w:val="20"/>
          <w:lang w:val="en-US"/>
        </w:rPr>
        <w:t xml:space="preserve"> </w:t>
      </w:r>
      <w:r w:rsidRPr="00A41F8C">
        <w:rPr>
          <w:rFonts w:ascii="Palatino Linotype" w:hAnsi="Palatino Linotype" w:cstheme="majorBidi"/>
          <w:sz w:val="20"/>
          <w:szCs w:val="20"/>
          <w:lang w:val="en-US"/>
        </w:rPr>
        <w:fldChar w:fldCharType="begin"/>
      </w:r>
      <w:r w:rsidR="00A0227A">
        <w:rPr>
          <w:rFonts w:ascii="Palatino Linotype" w:hAnsi="Palatino Linotype" w:cstheme="majorBidi"/>
          <w:sz w:val="20"/>
          <w:szCs w:val="20"/>
          <w:lang w:val="en-US"/>
        </w:rPr>
        <w:instrText xml:space="preserve"> ADDIN ZOTERO_ITEM CSL_CITATION {"citationID":"q5i8cQaM","properties":{"formattedCitation":"(Sinaga et al., 2023)","plainCitation":"(Sinaga et al., 2023)","noteIndex":0},"citationItems":[{"id":"hiqTCfwy/HFhUL2Cc","uris":["http://zotero.org/users/local/Pjdjlz4D/items/5NWXMQH8"],"itemData":{"id":1181,"type":"article-journal","abstract":"This research and development aim to (1) Assess the feasibility of PBL-based LKPD integrated HOTS social studies material; and (2) Assess the effectiveness of the PBL-based LKPD integrated HOTS for IPS material. This research method is research and development (R&amp;D) in class VIII SMPN 1 Sei Suka, Batubara. The test results prove that there is a significant difference between student learning outcomes who are taught using the HOTS-integrated PBL-based LKPD and the results of the regular LKPD. The development is carried out through expert validation tests: material, learning design, graphic design experts, and trials: individuals, small groups, and the field. The data on the quality of this development product was collected using a questionnaire and analyzed using qualitative descriptive analysis techniques. The results showed; (1) the material expert test is on very good criteria and is suitable for use, (2) the learning design expert test is on the very good criteria and is suitable for use, (3) the learning media expert test is on the very good criteria and is suitable for use, (4) individual trials are on very good criteria, (5) small group trials are on very good criteria, and (6) field trials are on very good criteria. The effectiveness of the developed product shows that students' social studies learning outcomes are more effective using the HOTS-integrated PBL-based LKPD than the regular LKPD.","container-title":"International Journal of Computer Applications Technology and Research","DOI":"10.7753/IJCATR1201.1003","ISSN":"23198656","journalAbbreviation":"IJCATR","language":"en","page":"13-18","source":"DOI.org (Crossref)","title":"Development of Student Worksheets Based on Problem-Based Learning Integrated HOTS Social Science Subjects","author":[{"family":"Sinaga","given":"Maslina"},{"family":"Mursid","given":"R."},{"family":".","given":"Sugiharto"}],"issued":{"date-parts":[["2023",1,4]]}}}],"schema":"https://github.com/citation-style-language/schema/raw/master/csl-citation.json"} </w:instrText>
      </w:r>
      <w:r w:rsidRPr="00A41F8C">
        <w:rPr>
          <w:rFonts w:ascii="Palatino Linotype" w:hAnsi="Palatino Linotype" w:cstheme="majorBidi"/>
          <w:sz w:val="20"/>
          <w:szCs w:val="20"/>
          <w:lang w:val="en-US"/>
        </w:rPr>
        <w:fldChar w:fldCharType="separate"/>
      </w:r>
      <w:r w:rsidRPr="00A41F8C">
        <w:rPr>
          <w:rFonts w:ascii="Palatino Linotype" w:hAnsi="Palatino Linotype"/>
          <w:sz w:val="20"/>
          <w:szCs w:val="20"/>
        </w:rPr>
        <w:t>(Sinaga et al., 2023)</w:t>
      </w:r>
      <w:r w:rsidRPr="00A41F8C">
        <w:rPr>
          <w:rFonts w:ascii="Palatino Linotype" w:hAnsi="Palatino Linotype" w:cstheme="majorBidi"/>
          <w:sz w:val="20"/>
          <w:szCs w:val="20"/>
          <w:lang w:val="en-US"/>
        </w:rPr>
        <w:fldChar w:fldCharType="end"/>
      </w:r>
      <w:r>
        <w:rPr>
          <w:rFonts w:ascii="Palatino Linotype" w:hAnsi="Palatino Linotype" w:cstheme="majorBidi"/>
          <w:sz w:val="20"/>
          <w:szCs w:val="20"/>
          <w:lang w:val="en-US"/>
        </w:rPr>
        <w:t xml:space="preserve">. </w:t>
      </w:r>
      <w:r>
        <w:rPr>
          <w:rFonts w:ascii="Palatino Linotype" w:hAnsi="Palatino Linotype" w:cstheme="majorBidi"/>
          <w:i/>
          <w:iCs/>
          <w:sz w:val="20"/>
          <w:szCs w:val="20"/>
          <w:lang w:val="id-ID"/>
        </w:rPr>
        <w:t>Second,</w:t>
      </w:r>
      <w:r w:rsidRPr="00A41F8C">
        <w:rPr>
          <w:rFonts w:ascii="Palatino Linotype" w:hAnsi="Palatino Linotype" w:cstheme="majorBidi"/>
          <w:sz w:val="20"/>
          <w:szCs w:val="20"/>
          <w:lang w:val="id-ID"/>
        </w:rPr>
        <w:t xml:space="preserve"> the findings revealed that 88% of all students successfully completed the HOTS material related to the composition function after the implementation of the jigsaw model and Numbered Heads Together (NHT). The average percentage of student activities during the learning process was high, reaching 81.75%, indicating an active engagement in the category.</w:t>
      </w:r>
      <w:r w:rsidR="008D2282">
        <w:rPr>
          <w:rFonts w:ascii="Palatino Linotype" w:hAnsi="Palatino Linotype" w:cstheme="majorBidi"/>
          <w:sz w:val="20"/>
          <w:szCs w:val="20"/>
          <w:lang w:val="id-ID"/>
        </w:rPr>
        <w:t xml:space="preserve"> T</w:t>
      </w:r>
      <w:r w:rsidRPr="00A41F8C">
        <w:rPr>
          <w:rFonts w:ascii="Palatino Linotype" w:hAnsi="Palatino Linotype" w:cstheme="majorBidi"/>
          <w:sz w:val="20"/>
          <w:szCs w:val="20"/>
          <w:lang w:val="id-ID"/>
        </w:rPr>
        <w:t xml:space="preserve">eacher activity received a good rating with an average score of 4.0, falling within the good criteria. </w:t>
      </w:r>
      <w:r w:rsidR="008D2282">
        <w:rPr>
          <w:rFonts w:ascii="Palatino Linotype" w:hAnsi="Palatino Linotype" w:cstheme="majorBidi"/>
          <w:sz w:val="20"/>
          <w:szCs w:val="20"/>
          <w:lang w:val="id-ID"/>
        </w:rPr>
        <w:t>S</w:t>
      </w:r>
      <w:r w:rsidRPr="00A41F8C">
        <w:rPr>
          <w:rFonts w:ascii="Palatino Linotype" w:hAnsi="Palatino Linotype" w:cstheme="majorBidi"/>
          <w:sz w:val="20"/>
          <w:szCs w:val="20"/>
          <w:lang w:val="id-ID"/>
        </w:rPr>
        <w:t xml:space="preserve">tudents' responses after learning showed an average percentage of 77.6%, indicating a positive reception of the applied learning model </w:t>
      </w:r>
      <w:r w:rsidRPr="00A41F8C">
        <w:rPr>
          <w:rFonts w:ascii="Palatino Linotype" w:hAnsi="Palatino Linotype" w:cstheme="majorBidi"/>
          <w:sz w:val="20"/>
          <w:szCs w:val="20"/>
          <w:lang w:val="id-ID"/>
        </w:rPr>
        <w:fldChar w:fldCharType="begin"/>
      </w:r>
      <w:r w:rsidR="00A0227A">
        <w:rPr>
          <w:rFonts w:ascii="Palatino Linotype" w:hAnsi="Palatino Linotype" w:cstheme="majorBidi"/>
          <w:sz w:val="20"/>
          <w:szCs w:val="20"/>
          <w:lang w:val="id-ID"/>
        </w:rPr>
        <w:instrText xml:space="preserve"> ADDIN ZOTERO_ITEM CSL_CITATION {"citationID":"z1QU0K79","properties":{"formattedCitation":"(Ritonga et al., 2022)","plainCitation":"(Ritonga et al., 2022)","noteIndex":0},"citationItems":[{"id":"hiqTCfwy/GESiGwiv","uris":["http://zotero.org/users/local/Pjdjlz4D/items/P5M93UR3"],"itemData":{"id":1183,"type":"article-journal","abstract":"The study was intended to learn the effectiveness of jigsaw's and Numbered Heads Together (NHT) learning models in breaking the matter of HOTS composition function in Muhammadiyah high school Langsa from; The results of student learning after using the jigsaw model and Numbered Heads Together (NHT), student activity and teacher activity during the learning process, and student response to the learning model. This type of research is qualitative. The subject of this study was the Langsa Muhammadiyah high school student at X MIPA class with a total of 25 students. The data collection techniques used are tests, observations, and angkets. As for the data analysis used by the study results test analysis, the student activity and teacher activity data analysis, and the student response analysis. The results of the study were 88% of all students completed after the application of the jigsaw model and Numbered Heads Together (NHT) to complete the HOTS matter composition function. On student activities in the learning process the average percentage is 81.75% high in category, then on teacher activity gets an average of each category (RTK) rated within good criteria with an average score of 4.0. And finally, students response after learning shows an average percentage of 77.6%, it shows that students respond favorably to the applied learning model. We can then conclude that the jigsaw and other competing heads together learning models are effectively used to solve the HOTS matter of composition function.","container-title":"Jurnal Ilmiah Pendidikan Matematika Al Qalasadi","DOI":"10.32505/qalasadi.v6i2.4982","ISSN":"2656-0852, 2579-9185","issue":"2","journalAbbreviation":"JAQ","page":"185-194","source":"DOI.org (Crossref)","title":"Efektivitas Model Pembelajaran Jigsaw dan Numbered Head Together (NHT) dalam Pemecahan Soal-Soal HOTS Materi Pokok Fungsi Komposisi","volume":"6","author":[{"family":"Ritonga","given":"Debi Cinta Marito"},{"family":"Faisal","given":"Faisal"},{"family":"Husna","given":"Raudhatul"}],"issued":{"date-parts":[["2022",12,31]]}}}],"schema":"https://github.com/citation-style-language/schema/raw/master/csl-citation.json"} </w:instrText>
      </w:r>
      <w:r w:rsidRPr="00A41F8C">
        <w:rPr>
          <w:rFonts w:ascii="Palatino Linotype" w:hAnsi="Palatino Linotype" w:cstheme="majorBidi"/>
          <w:sz w:val="20"/>
          <w:szCs w:val="20"/>
          <w:lang w:val="id-ID"/>
        </w:rPr>
        <w:fldChar w:fldCharType="separate"/>
      </w:r>
      <w:r w:rsidRPr="00A41F8C">
        <w:rPr>
          <w:rFonts w:ascii="Palatino Linotype" w:hAnsi="Palatino Linotype"/>
          <w:sz w:val="20"/>
          <w:szCs w:val="20"/>
        </w:rPr>
        <w:t>(</w:t>
      </w:r>
      <w:proofErr w:type="spellStart"/>
      <w:r w:rsidRPr="00A41F8C">
        <w:rPr>
          <w:rFonts w:ascii="Palatino Linotype" w:hAnsi="Palatino Linotype"/>
          <w:sz w:val="20"/>
          <w:szCs w:val="20"/>
        </w:rPr>
        <w:t>Ritonga</w:t>
      </w:r>
      <w:proofErr w:type="spellEnd"/>
      <w:r w:rsidRPr="00A41F8C">
        <w:rPr>
          <w:rFonts w:ascii="Palatino Linotype" w:hAnsi="Palatino Linotype"/>
          <w:sz w:val="20"/>
          <w:szCs w:val="20"/>
        </w:rPr>
        <w:t xml:space="preserve"> et al., 2022)</w:t>
      </w:r>
      <w:r w:rsidRPr="00A41F8C">
        <w:rPr>
          <w:rFonts w:ascii="Palatino Linotype" w:hAnsi="Palatino Linotype" w:cstheme="majorBidi"/>
          <w:sz w:val="20"/>
          <w:szCs w:val="20"/>
          <w:lang w:val="id-ID"/>
        </w:rPr>
        <w:fldChar w:fldCharType="end"/>
      </w:r>
      <w:r>
        <w:rPr>
          <w:rFonts w:ascii="Palatino Linotype" w:hAnsi="Palatino Linotype" w:cstheme="majorBidi"/>
          <w:sz w:val="20"/>
          <w:szCs w:val="20"/>
          <w:lang w:val="id-ID"/>
        </w:rPr>
        <w:t>.</w:t>
      </w:r>
      <w:r w:rsidRPr="00A41F8C">
        <w:rPr>
          <w:rFonts w:ascii="Palatino Linotype" w:hAnsi="Palatino Linotype"/>
          <w:sz w:val="20"/>
          <w:szCs w:val="20"/>
        </w:rPr>
        <w:t xml:space="preserve"> </w:t>
      </w:r>
      <w:r w:rsidRPr="00A41F8C">
        <w:rPr>
          <w:rFonts w:ascii="Palatino Linotype" w:hAnsi="Palatino Linotype"/>
          <w:i/>
          <w:iCs/>
          <w:sz w:val="20"/>
          <w:szCs w:val="20"/>
        </w:rPr>
        <w:t>Third,</w:t>
      </w:r>
      <w:r>
        <w:rPr>
          <w:rFonts w:ascii="Palatino Linotype" w:hAnsi="Palatino Linotype"/>
          <w:sz w:val="20"/>
          <w:szCs w:val="20"/>
        </w:rPr>
        <w:t xml:space="preserve"> </w:t>
      </w:r>
      <w:r w:rsidRPr="00A41F8C">
        <w:rPr>
          <w:rFonts w:ascii="Palatino Linotype" w:hAnsi="Palatino Linotype" w:cstheme="majorBidi"/>
          <w:sz w:val="20"/>
          <w:szCs w:val="20"/>
          <w:lang w:val="id-ID"/>
        </w:rPr>
        <w:t xml:space="preserve">the </w:t>
      </w:r>
      <w:r>
        <w:rPr>
          <w:rFonts w:ascii="Palatino Linotype" w:hAnsi="Palatino Linotype" w:cstheme="majorBidi"/>
          <w:sz w:val="20"/>
          <w:szCs w:val="20"/>
          <w:lang w:val="id-ID"/>
        </w:rPr>
        <w:t>finding</w:t>
      </w:r>
      <w:r w:rsidRPr="00A41F8C">
        <w:rPr>
          <w:rFonts w:ascii="Palatino Linotype" w:hAnsi="Palatino Linotype" w:cstheme="majorBidi"/>
          <w:sz w:val="20"/>
          <w:szCs w:val="20"/>
          <w:lang w:val="id-ID"/>
        </w:rPr>
        <w:t xml:space="preserve"> revealed that 31 items did not meet the criteria for developing High Order Thinking Skills (HOTS). These 31 items were identified as containing 0% HOTS and 100% LOTS (Low Order Thinking Skills), indicating that the questions were unable to assess students' critical thinking skills </w:t>
      </w:r>
      <w:r w:rsidRPr="00A41F8C">
        <w:rPr>
          <w:rFonts w:ascii="Palatino Linotype" w:hAnsi="Palatino Linotype" w:cstheme="majorBidi"/>
          <w:sz w:val="20"/>
          <w:szCs w:val="20"/>
          <w:lang w:val="id-ID"/>
        </w:rPr>
        <w:fldChar w:fldCharType="begin"/>
      </w:r>
      <w:r w:rsidR="00A0227A">
        <w:rPr>
          <w:rFonts w:ascii="Palatino Linotype" w:hAnsi="Palatino Linotype" w:cstheme="majorBidi"/>
          <w:sz w:val="20"/>
          <w:szCs w:val="20"/>
          <w:lang w:val="id-ID"/>
        </w:rPr>
        <w:instrText xml:space="preserve"> ADDIN ZOTERO_ITEM CSL_CITATION {"citationID":"nxJPGwLx","properties":{"formattedCitation":"(Dikdas, 2021)","plainCitation":"(Dikdas, 2021)","noteIndex":0},"citationItems":[{"id":"hiqTCfwy/b85jRwey","uris":["http://zotero.org/users/local/Pjdjlz4D/items/F3SHL8WI"],"itemData":{"id":1185,"type":"article-journal","abstract":"ABSTRAKAlasan dilakukannya penelitian ini, dikarenakan masih kurangnya kemampuan guru dalam menyusun soal Hots dan  adanya faktor yang menjadi penghambat guru didalam menyusun soal PTS. Metode penelitian yang digunakan adalah metode penelitian deskriptif dengan pendekatan kualitatif. Berdasarkan hasil analisis, diperoleh temuan, yakni ditemukan 31 butir soal yang tidak memenuhi kriteria pengembangan Hots (High Order Thinking Skills), dimana dari hasil analisis level kognitif untuk menentukan Keterampilan berpikir kritis murid namun 31 butir soal tersebut terdapat 0% (Hots) dan 100% (Lots) dimana soal tersebut tidak dapat mengukur kemampuan berpikir kritis murid yang menyebabkan kemampuan guru dalam menyusun soal Hots (High Order Thinking Skills) masuk pada kategori sangat kurang dan perlu bimbingan.","container-title":"JURNAL PAJAR (Pendidikan dan Pengajaran)","DOI":"10.33578/pjr.v5i4.8218","ISSN":"2614-1337, 2580-8435","issue":"4","journalAbbreviation":"PJR","source":"DOI.org (Crossref)","title":"ANALISIS HOTS PADA SOAL PENILAIAN TENGAH SEMESTER DALAM MATA PELAJARAN ILMU PENGETAHUAN SOSIAL DI KELAS IV","URL":"https://pajar.ejournal.unri.ac.id/index.php/PJR/article/view/8218","volume":"5","author":[{"family":"Dikdas","given":"Hastuti"}],"accessed":{"date-parts":[["2024",2,3]]},"issued":{"date-parts":[["2021",7,9]]}}}],"schema":"https://github.com/citation-style-language/schema/raw/master/csl-citation.json"} </w:instrText>
      </w:r>
      <w:r w:rsidRPr="00A41F8C">
        <w:rPr>
          <w:rFonts w:ascii="Palatino Linotype" w:hAnsi="Palatino Linotype" w:cstheme="majorBidi"/>
          <w:sz w:val="20"/>
          <w:szCs w:val="20"/>
          <w:lang w:val="id-ID"/>
        </w:rPr>
        <w:fldChar w:fldCharType="separate"/>
      </w:r>
      <w:r w:rsidRPr="00A41F8C">
        <w:rPr>
          <w:rFonts w:ascii="Palatino Linotype" w:hAnsi="Palatino Linotype"/>
          <w:sz w:val="20"/>
          <w:szCs w:val="20"/>
        </w:rPr>
        <w:t>(</w:t>
      </w:r>
      <w:proofErr w:type="spellStart"/>
      <w:r w:rsidRPr="00A41F8C">
        <w:rPr>
          <w:rFonts w:ascii="Palatino Linotype" w:hAnsi="Palatino Linotype"/>
          <w:sz w:val="20"/>
          <w:szCs w:val="20"/>
        </w:rPr>
        <w:t>Dikdas</w:t>
      </w:r>
      <w:proofErr w:type="spellEnd"/>
      <w:r w:rsidRPr="00A41F8C">
        <w:rPr>
          <w:rFonts w:ascii="Palatino Linotype" w:hAnsi="Palatino Linotype"/>
          <w:sz w:val="20"/>
          <w:szCs w:val="20"/>
        </w:rPr>
        <w:t>, 2021)</w:t>
      </w:r>
      <w:r w:rsidRPr="00A41F8C">
        <w:rPr>
          <w:rFonts w:ascii="Palatino Linotype" w:hAnsi="Palatino Linotype" w:cstheme="majorBidi"/>
          <w:sz w:val="20"/>
          <w:szCs w:val="20"/>
          <w:lang w:val="id-ID"/>
        </w:rPr>
        <w:fldChar w:fldCharType="end"/>
      </w:r>
      <w:r>
        <w:rPr>
          <w:rFonts w:ascii="Palatino Linotype" w:hAnsi="Palatino Linotype" w:cstheme="majorBidi"/>
          <w:sz w:val="20"/>
          <w:szCs w:val="20"/>
          <w:lang w:val="id-ID"/>
        </w:rPr>
        <w:t>.</w:t>
      </w:r>
      <w:r w:rsidRPr="00A41F8C">
        <w:rPr>
          <w:rFonts w:ascii="Palatino Linotype" w:hAnsi="Palatino Linotype" w:cstheme="majorBidi"/>
          <w:sz w:val="20"/>
          <w:szCs w:val="20"/>
          <w:lang w:val="id-ID"/>
        </w:rPr>
        <w:t xml:space="preserve"> </w:t>
      </w:r>
    </w:p>
    <w:p w14:paraId="245E2E25" w14:textId="5AB62F14" w:rsidR="00A82864" w:rsidRPr="00A41F8C" w:rsidRDefault="00A82864" w:rsidP="00A82864">
      <w:pPr>
        <w:spacing w:after="0" w:line="240" w:lineRule="auto"/>
        <w:ind w:firstLine="425"/>
        <w:jc w:val="both"/>
        <w:rPr>
          <w:rFonts w:ascii="Palatino Linotype" w:hAnsi="Palatino Linotype" w:cstheme="majorBidi"/>
          <w:sz w:val="20"/>
          <w:szCs w:val="20"/>
          <w:lang w:val="en-US"/>
        </w:rPr>
      </w:pPr>
      <w:r w:rsidRPr="00A82864">
        <w:rPr>
          <w:rFonts w:ascii="Palatino Linotype" w:hAnsi="Palatino Linotype" w:cstheme="majorBidi"/>
          <w:sz w:val="20"/>
          <w:szCs w:val="20"/>
          <w:lang w:val="en-US"/>
        </w:rPr>
        <w:t xml:space="preserve">The purpose of this study was to evaluate the effectiveness of the Jigsaw learning model in improving learning outcomes and higher order thinking skills (HOTS) of students at </w:t>
      </w:r>
      <w:proofErr w:type="spellStart"/>
      <w:r w:rsidRPr="00A82864">
        <w:rPr>
          <w:rFonts w:ascii="Palatino Linotype" w:hAnsi="Palatino Linotype" w:cstheme="majorBidi"/>
          <w:sz w:val="20"/>
          <w:szCs w:val="20"/>
          <w:lang w:val="en-US"/>
        </w:rPr>
        <w:t>MTsS</w:t>
      </w:r>
      <w:proofErr w:type="spellEnd"/>
      <w:r w:rsidRPr="00A82864">
        <w:rPr>
          <w:rFonts w:ascii="Palatino Linotype" w:hAnsi="Palatino Linotype" w:cstheme="majorBidi"/>
          <w:sz w:val="20"/>
          <w:szCs w:val="20"/>
          <w:lang w:val="en-US"/>
        </w:rPr>
        <w:t xml:space="preserve"> </w:t>
      </w:r>
      <w:proofErr w:type="spellStart"/>
      <w:r w:rsidRPr="00A82864">
        <w:rPr>
          <w:rFonts w:ascii="Palatino Linotype" w:hAnsi="Palatino Linotype" w:cstheme="majorBidi"/>
          <w:sz w:val="20"/>
          <w:szCs w:val="20"/>
          <w:lang w:val="en-US"/>
        </w:rPr>
        <w:t>Ashhabul</w:t>
      </w:r>
      <w:proofErr w:type="spellEnd"/>
      <w:r w:rsidRPr="00A82864">
        <w:rPr>
          <w:rFonts w:ascii="Palatino Linotype" w:hAnsi="Palatino Linotype" w:cstheme="majorBidi"/>
          <w:sz w:val="20"/>
          <w:szCs w:val="20"/>
          <w:lang w:val="en-US"/>
        </w:rPr>
        <w:t xml:space="preserve"> Yamin </w:t>
      </w:r>
      <w:proofErr w:type="spellStart"/>
      <w:r w:rsidRPr="00A82864">
        <w:rPr>
          <w:rFonts w:ascii="Palatino Linotype" w:hAnsi="Palatino Linotype" w:cstheme="majorBidi"/>
          <w:sz w:val="20"/>
          <w:szCs w:val="20"/>
          <w:lang w:val="en-US"/>
        </w:rPr>
        <w:t>Lasi</w:t>
      </w:r>
      <w:proofErr w:type="spellEnd"/>
      <w:r w:rsidRPr="00A82864">
        <w:rPr>
          <w:rFonts w:ascii="Palatino Linotype" w:hAnsi="Palatino Linotype" w:cstheme="majorBidi"/>
          <w:sz w:val="20"/>
          <w:szCs w:val="20"/>
          <w:lang w:val="en-US"/>
        </w:rPr>
        <w:t xml:space="preserve">. This study aims to assess the extent to which the Jigsaw model can have a positive impact on students' academic achievement and cognitive abilities in a collaborative learning context. In addition, this study aims to identify the weaknesses and advantages of the Jigsaw model in the local curriculum, as well as explore how the application of this model can be adapted to address more complex learning challenges in the modern education era. The results of this study are expected to provide a deep insight into how to effectively improve the quality of learning at </w:t>
      </w:r>
      <w:proofErr w:type="spellStart"/>
      <w:r w:rsidRPr="00A82864">
        <w:rPr>
          <w:rFonts w:ascii="Palatino Linotype" w:hAnsi="Palatino Linotype" w:cstheme="majorBidi"/>
          <w:sz w:val="20"/>
          <w:szCs w:val="20"/>
          <w:lang w:val="en-US"/>
        </w:rPr>
        <w:t>MTsS</w:t>
      </w:r>
      <w:proofErr w:type="spellEnd"/>
      <w:r w:rsidRPr="00A82864">
        <w:rPr>
          <w:rFonts w:ascii="Palatino Linotype" w:hAnsi="Palatino Linotype" w:cstheme="majorBidi"/>
          <w:sz w:val="20"/>
          <w:szCs w:val="20"/>
          <w:lang w:val="en-US"/>
        </w:rPr>
        <w:t xml:space="preserve"> </w:t>
      </w:r>
      <w:proofErr w:type="spellStart"/>
      <w:r w:rsidRPr="00A82864">
        <w:rPr>
          <w:rFonts w:ascii="Palatino Linotype" w:hAnsi="Palatino Linotype" w:cstheme="majorBidi"/>
          <w:sz w:val="20"/>
          <w:szCs w:val="20"/>
          <w:lang w:val="en-US"/>
        </w:rPr>
        <w:t>Ashhabul</w:t>
      </w:r>
      <w:proofErr w:type="spellEnd"/>
      <w:r w:rsidRPr="00A82864">
        <w:rPr>
          <w:rFonts w:ascii="Palatino Linotype" w:hAnsi="Palatino Linotype" w:cstheme="majorBidi"/>
          <w:sz w:val="20"/>
          <w:szCs w:val="20"/>
          <w:lang w:val="en-US"/>
        </w:rPr>
        <w:t xml:space="preserve"> Yamin </w:t>
      </w:r>
      <w:proofErr w:type="spellStart"/>
      <w:r w:rsidRPr="00A82864">
        <w:rPr>
          <w:rFonts w:ascii="Palatino Linotype" w:hAnsi="Palatino Linotype" w:cstheme="majorBidi"/>
          <w:sz w:val="20"/>
          <w:szCs w:val="20"/>
          <w:lang w:val="en-US"/>
        </w:rPr>
        <w:t>Lasi</w:t>
      </w:r>
      <w:proofErr w:type="spellEnd"/>
      <w:r w:rsidRPr="00A82864">
        <w:rPr>
          <w:rFonts w:ascii="Palatino Linotype" w:hAnsi="Palatino Linotype" w:cstheme="majorBidi"/>
          <w:sz w:val="20"/>
          <w:szCs w:val="20"/>
          <w:lang w:val="en-US"/>
        </w:rPr>
        <w:t xml:space="preserve"> and develop students' critical thinking skills that are needed in today's education. The implications of this research are not only limited to improving the quality of education at the local level, but also have significant global relevance. With the increasing need for 21st century skills, such as critical thinking, collaboration and problem-solving, this research can inspire educational institutions around the world to adopt more innovative and adaptive teaching methods.</w:t>
      </w:r>
    </w:p>
    <w:p w14:paraId="53D1ABF4" w14:textId="77777777" w:rsidR="005B5AEC" w:rsidRPr="00723B12" w:rsidRDefault="005B5AEC" w:rsidP="005B5AEC">
      <w:pPr>
        <w:pStyle w:val="Alishlah21heading1"/>
        <w:rPr>
          <w:rFonts w:eastAsia="Arial"/>
        </w:rPr>
      </w:pPr>
      <w:r w:rsidRPr="00723B12">
        <w:rPr>
          <w:rFonts w:eastAsia="Arial"/>
        </w:rPr>
        <w:t xml:space="preserve">METHODS </w:t>
      </w:r>
    </w:p>
    <w:p w14:paraId="30774CD5" w14:textId="38ECD296" w:rsidR="00A41F8C" w:rsidRDefault="00A41F8C" w:rsidP="00AE1C5B">
      <w:pPr>
        <w:pStyle w:val="Alishlah31text"/>
      </w:pPr>
      <w:r w:rsidRPr="00A41F8C">
        <w:t xml:space="preserve">This study is </w:t>
      </w:r>
      <w:proofErr w:type="gramStart"/>
      <w:r w:rsidRPr="00A41F8C">
        <w:t>a quasi-experimental research</w:t>
      </w:r>
      <w:proofErr w:type="gramEnd"/>
      <w:r w:rsidRPr="00A41F8C">
        <w:t xml:space="preserve"> with the aim of evaluating the positive impact of the Jigsaw learning strategy on learning outcomes and Higher-Order Thinking Skills (HOTS) of students at </w:t>
      </w:r>
      <w:proofErr w:type="spellStart"/>
      <w:r w:rsidRPr="00A41F8C">
        <w:t>MTsS</w:t>
      </w:r>
      <w:proofErr w:type="spellEnd"/>
      <w:r w:rsidRPr="00A41F8C">
        <w:t xml:space="preserve"> </w:t>
      </w:r>
      <w:proofErr w:type="spellStart"/>
      <w:r w:rsidRPr="00A41F8C">
        <w:t>Ashhabul</w:t>
      </w:r>
      <w:proofErr w:type="spellEnd"/>
      <w:r w:rsidRPr="00A41F8C">
        <w:t xml:space="preserve"> Yamin </w:t>
      </w:r>
      <w:proofErr w:type="spellStart"/>
      <w:r w:rsidRPr="00A41F8C">
        <w:t>Lasi</w:t>
      </w:r>
      <w:proofErr w:type="spellEnd"/>
      <w:r w:rsidRPr="00A41F8C">
        <w:t xml:space="preserve">. Two groups were involved in this research, where the experimental group received the implementation of the Jigsaw learning strategy, while the control group underwent conventional learning. Data were collected through learning outcome tests, which included multiple-choice questions to measure learning outcomes and essay tests to assess students' Higher-Order Thinking Skills. Tests were conducted before (pretest) and after (posttest) the implementation of the Jigsaw learning strategy. The data were then analyzed using correlation techniques and simple </w:t>
      </w:r>
      <w:r w:rsidRPr="00A41F8C">
        <w:lastRenderedPageBreak/>
        <w:t xml:space="preserve">regression analysis. The research population included all eighth-grade students at </w:t>
      </w:r>
      <w:proofErr w:type="spellStart"/>
      <w:r w:rsidRPr="00A41F8C">
        <w:t>MTsS</w:t>
      </w:r>
      <w:proofErr w:type="spellEnd"/>
      <w:r w:rsidRPr="00A41F8C">
        <w:t xml:space="preserve"> </w:t>
      </w:r>
      <w:proofErr w:type="spellStart"/>
      <w:r w:rsidRPr="00A41F8C">
        <w:t>Ashhabul</w:t>
      </w:r>
      <w:proofErr w:type="spellEnd"/>
      <w:r w:rsidRPr="00A41F8C">
        <w:t xml:space="preserve"> Yamin </w:t>
      </w:r>
      <w:proofErr w:type="spellStart"/>
      <w:r w:rsidRPr="00A41F8C">
        <w:t>Lasi</w:t>
      </w:r>
      <w:proofErr w:type="spellEnd"/>
      <w:r w:rsidRPr="00A41F8C">
        <w:t xml:space="preserve">, with the sample consisting of two classes, namely the experimental class and the control class. The experimental method was used to evaluate the influence of the independent variable (Jigsaw learning strategy) on the dependent variables (learning outcomes and Higher-Order Thinking Skills). The research procedure involved pretest, implementation of the learning strategy, and posttest stages. Measurement of learning outcomes and Higher-Order Thinking Skills was conducted after the implementation of the strategy. Data analysis was performed using statistical techniques and SPSS software version 2.6. Data collection was carried out through learning outcome and Higher-Order Thinking Skills tests, with instruments consisting of multiple-choice and essay questions. The instruments were designed based on grids covering indicators of basic learning competencies. Thus, this research aims to evaluate the positive impact of the Jigsaw learning strategy on learning outcomes and Higher-Order Thinking Skills of students at </w:t>
      </w:r>
      <w:proofErr w:type="spellStart"/>
      <w:r w:rsidRPr="00A41F8C">
        <w:t>MTsS</w:t>
      </w:r>
      <w:proofErr w:type="spellEnd"/>
      <w:r w:rsidRPr="00A41F8C">
        <w:t xml:space="preserve"> </w:t>
      </w:r>
      <w:proofErr w:type="spellStart"/>
      <w:r w:rsidRPr="00A41F8C">
        <w:t>Ashhabul</w:t>
      </w:r>
      <w:proofErr w:type="spellEnd"/>
      <w:r w:rsidRPr="00A41F8C">
        <w:t xml:space="preserve"> Yamin </w:t>
      </w:r>
      <w:proofErr w:type="spellStart"/>
      <w:r w:rsidRPr="00A41F8C">
        <w:t>Lasi</w:t>
      </w:r>
      <w:proofErr w:type="spellEnd"/>
      <w:r w:rsidRPr="00A41F8C">
        <w:t>. The conclusion of this study provides a clearer picture of the benefits of the Jigsaw learning strategy in improving learning outcomes and Higher-Order Thinking Skills of students at the secondary education level.</w:t>
      </w:r>
    </w:p>
    <w:p w14:paraId="03AF8E36"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790B174B" w14:textId="08AF7203" w:rsidR="002B31FD" w:rsidRDefault="00CF5063" w:rsidP="003B06AC">
      <w:pPr>
        <w:pStyle w:val="Alishlah22heading2"/>
        <w:spacing w:after="0"/>
      </w:pPr>
      <w:r>
        <w:t>3</w:t>
      </w:r>
      <w:r w:rsidR="002B31FD" w:rsidRPr="004841C5">
        <w:t xml:space="preserve">.1. </w:t>
      </w:r>
      <w:r w:rsidR="003B06AC">
        <w:t xml:space="preserve">The Effect of Jigsaw Learning Strategy on Learning Outcomes in Social Science </w:t>
      </w:r>
    </w:p>
    <w:p w14:paraId="7E297B0D" w14:textId="08B0ED51" w:rsidR="00B158C3" w:rsidRDefault="00B158C3" w:rsidP="00A10281">
      <w:pPr>
        <w:pStyle w:val="Alishlah22heading2"/>
        <w:spacing w:before="0" w:after="0"/>
        <w:ind w:firstLine="425"/>
        <w:jc w:val="both"/>
        <w:rPr>
          <w:b w:val="0"/>
          <w:bCs w:val="0"/>
          <w:i w:val="0"/>
          <w:iCs/>
        </w:rPr>
      </w:pPr>
      <w:r w:rsidRPr="00B158C3">
        <w:rPr>
          <w:b w:val="0"/>
          <w:bCs w:val="0"/>
          <w:i w:val="0"/>
          <w:iCs/>
        </w:rPr>
        <w:t>To determine the effect of Jigsaw learning strategy on student learning outcomes and higher order thinking skills (HOTS) in social studies class VIII at MTsS Ashhabul Yamin Lasi. This research was conducted 4 times a meeting, both for the experimental class and the control class, this is based on the semester programme that has been made by the subject teacher who teaches in class VIII. The data processed in this study are data obtained from the recapitulation of the implementation of Pretests and Posttests from the initial meeting to the end. Before the first meeting was held, pretests were carried out first both experimental and control classes, with the same questions. After the pretest was carried out in both the experimental and control classes, the posttest was given with the same questions. The questions given totalled 25 questions and had been validated beforehand. This study provides different treatments between the experimental class and the control class. The experimental class was given treatment with the application of the Jigsaw learning strategy while the control class applied the conventional learning model.</w:t>
      </w:r>
    </w:p>
    <w:p w14:paraId="619B0DAD" w14:textId="568780B8" w:rsidR="00B158C3" w:rsidRDefault="00B158C3" w:rsidP="00A10281">
      <w:pPr>
        <w:pStyle w:val="Alishlah22heading2"/>
        <w:spacing w:before="0" w:after="0"/>
        <w:ind w:firstLine="425"/>
        <w:jc w:val="both"/>
        <w:rPr>
          <w:b w:val="0"/>
          <w:bCs w:val="0"/>
          <w:i w:val="0"/>
          <w:iCs/>
        </w:rPr>
      </w:pPr>
      <w:r w:rsidRPr="00B158C3">
        <w:rPr>
          <w:b w:val="0"/>
          <w:bCs w:val="0"/>
          <w:i w:val="0"/>
          <w:iCs/>
        </w:rPr>
        <w:t>Data collection was carried out through a pre-test at the beginning of the session and a post-test at the end, aimed at measuring the differences in student learning outcomes and higher-order thinking skills (HOTS) between the experimental class and the control class</w:t>
      </w:r>
      <w:r w:rsidR="00081C72">
        <w:rPr>
          <w:b w:val="0"/>
          <w:bCs w:val="0"/>
          <w:i w:val="0"/>
          <w:iCs/>
        </w:rPr>
        <w:t xml:space="preserve"> </w:t>
      </w:r>
      <w:r w:rsidR="00081C72" w:rsidRPr="00081C72">
        <w:rPr>
          <w:b w:val="0"/>
          <w:bCs w:val="0"/>
          <w:i w:val="0"/>
          <w:iCs/>
        </w:rPr>
        <w:fldChar w:fldCharType="begin"/>
      </w:r>
      <w:r w:rsidR="00081C72" w:rsidRPr="00081C72">
        <w:rPr>
          <w:b w:val="0"/>
          <w:bCs w:val="0"/>
          <w:i w:val="0"/>
          <w:iCs/>
        </w:rPr>
        <w:instrText xml:space="preserve"> ADDIN ZOTERO_ITEM CSL_CITATION {"citationID":"nXHk79Wr","properties":{"formattedCitation":"(Ichsan et al., 2019)","plainCitation":"(Ichsan et al., 2019)","noteIndex":0},"citationItems":[{"id":813,"uris":["http://zotero.org/users/local/Wqqix2jN/items/FXKM8E4M"],"itemData":{"id":813,"type":"article-journal","abstract":"&lt;p style=\"text-align:justify\"&gt;Environmental learning in the 21st century requires students to have Higher Order Thinking Skills (HOTS). The purpose of this study was to measure HOTS students using Higher Order Thinking Skills Assessment based on Environmental Problem (HOTS-AEP). The research method used in this study was descriptive method with a total sample of 248 students consisting of Elementary School (ES), Junior High School (JHS), Bachelor Program (BP), and Master Program (MP). The results showed that students overall have a very low HOTS category. HOTS scores scale of 0-100 on ES (22.3) are still higher than JHS (20.2). Whereas at the university level, BP scores (19.9) are lower than MP (21.4). This showed that learning must be oriented towards increasing HOTS through various media development learning, learning materials, learning models, and strategies. This study concludes that the HOTS score of students was still very low and needs to be improved.&lt;/p&gt;","container-title":"European Journal of Educational Research","DOI":"10.12973/eu-jer.8.4.935","ISSN":"21658714, 21658714","issue":"volume8-issue4.html","journalAbbreviation":"EUROPEAN J ED RES","page":"935-942","source":"DOI.org (Crossref)","title":"HOTS-AEP: Higher Order Thinking Skills from Elementary to Master Students in Environmental Learning","title-short":"HOTS-AEP","volume":"volume-8-2019","author":[{"family":"Ichsan","given":"Ilmi Zajuli"},{"family":"Sigit","given":"Diana Vivanti"},{"family":"Miarsyah","given":"Mieke"},{"family":"Ali","given":"Ahmad"},{"family":"Arif","given":"Wiwin Pramita"},{"family":"Prayitno","given":"Trio Ageng"}],"issued":{"date-parts":[["2019",10,15]]}}}],"schema":"https://github.com/citation-style-language/schema/raw/master/csl-citation.json"} </w:instrText>
      </w:r>
      <w:r w:rsidR="00081C72" w:rsidRPr="00081C72">
        <w:rPr>
          <w:b w:val="0"/>
          <w:bCs w:val="0"/>
          <w:i w:val="0"/>
          <w:iCs/>
        </w:rPr>
        <w:fldChar w:fldCharType="separate"/>
      </w:r>
      <w:r w:rsidR="00081C72" w:rsidRPr="00081C72">
        <w:rPr>
          <w:b w:val="0"/>
          <w:bCs w:val="0"/>
          <w:i w:val="0"/>
          <w:iCs/>
        </w:rPr>
        <w:t>(Ichsan et al., 2019)</w:t>
      </w:r>
      <w:r w:rsidR="00081C72" w:rsidRPr="00081C72">
        <w:rPr>
          <w:b w:val="0"/>
          <w:bCs w:val="0"/>
          <w:i w:val="0"/>
          <w:iCs/>
        </w:rPr>
        <w:fldChar w:fldCharType="end"/>
      </w:r>
      <w:r w:rsidRPr="00B158C3">
        <w:rPr>
          <w:b w:val="0"/>
          <w:bCs w:val="0"/>
          <w:i w:val="0"/>
          <w:iCs/>
        </w:rPr>
        <w:t>. The pre-test was conducted to assess the students' initial abilities before the intervention, while the post-test was used to evaluate the improvement after the applied teaching methods</w:t>
      </w:r>
      <w:r w:rsidR="00081C72">
        <w:rPr>
          <w:b w:val="0"/>
          <w:bCs w:val="0"/>
          <w:i w:val="0"/>
          <w:iCs/>
        </w:rPr>
        <w:t xml:space="preserve"> </w:t>
      </w:r>
      <w:r w:rsidR="00431018" w:rsidRPr="00431018">
        <w:rPr>
          <w:b w:val="0"/>
          <w:bCs w:val="0"/>
          <w:i w:val="0"/>
          <w:iCs/>
        </w:rPr>
        <w:fldChar w:fldCharType="begin"/>
      </w:r>
      <w:r w:rsidR="00431018" w:rsidRPr="00431018">
        <w:rPr>
          <w:b w:val="0"/>
          <w:bCs w:val="0"/>
          <w:i w:val="0"/>
          <w:iCs/>
        </w:rPr>
        <w:instrText xml:space="preserve"> ADDIN ZOTERO_ITEM CSL_CITATION {"citationID":"KyZs29d9","properties":{"formattedCitation":"(Lagorce et al., 2017)","plainCitation":"(Lagorce et al., 2017)","noteIndex":0},"citationItems":[{"id":799,"uris":["http://zotero.org/users/local/Wqqix2jN/items/HI3KEFUQ"],"itemData":{"id":799,"type":"article-journal","container-title":"IEEE Transactions on Pattern Analysis and Machine Intelligence","DOI":"10.1109/TPAMI.2016.2574707","ISSN":"0162-8828, 2160-9292","issue":"7","journalAbbreviation":"IEEE Trans. Pattern Anal. Mach. Intell.","license":"https://ieeexplore.ieee.org/Xplorehelp/downloads/license-information/OAPA.html","page":"1346-1359","source":"DOI.org (Crossref)","title":"HOTS: A Hierarchy of Event-Based Time-Surfaces for Pattern Recognition","title-short":"HOTS","volume":"39","author":[{"family":"Lagorce","given":"Xavier"},{"family":"Orchard","given":"Garrick"},{"family":"Galluppi","given":"Francesco"},{"family":"Shi","given":"Bertram E."},{"family":"Benosman","given":"Ryad B."}],"issued":{"date-parts":[["2017",7,1]]}}}],"schema":"https://github.com/citation-style-language/schema/raw/master/csl-citation.json"} </w:instrText>
      </w:r>
      <w:r w:rsidR="00431018" w:rsidRPr="00431018">
        <w:rPr>
          <w:b w:val="0"/>
          <w:bCs w:val="0"/>
          <w:i w:val="0"/>
          <w:iCs/>
        </w:rPr>
        <w:fldChar w:fldCharType="separate"/>
      </w:r>
      <w:r w:rsidR="00431018" w:rsidRPr="00431018">
        <w:rPr>
          <w:b w:val="0"/>
          <w:bCs w:val="0"/>
          <w:i w:val="0"/>
          <w:iCs/>
        </w:rPr>
        <w:t>(Lagorce et al., 2017)</w:t>
      </w:r>
      <w:r w:rsidR="00431018" w:rsidRPr="00431018">
        <w:rPr>
          <w:b w:val="0"/>
          <w:bCs w:val="0"/>
          <w:i w:val="0"/>
          <w:iCs/>
        </w:rPr>
        <w:fldChar w:fldCharType="end"/>
      </w:r>
      <w:r w:rsidRPr="00431018">
        <w:rPr>
          <w:b w:val="0"/>
          <w:bCs w:val="0"/>
          <w:i w:val="0"/>
          <w:iCs/>
        </w:rPr>
        <w:t>.</w:t>
      </w:r>
      <w:r w:rsidRPr="00B158C3">
        <w:rPr>
          <w:b w:val="0"/>
          <w:bCs w:val="0"/>
          <w:i w:val="0"/>
          <w:iCs/>
        </w:rPr>
        <w:t xml:space="preserve"> The experimental class used the Jigsaw learning strategy, where students worked collaboratively in small groups, sharing information and teaching one another to understand the material. This approach was designed to increase student engagement in the learning process, allowing them not only </w:t>
      </w:r>
      <w:r w:rsidRPr="00431018">
        <w:rPr>
          <w:b w:val="0"/>
          <w:bCs w:val="0"/>
          <w:i w:val="0"/>
          <w:iCs/>
        </w:rPr>
        <w:t>to gain a deeper understanding of the material but also to practice critical and analytical thinking</w:t>
      </w:r>
      <w:r w:rsidR="00431018" w:rsidRPr="00431018">
        <w:rPr>
          <w:b w:val="0"/>
          <w:bCs w:val="0"/>
          <w:i w:val="0"/>
          <w:iCs/>
        </w:rPr>
        <w:t xml:space="preserve"> </w:t>
      </w:r>
      <w:r w:rsidR="00431018" w:rsidRPr="00431018">
        <w:rPr>
          <w:b w:val="0"/>
          <w:bCs w:val="0"/>
          <w:i w:val="0"/>
          <w:iCs/>
        </w:rPr>
        <w:fldChar w:fldCharType="begin"/>
      </w:r>
      <w:r w:rsidR="00431018" w:rsidRPr="00431018">
        <w:rPr>
          <w:b w:val="0"/>
          <w:bCs w:val="0"/>
          <w:i w:val="0"/>
          <w:iCs/>
        </w:rPr>
        <w:instrText xml:space="preserve"> ADDIN ZOTERO_ITEM CSL_CITATION {"citationID":"MuuRzUfR","properties":{"formattedCitation":"(Wilson &amp; A/l Narasuman, 2020)","plainCitation":"(Wilson &amp; A/l Narasuman, 2020)","noteIndex":0},"citationItems":[{"id":810,"uris":["http://zotero.org/users/local/Wqqix2jN/items/GT4MWDNN"],"itemData":{"id":810,"type":"article-journal","abstract":"Higher Order Thinking Skills (HOTS) among students is crucial to be developed in the education system as to prepare students to face the 21st century situations as well as to develop students to reach their full potential. In Malaysia, the integration of HOTS in the new School Based Assessment is a move towards realizing the government's aspiration of achieving a quality education system. The study seeks to investigate teachers' challenges and their strategies on integrating Higher Order Thinking Skills (HOTS) in School Based Assessment (SBA). This study was conducted at three Secondary schools in Tawau, Sabah, Malaysia. This study has been conducted using the descriptive quantitative research design. The instrument used is questionnaire and 68 teachers who are teaching Form One, Form Two and Form Three students at the schools participated in this study. Data is analysed using descriptive statistic and frequency, percentage, mean and standard deviation are analysed by using SPSS package (version 22). The results of the finding outlined several challenges faced by the respondents during the integration of HOTS in SBA instruments. The findings in this study also highlight the strategies employed by teachers to integrate HOTS in SBA. \r\nKeywords: Challenges, Higher Order Thinking Skills (HOTS), School Based Assessment (SBA), and Strategies","container-title":"Asian Journal of University Education","DOI":"10.24191/ajue.v16i1.8991","ISSN":"2600-9749, 1823-7797","issue":"1","journalAbbreviation":"AJUE","license":"https://creativecommons.org/licenses/by-nc-nd/4.0/","page":"70","source":"DOI.org (Crossref)","title":"Investigating Teachers' Implementation and Strategies on Higher Order Thinking Skills in School Based Assessment Instruments","volume":"16","author":[{"family":"Wilson","given":"Diana Marie"},{"family":"A/l Narasuman","given":"Suthagar"}],"issued":{"date-parts":[["2020",4,28]]}}}],"schema":"https://github.com/citation-style-language/schema/raw/master/csl-citation.json"} </w:instrText>
      </w:r>
      <w:r w:rsidR="00431018" w:rsidRPr="00431018">
        <w:rPr>
          <w:b w:val="0"/>
          <w:bCs w:val="0"/>
          <w:i w:val="0"/>
          <w:iCs/>
        </w:rPr>
        <w:fldChar w:fldCharType="separate"/>
      </w:r>
      <w:r w:rsidR="00431018" w:rsidRPr="00431018">
        <w:rPr>
          <w:b w:val="0"/>
          <w:bCs w:val="0"/>
          <w:i w:val="0"/>
          <w:iCs/>
        </w:rPr>
        <w:t>(Wilson &amp; A/l Narasuman, 2020)</w:t>
      </w:r>
      <w:r w:rsidR="00431018" w:rsidRPr="00431018">
        <w:rPr>
          <w:b w:val="0"/>
          <w:bCs w:val="0"/>
          <w:i w:val="0"/>
          <w:iCs/>
        </w:rPr>
        <w:fldChar w:fldCharType="end"/>
      </w:r>
      <w:r w:rsidRPr="00431018">
        <w:rPr>
          <w:b w:val="0"/>
          <w:bCs w:val="0"/>
          <w:i w:val="0"/>
          <w:iCs/>
        </w:rPr>
        <w:t>. In contrast, the control class used the conventional teaching model</w:t>
      </w:r>
      <w:r w:rsidR="00431018" w:rsidRPr="00431018">
        <w:rPr>
          <w:b w:val="0"/>
          <w:bCs w:val="0"/>
          <w:i w:val="0"/>
          <w:iCs/>
        </w:rPr>
        <w:t xml:space="preserve"> </w:t>
      </w:r>
      <w:r w:rsidR="00431018" w:rsidRPr="00431018">
        <w:rPr>
          <w:b w:val="0"/>
          <w:bCs w:val="0"/>
          <w:i w:val="0"/>
          <w:iCs/>
        </w:rPr>
        <w:fldChar w:fldCharType="begin"/>
      </w:r>
      <w:r w:rsidR="00431018" w:rsidRPr="00431018">
        <w:rPr>
          <w:b w:val="0"/>
          <w:bCs w:val="0"/>
          <w:i w:val="0"/>
          <w:iCs/>
        </w:rPr>
        <w:instrText xml:space="preserve"> ADDIN ZOTERO_ITEM CSL_CITATION {"citationID":"pjOEw9Ja","properties":{"formattedCitation":"(Wu et al., 2024)","plainCitation":"(Wu et al., 2024)","noteIndex":0},"citationItems":[{"id":812,"uris":["http://zotero.org/users/local/Wqqix2jN/items/5SJ6FQ3P"],"itemData":{"id":812,"type":"article-journal","container-title":"The International Journal of Management Education","DOI":"10.1016/j.ijme.2024.100930","ISSN":"14728117","issue":"1","journalAbbreviation":"The International Journal of Management Education","language":"en","page":"100930","source":"DOI.org (Crossref)","title":"Integrating extended formative assessment in flipped jigsaw learning: Promoting learning engagement and higher-order thinking skills in international business education context","title-short":"Integrating extended formative assessment in flipped jigsaw learning","volume":"22","author":[{"family":"Wu","given":"Ting-Ting"},{"family":"Sari","given":"Noviati Aning Rizki Mustika"},{"family":"Huang","given":"Yueh-Min"}],"issued":{"date-parts":[["2024",3]]}}}],"schema":"https://github.com/citation-style-language/schema/raw/master/csl-citation.json"} </w:instrText>
      </w:r>
      <w:r w:rsidR="00431018" w:rsidRPr="00431018">
        <w:rPr>
          <w:b w:val="0"/>
          <w:bCs w:val="0"/>
          <w:i w:val="0"/>
          <w:iCs/>
        </w:rPr>
        <w:fldChar w:fldCharType="separate"/>
      </w:r>
      <w:r w:rsidR="00431018" w:rsidRPr="00431018">
        <w:rPr>
          <w:b w:val="0"/>
          <w:bCs w:val="0"/>
          <w:i w:val="0"/>
          <w:iCs/>
        </w:rPr>
        <w:t>(Wu et al., 2024)</w:t>
      </w:r>
      <w:r w:rsidR="00431018" w:rsidRPr="00431018">
        <w:rPr>
          <w:b w:val="0"/>
          <w:bCs w:val="0"/>
          <w:i w:val="0"/>
          <w:iCs/>
        </w:rPr>
        <w:fldChar w:fldCharType="end"/>
      </w:r>
      <w:r w:rsidRPr="00431018">
        <w:rPr>
          <w:b w:val="0"/>
          <w:bCs w:val="0"/>
          <w:i w:val="0"/>
          <w:iCs/>
        </w:rPr>
        <w:t>, where the teacher played the primary role in delivering the material, and the students acted more passively as listeners. By comparing the post-test results of both classes, the researcher aimed to identify how significantly the Jigsaw strategy impacted student learning outcomes and the development of their HOTS. This comparative analysis is expected to provide a clear understanding of the advantages of the Jigsaw method in creating</w:t>
      </w:r>
      <w:r w:rsidRPr="00B158C3">
        <w:rPr>
          <w:b w:val="0"/>
          <w:bCs w:val="0"/>
          <w:i w:val="0"/>
          <w:iCs/>
        </w:rPr>
        <w:t xml:space="preserve"> a more dynamic learning environment that fosters the development of higher-order thinking skills compared to traditional, less interactive teaching models.</w:t>
      </w:r>
    </w:p>
    <w:p w14:paraId="511FD6C4" w14:textId="793E6EC8" w:rsidR="00795A17" w:rsidRDefault="00795A17" w:rsidP="00795A17">
      <w:pPr>
        <w:pStyle w:val="Alishlah22heading2"/>
        <w:spacing w:before="0" w:after="0"/>
        <w:jc w:val="center"/>
        <w:rPr>
          <w:b w:val="0"/>
          <w:bCs w:val="0"/>
          <w:i w:val="0"/>
          <w:iCs/>
        </w:rPr>
      </w:pPr>
      <w:r>
        <w:lastRenderedPageBreak/>
        <w:drawing>
          <wp:inline distT="0" distB="0" distL="0" distR="0" wp14:anchorId="42896166" wp14:editId="2B6A68A9">
            <wp:extent cx="4572000" cy="2743200"/>
            <wp:effectExtent l="0" t="0" r="0" b="0"/>
            <wp:docPr id="1667472584" name="Chart 1">
              <a:extLst xmlns:a="http://schemas.openxmlformats.org/drawingml/2006/main">
                <a:ext uri="{FF2B5EF4-FFF2-40B4-BE49-F238E27FC236}">
                  <a16:creationId xmlns:a16="http://schemas.microsoft.com/office/drawing/2014/main" id="{B05C3BB6-5EBC-4A1F-EECD-5FAAF9FF61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C9BB83" w14:textId="02E0E3AA" w:rsidR="00795A17" w:rsidRDefault="00795A17" w:rsidP="00AE1C5B">
      <w:pPr>
        <w:pStyle w:val="Alishlah22heading2"/>
        <w:jc w:val="center"/>
        <w:rPr>
          <w:b w:val="0"/>
          <w:bCs w:val="0"/>
          <w:i w:val="0"/>
          <w:iCs/>
        </w:rPr>
      </w:pPr>
      <w:r w:rsidRPr="00795A17">
        <w:rPr>
          <w:i w:val="0"/>
          <w:iCs/>
        </w:rPr>
        <w:t>Figure 1.</w:t>
      </w:r>
      <w:r>
        <w:rPr>
          <w:b w:val="0"/>
          <w:bCs w:val="0"/>
          <w:i w:val="0"/>
          <w:iCs/>
        </w:rPr>
        <w:t xml:space="preserve"> </w:t>
      </w:r>
      <w:r w:rsidRPr="00795A17">
        <w:rPr>
          <w:b w:val="0"/>
          <w:bCs w:val="0"/>
          <w:i w:val="0"/>
          <w:iCs/>
        </w:rPr>
        <w:t>Comparison of Experimental and Control Class Grades</w:t>
      </w:r>
    </w:p>
    <w:p w14:paraId="3D9B4E7D" w14:textId="3C3346C8" w:rsidR="00B158C3" w:rsidRDefault="00B158C3" w:rsidP="00A10281">
      <w:pPr>
        <w:pStyle w:val="Alishlah22heading2"/>
        <w:spacing w:before="0" w:after="0"/>
        <w:ind w:firstLine="425"/>
        <w:jc w:val="both"/>
        <w:rPr>
          <w:b w:val="0"/>
          <w:bCs w:val="0"/>
          <w:i w:val="0"/>
          <w:iCs/>
        </w:rPr>
      </w:pPr>
      <w:r w:rsidRPr="00B158C3">
        <w:rPr>
          <w:b w:val="0"/>
          <w:bCs w:val="0"/>
          <w:i w:val="0"/>
          <w:iCs/>
        </w:rPr>
        <w:t>The initial test is crucial to implement as it serves to assess the foundational skills of the students before any intervention takes place</w:t>
      </w:r>
      <w:r w:rsidR="00431018">
        <w:rPr>
          <w:b w:val="0"/>
          <w:bCs w:val="0"/>
          <w:i w:val="0"/>
          <w:iCs/>
        </w:rPr>
        <w:t xml:space="preserve"> </w:t>
      </w:r>
      <w:r w:rsidR="00431018" w:rsidRPr="00431018">
        <w:rPr>
          <w:b w:val="0"/>
          <w:bCs w:val="0"/>
          <w:i w:val="0"/>
          <w:iCs/>
        </w:rPr>
        <w:fldChar w:fldCharType="begin"/>
      </w:r>
      <w:r w:rsidR="00431018" w:rsidRPr="00431018">
        <w:rPr>
          <w:b w:val="0"/>
          <w:bCs w:val="0"/>
          <w:i w:val="0"/>
          <w:iCs/>
        </w:rPr>
        <w:instrText xml:space="preserve"> ADDIN ZOTERO_ITEM CSL_CITATION {"citationID":"XL0PCiuP","properties":{"formattedCitation":"(Abdullah et al., 2016)","plainCitation":"(Abdullah et al., 2016)","noteIndex":0},"citationItems":[{"id":792,"uris":["http://zotero.org/users/local/Wqqix2jN/items/LYEXIE7Z"],"itemData":{"id":792,"type":"article-journal","container-title":"EURASIA Journal of Mathematics, Science and Technology Education","DOI":"10.12973/eurasia.2017.00601a","ISSN":"13058223","issue":"1","journalAbbreviation":"EURASIA J MATH SCI T","source":"DOI.org (Crossref)","title":"Mathematics Teachers’ Level of Knowledge and Practice on the Implementation of Higher-Order Thinking Skills (HOTS)","URL":"https://www.ejmste.com/article/mathematics-teachers-level-of-knowledge-and-practice-on-the-implementation-of-higher-order-thinking-4648","volume":"13","author":[{"family":"Abdullah","given":"Abdul Halim"},{"family":"Mokhtar","given":"Mahani"},{"family":"Abd Halim","given":"Noor Dayana"},{"family":"Ali","given":"Dayana Farzeeha"},{"family":"Mohd Tahir","given":"Lokman"},{"family":"Abdul Kohar","given":"Umar Haiyat"}],"accessed":{"date-parts":[["2024",9,25]]},"issued":{"date-parts":[["2016",10,26]]}}}],"schema":"https://github.com/citation-style-language/schema/raw/master/csl-citation.json"} </w:instrText>
      </w:r>
      <w:r w:rsidR="00431018" w:rsidRPr="00431018">
        <w:rPr>
          <w:b w:val="0"/>
          <w:bCs w:val="0"/>
          <w:i w:val="0"/>
          <w:iCs/>
        </w:rPr>
        <w:fldChar w:fldCharType="separate"/>
      </w:r>
      <w:r w:rsidR="00431018" w:rsidRPr="00431018">
        <w:rPr>
          <w:b w:val="0"/>
          <w:bCs w:val="0"/>
          <w:i w:val="0"/>
          <w:iCs/>
        </w:rPr>
        <w:t>(Abdullah et al., 2016)</w:t>
      </w:r>
      <w:r w:rsidR="00431018" w:rsidRPr="00431018">
        <w:rPr>
          <w:b w:val="0"/>
          <w:bCs w:val="0"/>
          <w:i w:val="0"/>
          <w:iCs/>
        </w:rPr>
        <w:fldChar w:fldCharType="end"/>
      </w:r>
      <w:r w:rsidRPr="00431018">
        <w:rPr>
          <w:b w:val="0"/>
          <w:bCs w:val="0"/>
          <w:i w:val="0"/>
          <w:iCs/>
        </w:rPr>
        <w:t>. Understanding these baseline abilities is essential for gauging how much progress the students can achieve after the instructional strategies have been applied</w:t>
      </w:r>
      <w:r w:rsidR="00431018" w:rsidRPr="00431018">
        <w:rPr>
          <w:b w:val="0"/>
          <w:bCs w:val="0"/>
          <w:i w:val="0"/>
          <w:iCs/>
        </w:rPr>
        <w:t xml:space="preserve"> </w:t>
      </w:r>
      <w:r w:rsidR="00431018" w:rsidRPr="00431018">
        <w:rPr>
          <w:b w:val="0"/>
          <w:bCs w:val="0"/>
          <w:i w:val="0"/>
          <w:iCs/>
        </w:rPr>
        <w:fldChar w:fldCharType="begin"/>
      </w:r>
      <w:r w:rsidR="00431018" w:rsidRPr="00431018">
        <w:rPr>
          <w:b w:val="0"/>
          <w:bCs w:val="0"/>
          <w:i w:val="0"/>
          <w:iCs/>
        </w:rPr>
        <w:instrText xml:space="preserve"> ADDIN ZOTERO_ITEM CSL_CITATION {"citationID":"1nxEyBzH","properties":{"formattedCitation":"(Lee Perry et al., 2018)","plainCitation":"(Lee Perry et al., 2018)","noteIndex":0},"citationItems":[{"id":800,"uris":["http://zotero.org/users/local/Wqqix2jN/items/KW4D4IF9"],"itemData":{"id":800,"type":"article-journal","container-title":"Combustion and Flame","DOI":"10.1016/j.combustflame.2017.11.017","ISSN":"00102180","journalAbbreviation":"Combustion and Flame","language":"en","page":"171-176","source":"DOI.org (Crossref)","title":"Relating microstructure, temperature, and chemistry to explosive ignition and shock sensitivity","volume":"190","author":[{"family":"Lee Perry","given":"W."},{"family":"Clements","given":"Brad"},{"family":"Ma","given":"Xia"},{"family":"Mang","given":"Joseph T."}],"issued":{"date-parts":[["2018",4]]}}}],"schema":"https://github.com/citation-style-language/schema/raw/master/csl-citation.json"} </w:instrText>
      </w:r>
      <w:r w:rsidR="00431018" w:rsidRPr="00431018">
        <w:rPr>
          <w:b w:val="0"/>
          <w:bCs w:val="0"/>
          <w:i w:val="0"/>
          <w:iCs/>
        </w:rPr>
        <w:fldChar w:fldCharType="separate"/>
      </w:r>
      <w:r w:rsidR="00431018" w:rsidRPr="00431018">
        <w:rPr>
          <w:b w:val="0"/>
          <w:bCs w:val="0"/>
          <w:i w:val="0"/>
          <w:iCs/>
        </w:rPr>
        <w:t>(Lee Perry et al., 2018)</w:t>
      </w:r>
      <w:r w:rsidR="00431018" w:rsidRPr="00431018">
        <w:rPr>
          <w:b w:val="0"/>
          <w:bCs w:val="0"/>
          <w:i w:val="0"/>
          <w:iCs/>
        </w:rPr>
        <w:fldChar w:fldCharType="end"/>
      </w:r>
      <w:r w:rsidRPr="00431018">
        <w:rPr>
          <w:b w:val="0"/>
          <w:bCs w:val="0"/>
          <w:i w:val="0"/>
          <w:iCs/>
        </w:rPr>
        <w:t xml:space="preserve">. </w:t>
      </w:r>
      <w:r w:rsidRPr="00B158C3">
        <w:rPr>
          <w:b w:val="0"/>
          <w:bCs w:val="0"/>
          <w:i w:val="0"/>
          <w:iCs/>
        </w:rPr>
        <w:t>By establishing this starting point, educators can set a benchmark for measuring changes in learning outcomes. The pre-test results highlight the students’ prior knowledge and skills, allowing teachers to tailor their approaches accordingly. Furthermore, this assessment not only helps in identifying areas where students may struggle but also facilitates the formulation of targeted instructional strategies that can effectively bridge the gap between their current abilities and the desired learning objectives. Thus, conducting a pre-test is not merely a procedural step; it is a fundamental aspect of the educational process that informs subsequent teaching practices and interventions.</w:t>
      </w:r>
    </w:p>
    <w:p w14:paraId="526A392D" w14:textId="502060D1" w:rsidR="00A10281" w:rsidRDefault="00B158C3" w:rsidP="00A10281">
      <w:pPr>
        <w:pStyle w:val="Alishlah22heading2"/>
        <w:spacing w:before="0" w:after="0"/>
        <w:ind w:firstLine="425"/>
        <w:jc w:val="both"/>
        <w:rPr>
          <w:b w:val="0"/>
          <w:bCs w:val="0"/>
          <w:i w:val="0"/>
          <w:iCs/>
        </w:rPr>
      </w:pPr>
      <w:r w:rsidRPr="00B158C3">
        <w:rPr>
          <w:b w:val="0"/>
          <w:bCs w:val="0"/>
          <w:i w:val="0"/>
          <w:iCs/>
        </w:rPr>
        <w:t>The next step involves the implementation of the Jigsaw learning model in the experimental class (VIII 1) while applying the conventional teaching model in the control class (VIII 2). Over the course of four meetings, students in both classes experience distinct instructional methods, allowing for a comprehensive analysis of their respective learning outcomes. The post-test results for both groups reveal significant insights into the effectiveness of the Jigsaw strategy. The analysis demonstrates that the Jigsaw model not only enhances student engagement but also fosters higher-order thinking skills (HOTS) among the participants. As a result, the findings align closely with the initial hypothesis posited in the research, confirming that the application of the Jigsaw method positively influences students' learning achievements in Social Studies for grade VIII at MTsS Ashhabul Yamin during the first semester of the 2023/2024 academic year. This evidence underscores the importance of adopting innovative teaching strategies that cater to the diverse learning needs of students, ultimately contributing to their academic success and personal development. To see the comparison of learning outcomes of experimental and control classes can be seen in the following table:</w:t>
      </w:r>
    </w:p>
    <w:p w14:paraId="7BB12DE1" w14:textId="4744EB67" w:rsidR="00795A17" w:rsidRPr="00A10281" w:rsidRDefault="00795A17" w:rsidP="00A10281">
      <w:pPr>
        <w:pStyle w:val="Alishlah22heading2"/>
        <w:jc w:val="center"/>
        <w:rPr>
          <w:b w:val="0"/>
          <w:bCs w:val="0"/>
          <w:i w:val="0"/>
          <w:iCs/>
          <w:sz w:val="18"/>
          <w:szCs w:val="20"/>
        </w:rPr>
      </w:pPr>
      <w:r w:rsidRPr="00A10281">
        <w:rPr>
          <w:i w:val="0"/>
          <w:iCs/>
          <w:sz w:val="18"/>
          <w:szCs w:val="20"/>
        </w:rPr>
        <w:t>Table 1.</w:t>
      </w:r>
      <w:r w:rsidRPr="00A10281">
        <w:rPr>
          <w:b w:val="0"/>
          <w:bCs w:val="0"/>
          <w:i w:val="0"/>
          <w:iCs/>
          <w:sz w:val="18"/>
          <w:szCs w:val="20"/>
        </w:rPr>
        <w:t xml:space="preserve"> Comparison of Mean Values of Experimental and Control Classes</w:t>
      </w:r>
    </w:p>
    <w:tbl>
      <w:tblPr>
        <w:tblW w:w="0" w:type="auto"/>
        <w:jc w:val="center"/>
        <w:tblBorders>
          <w:top w:val="single" w:sz="8" w:space="0" w:color="auto"/>
          <w:bottom w:val="single" w:sz="8" w:space="0" w:color="auto"/>
        </w:tblBorders>
        <w:tblLook w:val="04A0" w:firstRow="1" w:lastRow="0" w:firstColumn="1" w:lastColumn="0" w:noHBand="0" w:noVBand="1"/>
      </w:tblPr>
      <w:tblGrid>
        <w:gridCol w:w="1819"/>
        <w:gridCol w:w="1819"/>
        <w:gridCol w:w="1819"/>
      </w:tblGrid>
      <w:tr w:rsidR="00795A17" w:rsidRPr="002B31FD" w14:paraId="71156091" w14:textId="77777777" w:rsidTr="00795A17">
        <w:trPr>
          <w:trHeight w:val="255"/>
          <w:jc w:val="center"/>
        </w:trPr>
        <w:tc>
          <w:tcPr>
            <w:tcW w:w="1819" w:type="dxa"/>
            <w:tcBorders>
              <w:bottom w:val="single" w:sz="4" w:space="0" w:color="auto"/>
            </w:tcBorders>
            <w:shd w:val="clear" w:color="auto" w:fill="auto"/>
            <w:vAlign w:val="center"/>
          </w:tcPr>
          <w:p w14:paraId="4BD38CEE" w14:textId="77B58046" w:rsidR="00795A17" w:rsidRPr="00932941" w:rsidRDefault="00932941" w:rsidP="00932941">
            <w:pPr>
              <w:pStyle w:val="Alishlah42tablebody"/>
              <w:jc w:val="left"/>
            </w:pPr>
            <w:r w:rsidRPr="00932941">
              <w:t>Average</w:t>
            </w:r>
          </w:p>
        </w:tc>
        <w:tc>
          <w:tcPr>
            <w:tcW w:w="1819" w:type="dxa"/>
            <w:tcBorders>
              <w:bottom w:val="single" w:sz="4" w:space="0" w:color="auto"/>
            </w:tcBorders>
            <w:shd w:val="clear" w:color="auto" w:fill="auto"/>
            <w:vAlign w:val="center"/>
          </w:tcPr>
          <w:p w14:paraId="0DD265A0" w14:textId="17896BE5" w:rsidR="00795A17" w:rsidRPr="002B31FD" w:rsidRDefault="00795A17" w:rsidP="007623E5">
            <w:pPr>
              <w:pStyle w:val="Alishlah42tablebody"/>
              <w:rPr>
                <w:b/>
                <w:bCs/>
              </w:rPr>
            </w:pPr>
            <w:r w:rsidRPr="00795A17">
              <w:rPr>
                <w:iCs/>
              </w:rPr>
              <w:t>Experimental Class</w:t>
            </w:r>
          </w:p>
        </w:tc>
        <w:tc>
          <w:tcPr>
            <w:tcW w:w="1819" w:type="dxa"/>
            <w:tcBorders>
              <w:bottom w:val="single" w:sz="4" w:space="0" w:color="auto"/>
            </w:tcBorders>
            <w:shd w:val="clear" w:color="auto" w:fill="auto"/>
            <w:vAlign w:val="center"/>
          </w:tcPr>
          <w:p w14:paraId="4D8B74B0" w14:textId="77777777" w:rsidR="00795A17" w:rsidRDefault="00795A17" w:rsidP="00795A17">
            <w:pPr>
              <w:pStyle w:val="Alishlah22heading2"/>
              <w:spacing w:before="0" w:after="0"/>
              <w:jc w:val="center"/>
              <w:rPr>
                <w:b w:val="0"/>
                <w:bCs w:val="0"/>
                <w:i w:val="0"/>
                <w:iCs/>
              </w:rPr>
            </w:pPr>
            <w:r w:rsidRPr="00795A17">
              <w:rPr>
                <w:b w:val="0"/>
                <w:bCs w:val="0"/>
                <w:i w:val="0"/>
                <w:iCs/>
              </w:rPr>
              <w:t>Control Class</w:t>
            </w:r>
          </w:p>
          <w:p w14:paraId="5B915276" w14:textId="6D96CEE1" w:rsidR="00795A17" w:rsidRPr="002B31FD" w:rsidRDefault="00795A17" w:rsidP="007623E5">
            <w:pPr>
              <w:pStyle w:val="Alishlah42tablebody"/>
              <w:rPr>
                <w:b/>
                <w:bCs/>
              </w:rPr>
            </w:pPr>
          </w:p>
        </w:tc>
      </w:tr>
      <w:tr w:rsidR="00795A17" w:rsidRPr="002B31FD" w14:paraId="68A5B49F" w14:textId="77777777" w:rsidTr="00795A17">
        <w:trPr>
          <w:trHeight w:val="284"/>
          <w:jc w:val="center"/>
        </w:trPr>
        <w:tc>
          <w:tcPr>
            <w:tcW w:w="1819" w:type="dxa"/>
            <w:shd w:val="clear" w:color="auto" w:fill="auto"/>
            <w:vAlign w:val="center"/>
          </w:tcPr>
          <w:p w14:paraId="5C268380" w14:textId="10EC244B" w:rsidR="00795A17" w:rsidRPr="002B31FD" w:rsidRDefault="00795A17" w:rsidP="007623E5">
            <w:pPr>
              <w:pStyle w:val="Alishlah42tablebody"/>
            </w:pPr>
            <w:proofErr w:type="gramStart"/>
            <w:r w:rsidRPr="00795A17">
              <w:rPr>
                <w:iCs/>
              </w:rPr>
              <w:t>Pre</w:t>
            </w:r>
            <w:r>
              <w:rPr>
                <w:iCs/>
              </w:rPr>
              <w:t xml:space="preserve"> T</w:t>
            </w:r>
            <w:r w:rsidRPr="00795A17">
              <w:rPr>
                <w:iCs/>
              </w:rPr>
              <w:t>est</w:t>
            </w:r>
            <w:proofErr w:type="gramEnd"/>
          </w:p>
        </w:tc>
        <w:tc>
          <w:tcPr>
            <w:tcW w:w="1819" w:type="dxa"/>
            <w:shd w:val="clear" w:color="auto" w:fill="auto"/>
            <w:vAlign w:val="center"/>
          </w:tcPr>
          <w:p w14:paraId="4C8FA3D6" w14:textId="50D6796A" w:rsidR="00795A17" w:rsidRPr="002B31FD" w:rsidRDefault="00795A17" w:rsidP="007623E5">
            <w:pPr>
              <w:pStyle w:val="Alishlah42tablebody"/>
            </w:pPr>
            <w:r w:rsidRPr="00795A17">
              <w:rPr>
                <w:iCs/>
              </w:rPr>
              <w:t>60</w:t>
            </w:r>
            <w:r w:rsidR="00CF5063">
              <w:rPr>
                <w:iCs/>
              </w:rPr>
              <w:t>,</w:t>
            </w:r>
            <w:r w:rsidRPr="00795A17">
              <w:rPr>
                <w:iCs/>
              </w:rPr>
              <w:t>44</w:t>
            </w:r>
          </w:p>
        </w:tc>
        <w:tc>
          <w:tcPr>
            <w:tcW w:w="1819" w:type="dxa"/>
            <w:shd w:val="clear" w:color="auto" w:fill="auto"/>
            <w:vAlign w:val="center"/>
          </w:tcPr>
          <w:p w14:paraId="3D8D1685" w14:textId="7B04F55C" w:rsidR="00795A17" w:rsidRPr="002B31FD" w:rsidRDefault="00795A17" w:rsidP="007623E5">
            <w:pPr>
              <w:pStyle w:val="Alishlah42tablebody"/>
            </w:pPr>
            <w:r w:rsidRPr="00795A17">
              <w:rPr>
                <w:iCs/>
              </w:rPr>
              <w:t>68</w:t>
            </w:r>
            <w:r w:rsidR="00CF5063">
              <w:rPr>
                <w:iCs/>
              </w:rPr>
              <w:t>,</w:t>
            </w:r>
            <w:r w:rsidRPr="00795A17">
              <w:rPr>
                <w:iCs/>
              </w:rPr>
              <w:t>26</w:t>
            </w:r>
          </w:p>
        </w:tc>
      </w:tr>
      <w:tr w:rsidR="00795A17" w:rsidRPr="002B31FD" w14:paraId="4C605102" w14:textId="77777777" w:rsidTr="00795A17">
        <w:trPr>
          <w:trHeight w:val="284"/>
          <w:jc w:val="center"/>
        </w:trPr>
        <w:tc>
          <w:tcPr>
            <w:tcW w:w="1819" w:type="dxa"/>
            <w:shd w:val="clear" w:color="auto" w:fill="auto"/>
            <w:vAlign w:val="center"/>
          </w:tcPr>
          <w:p w14:paraId="380F1C77" w14:textId="30324378" w:rsidR="00795A17" w:rsidRPr="002B31FD" w:rsidRDefault="00795A17" w:rsidP="007623E5">
            <w:pPr>
              <w:pStyle w:val="Alishlah42tablebody"/>
            </w:pPr>
            <w:r>
              <w:t>Post Test</w:t>
            </w:r>
          </w:p>
        </w:tc>
        <w:tc>
          <w:tcPr>
            <w:tcW w:w="1819" w:type="dxa"/>
            <w:shd w:val="clear" w:color="auto" w:fill="auto"/>
            <w:vAlign w:val="center"/>
          </w:tcPr>
          <w:p w14:paraId="36C3DFDE" w14:textId="4E82DCA2" w:rsidR="00795A17" w:rsidRPr="002B31FD" w:rsidRDefault="00795A17" w:rsidP="007623E5">
            <w:pPr>
              <w:pStyle w:val="Alishlah42tablebody"/>
            </w:pPr>
            <w:r w:rsidRPr="00795A17">
              <w:rPr>
                <w:iCs/>
              </w:rPr>
              <w:t>84</w:t>
            </w:r>
            <w:r w:rsidR="00CF5063">
              <w:rPr>
                <w:iCs/>
              </w:rPr>
              <w:t>,</w:t>
            </w:r>
            <w:r w:rsidRPr="00795A17">
              <w:rPr>
                <w:iCs/>
              </w:rPr>
              <w:t>89</w:t>
            </w:r>
          </w:p>
        </w:tc>
        <w:tc>
          <w:tcPr>
            <w:tcW w:w="1819" w:type="dxa"/>
            <w:shd w:val="clear" w:color="auto" w:fill="auto"/>
            <w:vAlign w:val="center"/>
          </w:tcPr>
          <w:p w14:paraId="13700AF0" w14:textId="704B361D" w:rsidR="00795A17" w:rsidRPr="002B31FD" w:rsidRDefault="00795A17" w:rsidP="007623E5">
            <w:pPr>
              <w:pStyle w:val="Alishlah42tablebody"/>
            </w:pPr>
            <w:r w:rsidRPr="00795A17">
              <w:rPr>
                <w:iCs/>
              </w:rPr>
              <w:t>71</w:t>
            </w:r>
            <w:r w:rsidR="00CF5063">
              <w:rPr>
                <w:iCs/>
              </w:rPr>
              <w:t>,</w:t>
            </w:r>
            <w:r w:rsidRPr="00795A17">
              <w:rPr>
                <w:iCs/>
              </w:rPr>
              <w:t>07</w:t>
            </w:r>
          </w:p>
        </w:tc>
      </w:tr>
      <w:tr w:rsidR="00795A17" w:rsidRPr="002B31FD" w14:paraId="16F315C3" w14:textId="77777777" w:rsidTr="00795A17">
        <w:trPr>
          <w:trHeight w:val="284"/>
          <w:jc w:val="center"/>
        </w:trPr>
        <w:tc>
          <w:tcPr>
            <w:tcW w:w="1819" w:type="dxa"/>
            <w:shd w:val="clear" w:color="auto" w:fill="auto"/>
            <w:vAlign w:val="center"/>
          </w:tcPr>
          <w:p w14:paraId="4EBCD292" w14:textId="00FF119E" w:rsidR="00795A17" w:rsidRPr="002B31FD" w:rsidRDefault="00795A17" w:rsidP="007623E5">
            <w:pPr>
              <w:pStyle w:val="Alishlah42tablebody"/>
            </w:pPr>
            <w:r w:rsidRPr="00795A17">
              <w:rPr>
                <w:iCs/>
              </w:rPr>
              <w:t>Difference</w:t>
            </w:r>
          </w:p>
        </w:tc>
        <w:tc>
          <w:tcPr>
            <w:tcW w:w="1819" w:type="dxa"/>
            <w:shd w:val="clear" w:color="auto" w:fill="auto"/>
            <w:vAlign w:val="center"/>
          </w:tcPr>
          <w:p w14:paraId="3CE7131D" w14:textId="616EBE60" w:rsidR="00795A17" w:rsidRPr="002B31FD" w:rsidRDefault="00795A17" w:rsidP="007623E5">
            <w:pPr>
              <w:pStyle w:val="Alishlah42tablebody"/>
            </w:pPr>
            <w:r w:rsidRPr="00795A17">
              <w:rPr>
                <w:iCs/>
              </w:rPr>
              <w:t>19</w:t>
            </w:r>
            <w:r w:rsidR="00CF5063">
              <w:rPr>
                <w:iCs/>
              </w:rPr>
              <w:t>,</w:t>
            </w:r>
            <w:r w:rsidRPr="00795A17">
              <w:rPr>
                <w:iCs/>
              </w:rPr>
              <w:t>85</w:t>
            </w:r>
          </w:p>
        </w:tc>
        <w:tc>
          <w:tcPr>
            <w:tcW w:w="1819" w:type="dxa"/>
            <w:shd w:val="clear" w:color="auto" w:fill="auto"/>
            <w:vAlign w:val="center"/>
          </w:tcPr>
          <w:p w14:paraId="07D524D8" w14:textId="037614EC" w:rsidR="00795A17" w:rsidRPr="002B31FD" w:rsidRDefault="00795A17" w:rsidP="007623E5">
            <w:pPr>
              <w:pStyle w:val="Alishlah42tablebody"/>
            </w:pPr>
            <w:r w:rsidRPr="00795A17">
              <w:rPr>
                <w:iCs/>
              </w:rPr>
              <w:t>4</w:t>
            </w:r>
            <w:r w:rsidR="00CF5063">
              <w:rPr>
                <w:iCs/>
              </w:rPr>
              <w:t>,</w:t>
            </w:r>
            <w:r w:rsidRPr="00795A17">
              <w:rPr>
                <w:iCs/>
              </w:rPr>
              <w:t>44</w:t>
            </w:r>
          </w:p>
        </w:tc>
      </w:tr>
    </w:tbl>
    <w:p w14:paraId="64541B90" w14:textId="052F1A3B" w:rsidR="00B158C3" w:rsidRDefault="00B158C3" w:rsidP="00AE1C5B">
      <w:pPr>
        <w:pStyle w:val="Alishlah22heading2"/>
        <w:spacing w:before="0" w:after="240"/>
        <w:ind w:firstLine="425"/>
        <w:jc w:val="both"/>
        <w:rPr>
          <w:b w:val="0"/>
          <w:bCs w:val="0"/>
          <w:i w:val="0"/>
          <w:iCs/>
        </w:rPr>
      </w:pPr>
      <w:r w:rsidRPr="00B158C3">
        <w:rPr>
          <w:b w:val="0"/>
          <w:bCs w:val="0"/>
          <w:i w:val="0"/>
          <w:iCs/>
        </w:rPr>
        <w:lastRenderedPageBreak/>
        <w:t>Based on the table above, it can be observed that the average score of the experimental class experienced a significant increase, which indicates that the treatment was effective in improving student learning outcomes. This implies that the Jigsaw learning strategy integrated with the higher order thinking skills (HOTS) approach in the experimental class has successfully encouraged better achievement in terms of understanding and application of learning materials. The average score of the experimental class increased from 60.44 to 84.89. This shows an increase of 19.85. While the control class also increased from an average of 68.26 to 71.07 which shows an increase of 4.44. So seen from the quantity, the increase in the average value of the experimental class is higher than the control class. So it can be concluded that the average value of the experimental class has increased. For more details, the comparison of the average scores of the two classes can be seen in the following diagram:</w:t>
      </w:r>
    </w:p>
    <w:p w14:paraId="1A146DCD" w14:textId="0CA99A08" w:rsidR="00A10281" w:rsidRDefault="0085387F" w:rsidP="0085387F">
      <w:pPr>
        <w:pStyle w:val="Alishlah22heading2"/>
        <w:spacing w:before="0" w:after="0"/>
        <w:ind w:firstLine="425"/>
        <w:jc w:val="center"/>
        <w:rPr>
          <w:b w:val="0"/>
          <w:bCs w:val="0"/>
          <w:i w:val="0"/>
          <w:iCs/>
        </w:rPr>
      </w:pPr>
      <w:r>
        <w:drawing>
          <wp:inline distT="0" distB="0" distL="0" distR="0" wp14:anchorId="6186E352" wp14:editId="0ECBA665">
            <wp:extent cx="3838575" cy="1819275"/>
            <wp:effectExtent l="0" t="0" r="9525" b="9525"/>
            <wp:docPr id="1251224967" name="Chart 1">
              <a:extLst xmlns:a="http://schemas.openxmlformats.org/drawingml/2006/main">
                <a:ext uri="{FF2B5EF4-FFF2-40B4-BE49-F238E27FC236}">
                  <a16:creationId xmlns:a16="http://schemas.microsoft.com/office/drawing/2014/main" id="{B5E635D1-9407-154F-389D-1480A0AB3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C652A9" w14:textId="474EF0A1" w:rsidR="00A10281" w:rsidRPr="00CF5063" w:rsidRDefault="00CF5063" w:rsidP="00AE1C5B">
      <w:pPr>
        <w:pStyle w:val="Alishlah22heading2"/>
        <w:ind w:firstLine="425"/>
        <w:jc w:val="center"/>
        <w:rPr>
          <w:b w:val="0"/>
          <w:bCs w:val="0"/>
          <w:i w:val="0"/>
          <w:iCs/>
          <w:sz w:val="18"/>
          <w:szCs w:val="20"/>
        </w:rPr>
      </w:pPr>
      <w:r w:rsidRPr="00CF5063">
        <w:rPr>
          <w:i w:val="0"/>
          <w:iCs/>
          <w:sz w:val="18"/>
          <w:szCs w:val="20"/>
        </w:rPr>
        <w:t>Figure 2</w:t>
      </w:r>
      <w:r>
        <w:rPr>
          <w:i w:val="0"/>
          <w:iCs/>
          <w:sz w:val="18"/>
          <w:szCs w:val="20"/>
        </w:rPr>
        <w:t>.</w:t>
      </w:r>
      <w:r w:rsidRPr="00CF5063">
        <w:rPr>
          <w:b w:val="0"/>
          <w:bCs w:val="0"/>
          <w:i w:val="0"/>
          <w:iCs/>
          <w:sz w:val="18"/>
          <w:szCs w:val="20"/>
        </w:rPr>
        <w:t xml:space="preserve"> Comparison of Average Scores between the Control Class and Experimental Class</w:t>
      </w:r>
    </w:p>
    <w:p w14:paraId="161C26F8" w14:textId="363DCDE1" w:rsidR="003B06AC" w:rsidRDefault="00B158C3" w:rsidP="003B06AC">
      <w:pPr>
        <w:pStyle w:val="Alishlah22heading2"/>
        <w:spacing w:before="0" w:after="0"/>
        <w:ind w:firstLine="425"/>
        <w:jc w:val="both"/>
        <w:rPr>
          <w:b w:val="0"/>
          <w:bCs w:val="0"/>
          <w:i w:val="0"/>
          <w:iCs/>
        </w:rPr>
      </w:pPr>
      <w:r w:rsidRPr="00B158C3">
        <w:rPr>
          <w:b w:val="0"/>
          <w:bCs w:val="0"/>
          <w:i w:val="0"/>
          <w:iCs/>
        </w:rPr>
        <w:t>The significant difference in learning outcomes between the experimental class that implemented the Jigsaw Learning model and the control class that used conventional teaching methods can be explained by the fundamental differences in the approaches of these two models. In the conventional model, the learning process tends to be teacher-centered, where students act as passive recipients of information. This method often fails to account for the variations in students' needs, potential, and learning styles. In contrast, the experimental class that employed the Jigsaw Learning model applied a more active and collaborative learning approach, where each student had the opportunity to play a vital role in the learning process. The Jigsaw model facilitates interaction among students, allowing them to learn from one another while accommodating individual differences in learning styles. This approach supports the needs of students with auditory, visual, and kinesthetic learning styles by giving them the freedom to process information according to their preferences and strengths.</w:t>
      </w:r>
    </w:p>
    <w:p w14:paraId="46FF78CD" w14:textId="2983D46D" w:rsidR="003B06AC" w:rsidRDefault="003B06AC" w:rsidP="003B06AC">
      <w:pPr>
        <w:pStyle w:val="Alishlah22heading2"/>
        <w:spacing w:after="0"/>
      </w:pPr>
      <w:r>
        <w:t>3</w:t>
      </w:r>
      <w:r w:rsidRPr="004841C5">
        <w:t>.</w:t>
      </w:r>
      <w:r>
        <w:t>2</w:t>
      </w:r>
      <w:r w:rsidRPr="004841C5">
        <w:t xml:space="preserve">. </w:t>
      </w:r>
      <w:r>
        <w:t>The Role of Jigsaw Learning Strategy in Improving Students' Higher Level Thinking Skills in Social Science</w:t>
      </w:r>
    </w:p>
    <w:p w14:paraId="0CE0338C" w14:textId="59D2AB3A" w:rsidR="003B06AC" w:rsidRDefault="003B06AC" w:rsidP="003B06AC">
      <w:pPr>
        <w:pStyle w:val="Alishlah22heading2"/>
        <w:spacing w:before="0" w:after="0"/>
        <w:ind w:firstLine="425"/>
        <w:jc w:val="both"/>
        <w:rPr>
          <w:b w:val="0"/>
          <w:bCs w:val="0"/>
          <w:i w:val="0"/>
          <w:iCs/>
        </w:rPr>
      </w:pPr>
      <w:r w:rsidRPr="00B158C3">
        <w:rPr>
          <w:b w:val="0"/>
          <w:bCs w:val="0"/>
          <w:i w:val="0"/>
          <w:iCs/>
        </w:rPr>
        <w:t>The Jigsaw Learning model plays a crucial role in aligning the learning process with the concept of multiple intelligences, which suggests that each student possesses unique strengths in particular areas, such as the arts, literacy, mathematics, or natural sciences</w:t>
      </w:r>
      <w:r w:rsidR="003F3F5C">
        <w:rPr>
          <w:b w:val="0"/>
          <w:bCs w:val="0"/>
          <w:i w:val="0"/>
          <w:iCs/>
        </w:rPr>
        <w:t xml:space="preserve"> </w:t>
      </w:r>
      <w:r w:rsidR="003F3F5C" w:rsidRPr="00431018">
        <w:rPr>
          <w:b w:val="0"/>
          <w:bCs w:val="0"/>
          <w:i w:val="0"/>
          <w:iCs/>
        </w:rPr>
        <w:fldChar w:fldCharType="begin"/>
      </w:r>
      <w:r w:rsidR="003F3F5C" w:rsidRPr="00431018">
        <w:rPr>
          <w:b w:val="0"/>
          <w:bCs w:val="0"/>
          <w:i w:val="0"/>
          <w:iCs/>
        </w:rPr>
        <w:instrText xml:space="preserve"> ADDIN ZOTERO_ITEM CSL_CITATION {"citationID":"RILePTlk","properties":{"formattedCitation":"(Wartono et al., 2017)","plainCitation":"(Wartono et al., 2017)","noteIndex":0},"citationItems":[{"id":808,"uris":["http://zotero.org/users/local/Wqqix2jN/items/2KPJ64WH"],"itemData":{"id":808,"type":"article-journal","container-title":"EURASIA Journal of Mathematics, Science and Technology Education","DOI":"10.12973/ejmste/80632","ISSN":"13058223","issue":"2","journalAbbreviation":"EURASIA J MATH SCI T","source":"DOI.org (Crossref)","title":"How Are The Physics Critical Thinking Skills of The Students Taught by Using Inquiry-Discovery Through Empirical and Theorethical Overview?","URL":"https://www.ejmste.com/article/how-are-the-physics-critical-thinking-skills-of-the-students-taught-by-using-inquiry-discovery-5295","volume":"14","author":[{"family":"Wartono","given":"Wartono"},{"family":"Hudha","given":"Muhammad Nur"},{"family":"Batlolona","given":"John Rafafy"}],"accessed":{"date-parts":[["2024",9,25]]},"issued":{"date-parts":[["2017",11,20]]}}}],"schema":"https://github.com/citation-style-language/schema/raw/master/csl-citation.json"} </w:instrText>
      </w:r>
      <w:r w:rsidR="003F3F5C" w:rsidRPr="00431018">
        <w:rPr>
          <w:b w:val="0"/>
          <w:bCs w:val="0"/>
          <w:i w:val="0"/>
          <w:iCs/>
        </w:rPr>
        <w:fldChar w:fldCharType="separate"/>
      </w:r>
      <w:r w:rsidR="003F3F5C" w:rsidRPr="00431018">
        <w:rPr>
          <w:b w:val="0"/>
          <w:bCs w:val="0"/>
          <w:i w:val="0"/>
          <w:iCs/>
        </w:rPr>
        <w:t>(Wartono et al., 2017)</w:t>
      </w:r>
      <w:r w:rsidR="003F3F5C" w:rsidRPr="00431018">
        <w:rPr>
          <w:b w:val="0"/>
          <w:bCs w:val="0"/>
          <w:i w:val="0"/>
          <w:iCs/>
        </w:rPr>
        <w:fldChar w:fldCharType="end"/>
      </w:r>
      <w:r w:rsidRPr="00B158C3">
        <w:rPr>
          <w:b w:val="0"/>
          <w:bCs w:val="0"/>
          <w:i w:val="0"/>
          <w:iCs/>
        </w:rPr>
        <w:t>. By treating students as individuals with distinct abilities and learning methods, the Jigsaw model motivates students and makes them feel valued in the learning process. This stands in stark contrast to conventional models, which often overlook these differences and assume that all students learn in a uniform way</w:t>
      </w:r>
      <w:r w:rsidR="003F3F5C">
        <w:rPr>
          <w:b w:val="0"/>
          <w:bCs w:val="0"/>
          <w:i w:val="0"/>
          <w:iCs/>
        </w:rPr>
        <w:t xml:space="preserve"> </w:t>
      </w:r>
      <w:r w:rsidR="003F3F5C" w:rsidRPr="003F3F5C">
        <w:rPr>
          <w:b w:val="0"/>
          <w:bCs w:val="0"/>
          <w:i w:val="0"/>
          <w:iCs/>
          <w:szCs w:val="20"/>
        </w:rPr>
        <w:fldChar w:fldCharType="begin"/>
      </w:r>
      <w:r w:rsidR="003F3F5C" w:rsidRPr="003F3F5C">
        <w:rPr>
          <w:b w:val="0"/>
          <w:bCs w:val="0"/>
          <w:i w:val="0"/>
          <w:iCs/>
          <w:szCs w:val="20"/>
        </w:rPr>
        <w:instrText xml:space="preserve"> ADDIN ZOTERO_ITEM CSL_CITATION {"citationID":"IufuksBI","properties":{"formattedCitation":"(Lee, 2023)","plainCitation":"(Lee, 2023)","noteIndex":0},"citationItems":[{"id":"hiqTCfwy/q1asa9vM","uris":["http://zotero.org/users/local/Pjdjlz4D/items/IIKWKN2T"],"itemData":{"id":530,"type":"article-journal","container-title":"Heliyon","DOI":"10.1016/j.heliyon.2023.e20420","ISSN":"24058440","issue":"10","journalAbbreviation":"Heliyon","language":"en","page":"e20420","source":"DOI.org (Crossref)","title":"Effectiveness of gamification and selection of appropriate teaching methods of creativity: Students’ perspectives","title-short":"Effectiveness of gamification and selection of appropriate teaching methods of creativity","volume":"9","author":[{"family":"Lee","given":"Kuo-Wei"}],"issued":{"date-parts":[["2023",10]]}}}],"schema":"https://github.com/citation-style-language/schema/raw/master/csl-citation.json"} </w:instrText>
      </w:r>
      <w:r w:rsidR="003F3F5C" w:rsidRPr="003F3F5C">
        <w:rPr>
          <w:b w:val="0"/>
          <w:bCs w:val="0"/>
          <w:i w:val="0"/>
          <w:iCs/>
          <w:szCs w:val="20"/>
        </w:rPr>
        <w:fldChar w:fldCharType="separate"/>
      </w:r>
      <w:r w:rsidR="003F3F5C" w:rsidRPr="003F3F5C">
        <w:rPr>
          <w:b w:val="0"/>
          <w:bCs w:val="0"/>
          <w:i w:val="0"/>
          <w:iCs/>
          <w:szCs w:val="18"/>
        </w:rPr>
        <w:t>(Lee, 2023)</w:t>
      </w:r>
      <w:r w:rsidR="003F3F5C" w:rsidRPr="003F3F5C">
        <w:rPr>
          <w:b w:val="0"/>
          <w:bCs w:val="0"/>
          <w:i w:val="0"/>
          <w:iCs/>
          <w:szCs w:val="20"/>
        </w:rPr>
        <w:fldChar w:fldCharType="end"/>
      </w:r>
      <w:r w:rsidRPr="003F3F5C">
        <w:rPr>
          <w:b w:val="0"/>
          <w:bCs w:val="0"/>
          <w:i w:val="0"/>
          <w:iCs/>
        </w:rPr>
        <w:t>.</w:t>
      </w:r>
      <w:r w:rsidRPr="00B158C3">
        <w:rPr>
          <w:b w:val="0"/>
          <w:bCs w:val="0"/>
          <w:i w:val="0"/>
          <w:iCs/>
        </w:rPr>
        <w:t xml:space="preserve"> As a result, the application of the Jigsaw model in the experimental class has demonstrated a significant improvement in learning outcomes, as it allows students to develop their potential more fully. Learning that is tailored to individual needs and strengths not only enhances students' understanding of the material but also helps them cultivate essential social, communication, and collaboration skills that are vital in both education and the modern workforce.</w:t>
      </w:r>
    </w:p>
    <w:p w14:paraId="333E7986" w14:textId="77777777" w:rsidR="003B06AC" w:rsidRPr="003B06AC" w:rsidRDefault="003B06AC" w:rsidP="003B06AC">
      <w:pPr>
        <w:pStyle w:val="Alishlah22heading2"/>
        <w:spacing w:before="0" w:after="0"/>
        <w:ind w:firstLine="425"/>
        <w:jc w:val="both"/>
        <w:rPr>
          <w:b w:val="0"/>
          <w:bCs w:val="0"/>
          <w:i w:val="0"/>
          <w:iCs/>
        </w:rPr>
      </w:pPr>
    </w:p>
    <w:p w14:paraId="09D74E8E" w14:textId="172D1E37" w:rsidR="00A26463" w:rsidRPr="00AE1C5B" w:rsidRDefault="00947DB3" w:rsidP="00AE1C5B">
      <w:pPr>
        <w:pStyle w:val="ListParagraph"/>
        <w:tabs>
          <w:tab w:val="left" w:pos="1701"/>
          <w:tab w:val="left" w:pos="1985"/>
        </w:tabs>
        <w:spacing w:before="240" w:after="120" w:line="240" w:lineRule="auto"/>
        <w:ind w:left="567"/>
        <w:jc w:val="center"/>
        <w:rPr>
          <w:rFonts w:ascii="Palatino Linotype" w:hAnsi="Palatino Linotype"/>
          <w:sz w:val="18"/>
          <w:szCs w:val="18"/>
        </w:rPr>
      </w:pPr>
      <w:r w:rsidRPr="00947DB3">
        <w:rPr>
          <w:rStyle w:val="Strong"/>
          <w:rFonts w:ascii="Palatino Linotype" w:hAnsi="Palatino Linotype"/>
          <w:sz w:val="18"/>
          <w:szCs w:val="18"/>
        </w:rPr>
        <w:lastRenderedPageBreak/>
        <w:t>Table 2.</w:t>
      </w:r>
      <w:r w:rsidRPr="00947DB3">
        <w:rPr>
          <w:rStyle w:val="Strong"/>
          <w:rFonts w:ascii="Palatino Linotype" w:hAnsi="Palatino Linotype"/>
          <w:b w:val="0"/>
          <w:bCs w:val="0"/>
          <w:sz w:val="18"/>
          <w:szCs w:val="18"/>
        </w:rPr>
        <w:t xml:space="preserve"> Comparison of Pre-Test and Post-Test Results of Analytical Ability</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417"/>
        <w:gridCol w:w="585"/>
        <w:gridCol w:w="663"/>
        <w:gridCol w:w="967"/>
        <w:gridCol w:w="4047"/>
      </w:tblGrid>
      <w:tr w:rsidR="009B59E2" w14:paraId="24291F33" w14:textId="77777777" w:rsidTr="00A0227A">
        <w:trPr>
          <w:trHeight w:val="517"/>
          <w:jc w:val="center"/>
        </w:trPr>
        <w:tc>
          <w:tcPr>
            <w:tcW w:w="1417" w:type="dxa"/>
            <w:tcBorders>
              <w:bottom w:val="single" w:sz="4" w:space="0" w:color="auto"/>
              <w:right w:val="nil"/>
            </w:tcBorders>
          </w:tcPr>
          <w:p w14:paraId="21F5530F" w14:textId="622FC420" w:rsidR="00A26463" w:rsidRDefault="00A26463" w:rsidP="00932941">
            <w:pPr>
              <w:pStyle w:val="Alishlah22heading2"/>
              <w:spacing w:before="0" w:after="0"/>
              <w:jc w:val="center"/>
              <w:rPr>
                <w:b w:val="0"/>
                <w:bCs w:val="0"/>
                <w:i w:val="0"/>
                <w:iCs/>
              </w:rPr>
            </w:pPr>
            <w:r w:rsidRPr="00A26463">
              <w:rPr>
                <w:b w:val="0"/>
                <w:bCs w:val="0"/>
                <w:i w:val="0"/>
                <w:iCs/>
              </w:rPr>
              <w:t>Aspect</w:t>
            </w:r>
          </w:p>
        </w:tc>
        <w:tc>
          <w:tcPr>
            <w:tcW w:w="585" w:type="dxa"/>
            <w:tcBorders>
              <w:left w:val="nil"/>
              <w:bottom w:val="single" w:sz="4" w:space="0" w:color="auto"/>
              <w:right w:val="nil"/>
            </w:tcBorders>
          </w:tcPr>
          <w:p w14:paraId="5B803DAA" w14:textId="6FA4A058" w:rsidR="00A26463" w:rsidRDefault="00A26463" w:rsidP="00932941">
            <w:pPr>
              <w:pStyle w:val="Alishlah22heading2"/>
              <w:spacing w:before="0" w:after="0"/>
              <w:jc w:val="center"/>
              <w:rPr>
                <w:b w:val="0"/>
                <w:bCs w:val="0"/>
                <w:i w:val="0"/>
                <w:iCs/>
              </w:rPr>
            </w:pPr>
            <w:r w:rsidRPr="00A26463">
              <w:rPr>
                <w:b w:val="0"/>
                <w:bCs w:val="0"/>
                <w:i w:val="0"/>
                <w:iCs/>
              </w:rPr>
              <w:t>Pre-Test</w:t>
            </w:r>
          </w:p>
        </w:tc>
        <w:tc>
          <w:tcPr>
            <w:tcW w:w="663" w:type="dxa"/>
            <w:tcBorders>
              <w:left w:val="nil"/>
              <w:bottom w:val="single" w:sz="4" w:space="0" w:color="auto"/>
              <w:right w:val="nil"/>
            </w:tcBorders>
          </w:tcPr>
          <w:p w14:paraId="61CA8D14" w14:textId="6CE27B46" w:rsidR="00A26463" w:rsidRDefault="00A26463" w:rsidP="00932941">
            <w:pPr>
              <w:pStyle w:val="Alishlah22heading2"/>
              <w:spacing w:before="0" w:after="0"/>
              <w:jc w:val="center"/>
              <w:rPr>
                <w:b w:val="0"/>
                <w:bCs w:val="0"/>
                <w:i w:val="0"/>
                <w:iCs/>
              </w:rPr>
            </w:pPr>
            <w:r w:rsidRPr="00A26463">
              <w:rPr>
                <w:b w:val="0"/>
                <w:bCs w:val="0"/>
                <w:i w:val="0"/>
                <w:iCs/>
              </w:rPr>
              <w:t>Post-Test</w:t>
            </w:r>
          </w:p>
        </w:tc>
        <w:tc>
          <w:tcPr>
            <w:tcW w:w="967" w:type="dxa"/>
            <w:tcBorders>
              <w:left w:val="nil"/>
              <w:bottom w:val="single" w:sz="4" w:space="0" w:color="auto"/>
              <w:right w:val="nil"/>
            </w:tcBorders>
          </w:tcPr>
          <w:p w14:paraId="32932ECE" w14:textId="501266F3" w:rsidR="00A26463" w:rsidRDefault="001C125B" w:rsidP="00932941">
            <w:pPr>
              <w:pStyle w:val="Alishlah22heading2"/>
              <w:spacing w:before="0" w:after="0"/>
              <w:jc w:val="center"/>
              <w:rPr>
                <w:b w:val="0"/>
                <w:bCs w:val="0"/>
                <w:i w:val="0"/>
                <w:iCs/>
              </w:rPr>
            </w:pPr>
            <w:r w:rsidRPr="00A26463">
              <w:rPr>
                <w:b w:val="0"/>
                <w:bCs w:val="0"/>
                <w:i w:val="0"/>
                <w:iCs/>
              </w:rPr>
              <w:t>Average</w:t>
            </w:r>
          </w:p>
        </w:tc>
        <w:tc>
          <w:tcPr>
            <w:tcW w:w="4047" w:type="dxa"/>
            <w:tcBorders>
              <w:left w:val="nil"/>
              <w:bottom w:val="single" w:sz="4" w:space="0" w:color="auto"/>
            </w:tcBorders>
          </w:tcPr>
          <w:p w14:paraId="537755F3" w14:textId="44C53510" w:rsidR="00A26463" w:rsidRDefault="001C125B" w:rsidP="00932941">
            <w:pPr>
              <w:pStyle w:val="Alishlah22heading2"/>
              <w:spacing w:before="0" w:after="0"/>
              <w:jc w:val="center"/>
              <w:rPr>
                <w:b w:val="0"/>
                <w:bCs w:val="0"/>
                <w:i w:val="0"/>
                <w:iCs/>
              </w:rPr>
            </w:pPr>
            <w:r>
              <w:rPr>
                <w:b w:val="0"/>
                <w:bCs w:val="0"/>
                <w:i w:val="0"/>
                <w:iCs/>
              </w:rPr>
              <w:t>Description</w:t>
            </w:r>
          </w:p>
        </w:tc>
      </w:tr>
      <w:tr w:rsidR="009B59E2" w14:paraId="572EBBF9" w14:textId="77777777" w:rsidTr="00A0227A">
        <w:trPr>
          <w:trHeight w:val="761"/>
          <w:jc w:val="center"/>
        </w:trPr>
        <w:tc>
          <w:tcPr>
            <w:tcW w:w="1417" w:type="dxa"/>
            <w:tcBorders>
              <w:bottom w:val="nil"/>
              <w:right w:val="nil"/>
            </w:tcBorders>
          </w:tcPr>
          <w:p w14:paraId="589EABC9" w14:textId="123F6509" w:rsidR="001C125B" w:rsidRPr="00A26463" w:rsidRDefault="001C125B" w:rsidP="001C125B">
            <w:pPr>
              <w:pStyle w:val="Alishlah22heading2"/>
              <w:spacing w:before="0" w:after="0"/>
              <w:jc w:val="both"/>
              <w:rPr>
                <w:b w:val="0"/>
                <w:bCs w:val="0"/>
                <w:i w:val="0"/>
                <w:iCs/>
              </w:rPr>
            </w:pPr>
            <w:r w:rsidRPr="00A26463">
              <w:rPr>
                <w:b w:val="0"/>
                <w:bCs w:val="0"/>
                <w:i w:val="0"/>
                <w:iCs/>
              </w:rPr>
              <w:t>Identifying Important Information</w:t>
            </w:r>
          </w:p>
        </w:tc>
        <w:tc>
          <w:tcPr>
            <w:tcW w:w="585" w:type="dxa"/>
            <w:tcBorders>
              <w:left w:val="nil"/>
              <w:bottom w:val="nil"/>
              <w:right w:val="nil"/>
            </w:tcBorders>
          </w:tcPr>
          <w:p w14:paraId="5A312A11" w14:textId="7CB63EEF" w:rsidR="001C125B" w:rsidRDefault="001C125B" w:rsidP="001C125B">
            <w:pPr>
              <w:pStyle w:val="Alishlah22heading2"/>
              <w:spacing w:before="0" w:after="0"/>
              <w:jc w:val="both"/>
              <w:rPr>
                <w:b w:val="0"/>
                <w:bCs w:val="0"/>
                <w:i w:val="0"/>
                <w:iCs/>
              </w:rPr>
            </w:pPr>
            <w:r>
              <w:rPr>
                <w:b w:val="0"/>
                <w:bCs w:val="0"/>
                <w:i w:val="0"/>
                <w:iCs/>
              </w:rPr>
              <w:t>70%</w:t>
            </w:r>
          </w:p>
        </w:tc>
        <w:tc>
          <w:tcPr>
            <w:tcW w:w="663" w:type="dxa"/>
            <w:tcBorders>
              <w:left w:val="nil"/>
              <w:bottom w:val="nil"/>
              <w:right w:val="nil"/>
            </w:tcBorders>
          </w:tcPr>
          <w:p w14:paraId="2B27A52B" w14:textId="716B47D7" w:rsidR="001C125B" w:rsidRDefault="001C125B" w:rsidP="001C125B">
            <w:pPr>
              <w:pStyle w:val="Alishlah22heading2"/>
              <w:spacing w:before="0" w:after="0"/>
              <w:jc w:val="both"/>
              <w:rPr>
                <w:b w:val="0"/>
                <w:bCs w:val="0"/>
                <w:i w:val="0"/>
                <w:iCs/>
              </w:rPr>
            </w:pPr>
            <w:r>
              <w:rPr>
                <w:b w:val="0"/>
                <w:bCs w:val="0"/>
                <w:i w:val="0"/>
                <w:iCs/>
              </w:rPr>
              <w:t>85%</w:t>
            </w:r>
          </w:p>
        </w:tc>
        <w:tc>
          <w:tcPr>
            <w:tcW w:w="967" w:type="dxa"/>
            <w:tcBorders>
              <w:left w:val="nil"/>
              <w:bottom w:val="nil"/>
              <w:right w:val="nil"/>
            </w:tcBorders>
          </w:tcPr>
          <w:p w14:paraId="2AF8380A" w14:textId="76CCC88D" w:rsidR="001C125B" w:rsidRPr="00A26463" w:rsidRDefault="001C125B" w:rsidP="001C125B">
            <w:pPr>
              <w:pStyle w:val="Alishlah22heading2"/>
              <w:spacing w:before="0" w:after="0"/>
              <w:jc w:val="both"/>
              <w:rPr>
                <w:b w:val="0"/>
                <w:bCs w:val="0"/>
                <w:i w:val="0"/>
                <w:iCs/>
              </w:rPr>
            </w:pPr>
            <w:r>
              <w:rPr>
                <w:b w:val="0"/>
                <w:bCs w:val="0"/>
                <w:i w:val="0"/>
                <w:iCs/>
              </w:rPr>
              <w:t>77,5%</w:t>
            </w:r>
          </w:p>
        </w:tc>
        <w:tc>
          <w:tcPr>
            <w:tcW w:w="4047" w:type="dxa"/>
            <w:tcBorders>
              <w:left w:val="nil"/>
              <w:bottom w:val="nil"/>
            </w:tcBorders>
          </w:tcPr>
          <w:p w14:paraId="0F8AB42C" w14:textId="0C5041FC" w:rsidR="001C125B" w:rsidRDefault="005D610B" w:rsidP="001C125B">
            <w:pPr>
              <w:pStyle w:val="Alishlah22heading2"/>
              <w:spacing w:before="0" w:after="0"/>
              <w:jc w:val="both"/>
              <w:rPr>
                <w:b w:val="0"/>
                <w:bCs w:val="0"/>
                <w:i w:val="0"/>
                <w:iCs/>
              </w:rPr>
            </w:pPr>
            <w:r w:rsidRPr="005D610B">
              <w:rPr>
                <w:b w:val="0"/>
                <w:bCs w:val="0"/>
                <w:i w:val="0"/>
                <w:iCs/>
              </w:rPr>
              <w:t>Students significantly improved in recognizing and selecting important details from texts, graphs, or diagrams.</w:t>
            </w:r>
          </w:p>
        </w:tc>
      </w:tr>
      <w:tr w:rsidR="009B59E2" w14:paraId="18C96491" w14:textId="77777777" w:rsidTr="00A0227A">
        <w:trPr>
          <w:trHeight w:val="517"/>
          <w:jc w:val="center"/>
        </w:trPr>
        <w:tc>
          <w:tcPr>
            <w:tcW w:w="1417" w:type="dxa"/>
            <w:tcBorders>
              <w:top w:val="nil"/>
              <w:bottom w:val="nil"/>
              <w:right w:val="nil"/>
            </w:tcBorders>
          </w:tcPr>
          <w:p w14:paraId="36EE1DF1" w14:textId="7EC0FEDC" w:rsidR="001C125B" w:rsidRDefault="009B59E2" w:rsidP="001C125B">
            <w:pPr>
              <w:pStyle w:val="Alishlah22heading2"/>
              <w:spacing w:before="0" w:after="0"/>
              <w:jc w:val="both"/>
              <w:rPr>
                <w:b w:val="0"/>
                <w:bCs w:val="0"/>
                <w:i w:val="0"/>
                <w:iCs/>
              </w:rPr>
            </w:pPr>
            <w:r w:rsidRPr="009B59E2">
              <w:rPr>
                <w:b w:val="0"/>
                <w:bCs w:val="0"/>
                <w:i w:val="0"/>
                <w:iCs/>
              </w:rPr>
              <w:t>Classifying Information</w:t>
            </w:r>
          </w:p>
        </w:tc>
        <w:tc>
          <w:tcPr>
            <w:tcW w:w="585" w:type="dxa"/>
            <w:tcBorders>
              <w:top w:val="nil"/>
              <w:left w:val="nil"/>
              <w:bottom w:val="nil"/>
              <w:right w:val="nil"/>
            </w:tcBorders>
          </w:tcPr>
          <w:p w14:paraId="67FF8243" w14:textId="7417E884" w:rsidR="001C125B" w:rsidRDefault="009B59E2" w:rsidP="001C125B">
            <w:pPr>
              <w:pStyle w:val="Alishlah22heading2"/>
              <w:spacing w:before="0" w:after="0"/>
              <w:jc w:val="both"/>
              <w:rPr>
                <w:b w:val="0"/>
                <w:bCs w:val="0"/>
                <w:i w:val="0"/>
                <w:iCs/>
              </w:rPr>
            </w:pPr>
            <w:r>
              <w:rPr>
                <w:b w:val="0"/>
                <w:bCs w:val="0"/>
                <w:i w:val="0"/>
                <w:iCs/>
              </w:rPr>
              <w:t>65%</w:t>
            </w:r>
          </w:p>
        </w:tc>
        <w:tc>
          <w:tcPr>
            <w:tcW w:w="663" w:type="dxa"/>
            <w:tcBorders>
              <w:top w:val="nil"/>
              <w:left w:val="nil"/>
              <w:bottom w:val="nil"/>
              <w:right w:val="nil"/>
            </w:tcBorders>
          </w:tcPr>
          <w:p w14:paraId="50352AC4" w14:textId="3FD6237F" w:rsidR="001C125B" w:rsidRDefault="009B59E2" w:rsidP="001C125B">
            <w:pPr>
              <w:pStyle w:val="Alishlah22heading2"/>
              <w:spacing w:before="0" w:after="0"/>
              <w:jc w:val="both"/>
              <w:rPr>
                <w:b w:val="0"/>
                <w:bCs w:val="0"/>
                <w:i w:val="0"/>
                <w:iCs/>
              </w:rPr>
            </w:pPr>
            <w:r>
              <w:rPr>
                <w:b w:val="0"/>
                <w:bCs w:val="0"/>
                <w:i w:val="0"/>
                <w:iCs/>
              </w:rPr>
              <w:t>80%</w:t>
            </w:r>
          </w:p>
        </w:tc>
        <w:tc>
          <w:tcPr>
            <w:tcW w:w="967" w:type="dxa"/>
            <w:tcBorders>
              <w:top w:val="nil"/>
              <w:left w:val="nil"/>
              <w:bottom w:val="nil"/>
              <w:right w:val="nil"/>
            </w:tcBorders>
          </w:tcPr>
          <w:p w14:paraId="22B686A8" w14:textId="2912F5EA" w:rsidR="001C125B" w:rsidRDefault="009B59E2" w:rsidP="001C125B">
            <w:pPr>
              <w:pStyle w:val="Alishlah22heading2"/>
              <w:spacing w:before="0" w:after="0"/>
              <w:jc w:val="both"/>
              <w:rPr>
                <w:b w:val="0"/>
                <w:bCs w:val="0"/>
                <w:i w:val="0"/>
                <w:iCs/>
              </w:rPr>
            </w:pPr>
            <w:r>
              <w:rPr>
                <w:b w:val="0"/>
                <w:bCs w:val="0"/>
                <w:i w:val="0"/>
                <w:iCs/>
              </w:rPr>
              <w:t>72,5%</w:t>
            </w:r>
          </w:p>
        </w:tc>
        <w:tc>
          <w:tcPr>
            <w:tcW w:w="4047" w:type="dxa"/>
            <w:tcBorders>
              <w:top w:val="nil"/>
              <w:left w:val="nil"/>
              <w:bottom w:val="nil"/>
            </w:tcBorders>
          </w:tcPr>
          <w:p w14:paraId="4F58B29F" w14:textId="0E574CF7" w:rsidR="001C125B" w:rsidRDefault="005D610B" w:rsidP="001C125B">
            <w:pPr>
              <w:pStyle w:val="Alishlah22heading2"/>
              <w:spacing w:before="0" w:after="0"/>
              <w:jc w:val="both"/>
              <w:rPr>
                <w:b w:val="0"/>
                <w:bCs w:val="0"/>
                <w:i w:val="0"/>
                <w:iCs/>
              </w:rPr>
            </w:pPr>
            <w:r w:rsidRPr="005D610B">
              <w:rPr>
                <w:b w:val="0"/>
                <w:bCs w:val="0"/>
                <w:i w:val="0"/>
                <w:iCs/>
              </w:rPr>
              <w:t>Students showed better ability in categorizing information into appropriate categories and subcategories</w:t>
            </w:r>
            <w:r>
              <w:rPr>
                <w:b w:val="0"/>
                <w:bCs w:val="0"/>
                <w:i w:val="0"/>
                <w:iCs/>
              </w:rPr>
              <w:t>.</w:t>
            </w:r>
          </w:p>
        </w:tc>
      </w:tr>
      <w:tr w:rsidR="009B59E2" w14:paraId="7EC6DA46" w14:textId="77777777" w:rsidTr="00A0227A">
        <w:trPr>
          <w:trHeight w:val="776"/>
          <w:jc w:val="center"/>
        </w:trPr>
        <w:tc>
          <w:tcPr>
            <w:tcW w:w="1417" w:type="dxa"/>
            <w:tcBorders>
              <w:top w:val="nil"/>
              <w:bottom w:val="nil"/>
              <w:right w:val="nil"/>
            </w:tcBorders>
          </w:tcPr>
          <w:p w14:paraId="0123CA3F" w14:textId="380D5002" w:rsidR="001C125B" w:rsidRDefault="009B59E2" w:rsidP="001C125B">
            <w:pPr>
              <w:pStyle w:val="Alishlah22heading2"/>
              <w:spacing w:before="0" w:after="0"/>
              <w:jc w:val="both"/>
              <w:rPr>
                <w:b w:val="0"/>
                <w:bCs w:val="0"/>
                <w:i w:val="0"/>
                <w:iCs/>
              </w:rPr>
            </w:pPr>
            <w:r w:rsidRPr="009B59E2">
              <w:rPr>
                <w:b w:val="0"/>
                <w:bCs w:val="0"/>
                <w:i w:val="0"/>
                <w:iCs/>
              </w:rPr>
              <w:t>Analysing Causal Relationships</w:t>
            </w:r>
          </w:p>
        </w:tc>
        <w:tc>
          <w:tcPr>
            <w:tcW w:w="585" w:type="dxa"/>
            <w:tcBorders>
              <w:top w:val="nil"/>
              <w:left w:val="nil"/>
              <w:bottom w:val="nil"/>
              <w:right w:val="nil"/>
            </w:tcBorders>
          </w:tcPr>
          <w:p w14:paraId="551295DF" w14:textId="03FB79C4" w:rsidR="001C125B" w:rsidRDefault="009B59E2" w:rsidP="001C125B">
            <w:pPr>
              <w:pStyle w:val="Alishlah22heading2"/>
              <w:spacing w:before="0" w:after="0"/>
              <w:jc w:val="both"/>
              <w:rPr>
                <w:b w:val="0"/>
                <w:bCs w:val="0"/>
                <w:i w:val="0"/>
                <w:iCs/>
              </w:rPr>
            </w:pPr>
            <w:r>
              <w:rPr>
                <w:b w:val="0"/>
                <w:bCs w:val="0"/>
                <w:i w:val="0"/>
                <w:iCs/>
              </w:rPr>
              <w:t>55%</w:t>
            </w:r>
          </w:p>
        </w:tc>
        <w:tc>
          <w:tcPr>
            <w:tcW w:w="663" w:type="dxa"/>
            <w:tcBorders>
              <w:top w:val="nil"/>
              <w:left w:val="nil"/>
              <w:bottom w:val="nil"/>
              <w:right w:val="nil"/>
            </w:tcBorders>
          </w:tcPr>
          <w:p w14:paraId="450C74B0" w14:textId="70463206" w:rsidR="001C125B" w:rsidRDefault="009B59E2" w:rsidP="001C125B">
            <w:pPr>
              <w:pStyle w:val="Alishlah22heading2"/>
              <w:spacing w:before="0" w:after="0"/>
              <w:jc w:val="both"/>
              <w:rPr>
                <w:b w:val="0"/>
                <w:bCs w:val="0"/>
                <w:i w:val="0"/>
                <w:iCs/>
              </w:rPr>
            </w:pPr>
            <w:r>
              <w:rPr>
                <w:b w:val="0"/>
                <w:bCs w:val="0"/>
                <w:i w:val="0"/>
                <w:iCs/>
              </w:rPr>
              <w:t>75%</w:t>
            </w:r>
          </w:p>
        </w:tc>
        <w:tc>
          <w:tcPr>
            <w:tcW w:w="967" w:type="dxa"/>
            <w:tcBorders>
              <w:top w:val="nil"/>
              <w:left w:val="nil"/>
              <w:bottom w:val="nil"/>
              <w:right w:val="nil"/>
            </w:tcBorders>
          </w:tcPr>
          <w:p w14:paraId="09E55FBA" w14:textId="19B9642B" w:rsidR="001C125B" w:rsidRDefault="009B59E2" w:rsidP="001C125B">
            <w:pPr>
              <w:pStyle w:val="Alishlah22heading2"/>
              <w:spacing w:before="0" w:after="0"/>
              <w:jc w:val="both"/>
              <w:rPr>
                <w:b w:val="0"/>
                <w:bCs w:val="0"/>
                <w:i w:val="0"/>
                <w:iCs/>
              </w:rPr>
            </w:pPr>
            <w:r>
              <w:rPr>
                <w:b w:val="0"/>
                <w:bCs w:val="0"/>
                <w:i w:val="0"/>
                <w:iCs/>
              </w:rPr>
              <w:t>65%</w:t>
            </w:r>
          </w:p>
        </w:tc>
        <w:tc>
          <w:tcPr>
            <w:tcW w:w="4047" w:type="dxa"/>
            <w:tcBorders>
              <w:top w:val="nil"/>
              <w:left w:val="nil"/>
              <w:bottom w:val="nil"/>
            </w:tcBorders>
          </w:tcPr>
          <w:p w14:paraId="3F96299A" w14:textId="6D55BDEF" w:rsidR="001C125B" w:rsidRDefault="005D610B" w:rsidP="001C125B">
            <w:pPr>
              <w:pStyle w:val="Alishlah22heading2"/>
              <w:spacing w:before="0" w:after="0"/>
              <w:jc w:val="both"/>
              <w:rPr>
                <w:b w:val="0"/>
                <w:bCs w:val="0"/>
                <w:i w:val="0"/>
                <w:iCs/>
              </w:rPr>
            </w:pPr>
            <w:r w:rsidRPr="005D610B">
              <w:rPr>
                <w:b w:val="0"/>
                <w:bCs w:val="0"/>
                <w:i w:val="0"/>
                <w:iCs/>
              </w:rPr>
              <w:t>Students improved in understanding and explaining causal relationships between events or phenomena.</w:t>
            </w:r>
          </w:p>
        </w:tc>
      </w:tr>
      <w:tr w:rsidR="009B59E2" w14:paraId="44D77FD7" w14:textId="77777777" w:rsidTr="00A0227A">
        <w:trPr>
          <w:trHeight w:val="776"/>
          <w:jc w:val="center"/>
        </w:trPr>
        <w:tc>
          <w:tcPr>
            <w:tcW w:w="1417" w:type="dxa"/>
            <w:tcBorders>
              <w:top w:val="nil"/>
              <w:bottom w:val="nil"/>
              <w:right w:val="nil"/>
            </w:tcBorders>
          </w:tcPr>
          <w:p w14:paraId="2DB0ADC3" w14:textId="2A801A42" w:rsidR="001C125B" w:rsidRDefault="009B59E2" w:rsidP="001C125B">
            <w:pPr>
              <w:pStyle w:val="Alishlah22heading2"/>
              <w:spacing w:before="0" w:after="0"/>
              <w:jc w:val="both"/>
              <w:rPr>
                <w:b w:val="0"/>
                <w:bCs w:val="0"/>
                <w:i w:val="0"/>
                <w:iCs/>
              </w:rPr>
            </w:pPr>
            <w:r w:rsidRPr="009B59E2">
              <w:rPr>
                <w:b w:val="0"/>
                <w:bCs w:val="0"/>
                <w:i w:val="0"/>
                <w:iCs/>
              </w:rPr>
              <w:t>Interpreting Meanings and Implications</w:t>
            </w:r>
          </w:p>
        </w:tc>
        <w:tc>
          <w:tcPr>
            <w:tcW w:w="585" w:type="dxa"/>
            <w:tcBorders>
              <w:top w:val="nil"/>
              <w:left w:val="nil"/>
              <w:bottom w:val="nil"/>
              <w:right w:val="nil"/>
            </w:tcBorders>
          </w:tcPr>
          <w:p w14:paraId="6E06CEE7" w14:textId="2F036C8C" w:rsidR="001C125B" w:rsidRDefault="009B59E2" w:rsidP="001C125B">
            <w:pPr>
              <w:pStyle w:val="Alishlah22heading2"/>
              <w:spacing w:before="0" w:after="0"/>
              <w:jc w:val="both"/>
              <w:rPr>
                <w:b w:val="0"/>
                <w:bCs w:val="0"/>
                <w:i w:val="0"/>
                <w:iCs/>
              </w:rPr>
            </w:pPr>
            <w:r>
              <w:rPr>
                <w:b w:val="0"/>
                <w:bCs w:val="0"/>
                <w:i w:val="0"/>
                <w:iCs/>
              </w:rPr>
              <w:t>50%</w:t>
            </w:r>
          </w:p>
        </w:tc>
        <w:tc>
          <w:tcPr>
            <w:tcW w:w="663" w:type="dxa"/>
            <w:tcBorders>
              <w:top w:val="nil"/>
              <w:left w:val="nil"/>
              <w:bottom w:val="nil"/>
              <w:right w:val="nil"/>
            </w:tcBorders>
          </w:tcPr>
          <w:p w14:paraId="163C758C" w14:textId="11667368" w:rsidR="001C125B" w:rsidRDefault="009B59E2" w:rsidP="001C125B">
            <w:pPr>
              <w:pStyle w:val="Alishlah22heading2"/>
              <w:spacing w:before="0" w:after="0"/>
              <w:jc w:val="both"/>
              <w:rPr>
                <w:b w:val="0"/>
                <w:bCs w:val="0"/>
                <w:i w:val="0"/>
                <w:iCs/>
              </w:rPr>
            </w:pPr>
            <w:r>
              <w:rPr>
                <w:b w:val="0"/>
                <w:bCs w:val="0"/>
                <w:i w:val="0"/>
                <w:iCs/>
              </w:rPr>
              <w:t>70%</w:t>
            </w:r>
          </w:p>
        </w:tc>
        <w:tc>
          <w:tcPr>
            <w:tcW w:w="967" w:type="dxa"/>
            <w:tcBorders>
              <w:top w:val="nil"/>
              <w:left w:val="nil"/>
              <w:bottom w:val="nil"/>
              <w:right w:val="nil"/>
            </w:tcBorders>
          </w:tcPr>
          <w:p w14:paraId="287638A1" w14:textId="3C297911" w:rsidR="001C125B" w:rsidRDefault="009B59E2" w:rsidP="001C125B">
            <w:pPr>
              <w:pStyle w:val="Alishlah22heading2"/>
              <w:spacing w:before="0" w:after="0"/>
              <w:jc w:val="both"/>
              <w:rPr>
                <w:b w:val="0"/>
                <w:bCs w:val="0"/>
                <w:i w:val="0"/>
                <w:iCs/>
              </w:rPr>
            </w:pPr>
            <w:r>
              <w:rPr>
                <w:b w:val="0"/>
                <w:bCs w:val="0"/>
                <w:i w:val="0"/>
                <w:iCs/>
              </w:rPr>
              <w:t>60%</w:t>
            </w:r>
          </w:p>
        </w:tc>
        <w:tc>
          <w:tcPr>
            <w:tcW w:w="4047" w:type="dxa"/>
            <w:tcBorders>
              <w:top w:val="nil"/>
              <w:left w:val="nil"/>
              <w:bottom w:val="nil"/>
            </w:tcBorders>
          </w:tcPr>
          <w:p w14:paraId="5A6737E0" w14:textId="7EB9D445" w:rsidR="001C125B" w:rsidRDefault="005D610B" w:rsidP="001C125B">
            <w:pPr>
              <w:pStyle w:val="Alishlah22heading2"/>
              <w:spacing w:before="0" w:after="0"/>
              <w:jc w:val="both"/>
              <w:rPr>
                <w:b w:val="0"/>
                <w:bCs w:val="0"/>
                <w:i w:val="0"/>
                <w:iCs/>
              </w:rPr>
            </w:pPr>
            <w:r w:rsidRPr="005D610B">
              <w:rPr>
                <w:b w:val="0"/>
                <w:bCs w:val="0"/>
                <w:i w:val="0"/>
                <w:iCs/>
              </w:rPr>
              <w:t>Students enhanced their understanding of implied meanings and implications in given information.</w:t>
            </w:r>
          </w:p>
        </w:tc>
      </w:tr>
      <w:tr w:rsidR="009B59E2" w14:paraId="44346871" w14:textId="77777777" w:rsidTr="00A0227A">
        <w:trPr>
          <w:trHeight w:val="776"/>
          <w:jc w:val="center"/>
        </w:trPr>
        <w:tc>
          <w:tcPr>
            <w:tcW w:w="1417" w:type="dxa"/>
            <w:tcBorders>
              <w:top w:val="nil"/>
              <w:right w:val="nil"/>
            </w:tcBorders>
          </w:tcPr>
          <w:p w14:paraId="1A50316D" w14:textId="170F7312" w:rsidR="001C125B" w:rsidRDefault="009B59E2" w:rsidP="001C125B">
            <w:pPr>
              <w:pStyle w:val="Alishlah22heading2"/>
              <w:spacing w:before="0" w:after="0"/>
              <w:jc w:val="both"/>
              <w:rPr>
                <w:b w:val="0"/>
                <w:bCs w:val="0"/>
                <w:i w:val="0"/>
                <w:iCs/>
              </w:rPr>
            </w:pPr>
            <w:r w:rsidRPr="009B59E2">
              <w:rPr>
                <w:b w:val="0"/>
                <w:bCs w:val="0"/>
                <w:i w:val="0"/>
                <w:iCs/>
              </w:rPr>
              <w:t>Drawing Logical Conclusions</w:t>
            </w:r>
          </w:p>
        </w:tc>
        <w:tc>
          <w:tcPr>
            <w:tcW w:w="585" w:type="dxa"/>
            <w:tcBorders>
              <w:top w:val="nil"/>
              <w:left w:val="nil"/>
              <w:right w:val="nil"/>
            </w:tcBorders>
          </w:tcPr>
          <w:p w14:paraId="1184DFAB" w14:textId="6AC4D62A" w:rsidR="001C125B" w:rsidRDefault="009B59E2" w:rsidP="001C125B">
            <w:pPr>
              <w:pStyle w:val="Alishlah22heading2"/>
              <w:spacing w:before="0" w:after="0"/>
              <w:jc w:val="both"/>
              <w:rPr>
                <w:b w:val="0"/>
                <w:bCs w:val="0"/>
                <w:i w:val="0"/>
                <w:iCs/>
              </w:rPr>
            </w:pPr>
            <w:r>
              <w:rPr>
                <w:b w:val="0"/>
                <w:bCs w:val="0"/>
                <w:i w:val="0"/>
                <w:iCs/>
              </w:rPr>
              <w:t>45%</w:t>
            </w:r>
          </w:p>
        </w:tc>
        <w:tc>
          <w:tcPr>
            <w:tcW w:w="663" w:type="dxa"/>
            <w:tcBorders>
              <w:top w:val="nil"/>
              <w:left w:val="nil"/>
              <w:right w:val="nil"/>
            </w:tcBorders>
          </w:tcPr>
          <w:p w14:paraId="31855806" w14:textId="3CE9FF6B" w:rsidR="001C125B" w:rsidRDefault="009B59E2" w:rsidP="001C125B">
            <w:pPr>
              <w:pStyle w:val="Alishlah22heading2"/>
              <w:spacing w:before="0" w:after="0"/>
              <w:jc w:val="both"/>
              <w:rPr>
                <w:b w:val="0"/>
                <w:bCs w:val="0"/>
                <w:i w:val="0"/>
                <w:iCs/>
              </w:rPr>
            </w:pPr>
            <w:r>
              <w:rPr>
                <w:b w:val="0"/>
                <w:bCs w:val="0"/>
                <w:i w:val="0"/>
                <w:iCs/>
              </w:rPr>
              <w:t>65%</w:t>
            </w:r>
          </w:p>
        </w:tc>
        <w:tc>
          <w:tcPr>
            <w:tcW w:w="967" w:type="dxa"/>
            <w:tcBorders>
              <w:top w:val="nil"/>
              <w:left w:val="nil"/>
              <w:right w:val="nil"/>
            </w:tcBorders>
          </w:tcPr>
          <w:p w14:paraId="638E9ACB" w14:textId="340FBD0C" w:rsidR="001C125B" w:rsidRDefault="009B59E2" w:rsidP="001C125B">
            <w:pPr>
              <w:pStyle w:val="Alishlah22heading2"/>
              <w:spacing w:before="0" w:after="0"/>
              <w:jc w:val="both"/>
              <w:rPr>
                <w:b w:val="0"/>
                <w:bCs w:val="0"/>
                <w:i w:val="0"/>
                <w:iCs/>
              </w:rPr>
            </w:pPr>
            <w:r>
              <w:rPr>
                <w:b w:val="0"/>
                <w:bCs w:val="0"/>
                <w:i w:val="0"/>
                <w:iCs/>
              </w:rPr>
              <w:t>55%</w:t>
            </w:r>
          </w:p>
        </w:tc>
        <w:tc>
          <w:tcPr>
            <w:tcW w:w="4047" w:type="dxa"/>
            <w:tcBorders>
              <w:top w:val="nil"/>
              <w:left w:val="nil"/>
            </w:tcBorders>
          </w:tcPr>
          <w:p w14:paraId="70D55BEC" w14:textId="2A20E5EB" w:rsidR="001C125B" w:rsidRDefault="005D610B" w:rsidP="001C125B">
            <w:pPr>
              <w:pStyle w:val="Alishlah22heading2"/>
              <w:spacing w:before="0" w:after="0"/>
              <w:jc w:val="both"/>
              <w:rPr>
                <w:b w:val="0"/>
                <w:bCs w:val="0"/>
                <w:i w:val="0"/>
                <w:iCs/>
              </w:rPr>
            </w:pPr>
            <w:r w:rsidRPr="005D610B">
              <w:rPr>
                <w:b w:val="0"/>
                <w:bCs w:val="0"/>
                <w:i w:val="0"/>
                <w:iCs/>
              </w:rPr>
              <w:t>Students showed increased ability in drawing logical, evidence-supported conclusions.</w:t>
            </w:r>
          </w:p>
        </w:tc>
      </w:tr>
    </w:tbl>
    <w:p w14:paraId="4A3DF5D2" w14:textId="77777777" w:rsidR="00A0227A" w:rsidRDefault="00A0227A" w:rsidP="00A0227A">
      <w:pPr>
        <w:pStyle w:val="Alishlah22heading2"/>
        <w:spacing w:before="0" w:after="0"/>
        <w:ind w:firstLine="720"/>
        <w:jc w:val="both"/>
        <w:rPr>
          <w:b w:val="0"/>
          <w:bCs w:val="0"/>
          <w:i w:val="0"/>
          <w:iCs/>
        </w:rPr>
      </w:pPr>
    </w:p>
    <w:p w14:paraId="380D8C34" w14:textId="3480BF77" w:rsidR="00947DB3" w:rsidRDefault="00A0227A" w:rsidP="00A0227A">
      <w:pPr>
        <w:pStyle w:val="Alishlah22heading2"/>
        <w:spacing w:before="0" w:after="0"/>
        <w:ind w:firstLine="720"/>
        <w:jc w:val="both"/>
        <w:rPr>
          <w:b w:val="0"/>
          <w:bCs w:val="0"/>
          <w:i w:val="0"/>
          <w:iCs/>
        </w:rPr>
      </w:pPr>
      <w:r w:rsidRPr="00A0227A">
        <w:rPr>
          <w:b w:val="0"/>
          <w:bCs w:val="0"/>
          <w:i w:val="0"/>
          <w:iCs/>
        </w:rPr>
        <w:t>The table presents a comprehensive overview of students' performance improvements across five key aspects of learning after the implementation of the Jigsaw strategy. In the first aspect, "Identifying Important Information," students exhibited significant progress, with pre-test scores averaging 70% and post-test scores reaching 85%, resulting in a notable average improvement to 77.5%. This indicates a heightened ability to recognize and select critical details from texts, graphs, or diagrams. Similarly, in "Classifying Information," students demonstrated a substantial enhancement in their ability to categorize information into relevant categories and subcategories, with scores increasing from 65% to 80%, yielding an average of 72.5%. In the third aspect, "Analysing Causal Relationships," students improved from a pre-test score of 55% to a post-test score of 75%, indicating better comprehension of cause-and-effect relationships, with an overall average of 65%. Regarding "Interpreting Meanings and Implications," there was an improvement from 50% to 70%, averaging 60%, showing that students became more adept at understanding implicit meanings and the broader implications of information. Lastly, in "Drawing Logical Conclusions," students' scores rose from 45% to 65%, achieving an average of 55%, reflecting their enhanced ability to draw logical and evidence-based conclusions. Collectively, these improvements highlight the effectiveness of the Jigsaw strategy in fostering critical thinking and higher-order cognitive skills among students, providing them with a stronger foundation for analytical and interpretative tasks.</w:t>
      </w:r>
    </w:p>
    <w:p w14:paraId="48449186" w14:textId="116DB3B4" w:rsidR="00947DB3" w:rsidRPr="00AE1C5B" w:rsidRDefault="002D170E" w:rsidP="00AE1C5B">
      <w:pPr>
        <w:pStyle w:val="Alishlah22heading2"/>
        <w:jc w:val="center"/>
        <w:rPr>
          <w:b w:val="0"/>
          <w:bCs w:val="0"/>
          <w:i w:val="0"/>
          <w:iCs/>
          <w:sz w:val="18"/>
          <w:szCs w:val="20"/>
        </w:rPr>
      </w:pPr>
      <w:r w:rsidRPr="00AE1C5B">
        <w:rPr>
          <w:i w:val="0"/>
          <w:iCs/>
          <w:sz w:val="18"/>
          <w:szCs w:val="20"/>
        </w:rPr>
        <w:t>Table 3.</w:t>
      </w:r>
      <w:r w:rsidRPr="00AE1C5B">
        <w:rPr>
          <w:b w:val="0"/>
          <w:bCs w:val="0"/>
          <w:i w:val="0"/>
          <w:iCs/>
          <w:sz w:val="18"/>
          <w:szCs w:val="20"/>
        </w:rPr>
        <w:t xml:space="preserve"> Comparison of Pre-Test and Post-Test Results of Creative Ability</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466"/>
        <w:gridCol w:w="585"/>
        <w:gridCol w:w="663"/>
        <w:gridCol w:w="967"/>
        <w:gridCol w:w="4047"/>
      </w:tblGrid>
      <w:tr w:rsidR="00947DB3" w14:paraId="3BD838BE" w14:textId="77777777" w:rsidTr="00947DB3">
        <w:trPr>
          <w:trHeight w:val="517"/>
          <w:jc w:val="center"/>
        </w:trPr>
        <w:tc>
          <w:tcPr>
            <w:tcW w:w="1466" w:type="dxa"/>
            <w:tcBorders>
              <w:bottom w:val="single" w:sz="4" w:space="0" w:color="auto"/>
              <w:right w:val="nil"/>
            </w:tcBorders>
          </w:tcPr>
          <w:p w14:paraId="6698E7A9" w14:textId="77777777" w:rsidR="00947DB3" w:rsidRDefault="00947DB3" w:rsidP="005D610B">
            <w:pPr>
              <w:pStyle w:val="Alishlah22heading2"/>
              <w:spacing w:before="0" w:after="0" w:line="240" w:lineRule="auto"/>
              <w:jc w:val="center"/>
              <w:rPr>
                <w:b w:val="0"/>
                <w:bCs w:val="0"/>
                <w:i w:val="0"/>
                <w:iCs/>
              </w:rPr>
            </w:pPr>
            <w:r w:rsidRPr="00A26463">
              <w:rPr>
                <w:b w:val="0"/>
                <w:bCs w:val="0"/>
                <w:i w:val="0"/>
                <w:iCs/>
              </w:rPr>
              <w:t>Aspect</w:t>
            </w:r>
          </w:p>
        </w:tc>
        <w:tc>
          <w:tcPr>
            <w:tcW w:w="585" w:type="dxa"/>
            <w:tcBorders>
              <w:left w:val="nil"/>
              <w:bottom w:val="single" w:sz="4" w:space="0" w:color="auto"/>
              <w:right w:val="nil"/>
            </w:tcBorders>
          </w:tcPr>
          <w:p w14:paraId="12FC1F34" w14:textId="77777777" w:rsidR="00947DB3" w:rsidRDefault="00947DB3" w:rsidP="005D610B">
            <w:pPr>
              <w:pStyle w:val="Alishlah22heading2"/>
              <w:spacing w:before="0" w:after="0" w:line="240" w:lineRule="auto"/>
              <w:jc w:val="center"/>
              <w:rPr>
                <w:b w:val="0"/>
                <w:bCs w:val="0"/>
                <w:i w:val="0"/>
                <w:iCs/>
              </w:rPr>
            </w:pPr>
            <w:r w:rsidRPr="00A26463">
              <w:rPr>
                <w:b w:val="0"/>
                <w:bCs w:val="0"/>
                <w:i w:val="0"/>
                <w:iCs/>
              </w:rPr>
              <w:t>Pre-Test</w:t>
            </w:r>
          </w:p>
        </w:tc>
        <w:tc>
          <w:tcPr>
            <w:tcW w:w="663" w:type="dxa"/>
            <w:tcBorders>
              <w:left w:val="nil"/>
              <w:bottom w:val="single" w:sz="4" w:space="0" w:color="auto"/>
              <w:right w:val="nil"/>
            </w:tcBorders>
          </w:tcPr>
          <w:p w14:paraId="6D45DB70" w14:textId="77777777" w:rsidR="00947DB3" w:rsidRDefault="00947DB3" w:rsidP="005D610B">
            <w:pPr>
              <w:pStyle w:val="Alishlah22heading2"/>
              <w:spacing w:before="0" w:after="0" w:line="240" w:lineRule="auto"/>
              <w:jc w:val="center"/>
              <w:rPr>
                <w:b w:val="0"/>
                <w:bCs w:val="0"/>
                <w:i w:val="0"/>
                <w:iCs/>
              </w:rPr>
            </w:pPr>
            <w:r w:rsidRPr="00A26463">
              <w:rPr>
                <w:b w:val="0"/>
                <w:bCs w:val="0"/>
                <w:i w:val="0"/>
                <w:iCs/>
              </w:rPr>
              <w:t>Post-Test</w:t>
            </w:r>
          </w:p>
        </w:tc>
        <w:tc>
          <w:tcPr>
            <w:tcW w:w="967" w:type="dxa"/>
            <w:tcBorders>
              <w:left w:val="nil"/>
              <w:bottom w:val="single" w:sz="4" w:space="0" w:color="auto"/>
              <w:right w:val="nil"/>
            </w:tcBorders>
          </w:tcPr>
          <w:p w14:paraId="2C0057D1" w14:textId="77777777" w:rsidR="00947DB3" w:rsidRDefault="00947DB3" w:rsidP="005D610B">
            <w:pPr>
              <w:pStyle w:val="Alishlah22heading2"/>
              <w:spacing w:before="0" w:after="0" w:line="240" w:lineRule="auto"/>
              <w:jc w:val="center"/>
              <w:rPr>
                <w:b w:val="0"/>
                <w:bCs w:val="0"/>
                <w:i w:val="0"/>
                <w:iCs/>
              </w:rPr>
            </w:pPr>
            <w:r w:rsidRPr="00A26463">
              <w:rPr>
                <w:b w:val="0"/>
                <w:bCs w:val="0"/>
                <w:i w:val="0"/>
                <w:iCs/>
              </w:rPr>
              <w:t>Average</w:t>
            </w:r>
          </w:p>
        </w:tc>
        <w:tc>
          <w:tcPr>
            <w:tcW w:w="4047" w:type="dxa"/>
            <w:tcBorders>
              <w:left w:val="nil"/>
              <w:bottom w:val="single" w:sz="4" w:space="0" w:color="auto"/>
            </w:tcBorders>
          </w:tcPr>
          <w:p w14:paraId="2435B7C8" w14:textId="77777777" w:rsidR="00947DB3" w:rsidRDefault="00947DB3" w:rsidP="005D610B">
            <w:pPr>
              <w:pStyle w:val="Alishlah22heading2"/>
              <w:spacing w:before="0" w:after="0" w:line="240" w:lineRule="auto"/>
              <w:jc w:val="center"/>
              <w:rPr>
                <w:b w:val="0"/>
                <w:bCs w:val="0"/>
                <w:i w:val="0"/>
                <w:iCs/>
              </w:rPr>
            </w:pPr>
            <w:r>
              <w:rPr>
                <w:b w:val="0"/>
                <w:bCs w:val="0"/>
                <w:i w:val="0"/>
                <w:iCs/>
              </w:rPr>
              <w:t>Description</w:t>
            </w:r>
          </w:p>
        </w:tc>
      </w:tr>
      <w:tr w:rsidR="00947DB3" w14:paraId="7AB748C0" w14:textId="77777777" w:rsidTr="00947DB3">
        <w:trPr>
          <w:trHeight w:val="761"/>
          <w:jc w:val="center"/>
        </w:trPr>
        <w:tc>
          <w:tcPr>
            <w:tcW w:w="1466" w:type="dxa"/>
            <w:tcBorders>
              <w:bottom w:val="nil"/>
              <w:right w:val="nil"/>
            </w:tcBorders>
          </w:tcPr>
          <w:p w14:paraId="710596A1" w14:textId="6C04EECD" w:rsidR="00947DB3" w:rsidRPr="00947DB3" w:rsidRDefault="00947DB3" w:rsidP="005D610B">
            <w:pPr>
              <w:pStyle w:val="Alishlah22heading2"/>
              <w:spacing w:before="0" w:after="0" w:line="240" w:lineRule="auto"/>
              <w:rPr>
                <w:b w:val="0"/>
                <w:bCs w:val="0"/>
                <w:i w:val="0"/>
                <w:iCs/>
              </w:rPr>
            </w:pPr>
            <w:r w:rsidRPr="00947DB3">
              <w:rPr>
                <w:b w:val="0"/>
                <w:bCs w:val="0"/>
                <w:i w:val="0"/>
                <w:iCs/>
              </w:rPr>
              <w:t>Ability to Generate New and Innovative Ideas</w:t>
            </w:r>
          </w:p>
        </w:tc>
        <w:tc>
          <w:tcPr>
            <w:tcW w:w="585" w:type="dxa"/>
            <w:tcBorders>
              <w:left w:val="nil"/>
              <w:bottom w:val="nil"/>
              <w:right w:val="nil"/>
            </w:tcBorders>
          </w:tcPr>
          <w:p w14:paraId="7E7094DF" w14:textId="1B5B713C" w:rsidR="00947DB3" w:rsidRDefault="00976BB0" w:rsidP="005D610B">
            <w:pPr>
              <w:pStyle w:val="Alishlah22heading2"/>
              <w:spacing w:before="0" w:after="0" w:line="240" w:lineRule="auto"/>
              <w:jc w:val="both"/>
              <w:rPr>
                <w:b w:val="0"/>
                <w:bCs w:val="0"/>
                <w:i w:val="0"/>
                <w:iCs/>
              </w:rPr>
            </w:pPr>
            <w:r>
              <w:rPr>
                <w:b w:val="0"/>
                <w:bCs w:val="0"/>
                <w:i w:val="0"/>
                <w:iCs/>
              </w:rPr>
              <w:t>65%</w:t>
            </w:r>
          </w:p>
        </w:tc>
        <w:tc>
          <w:tcPr>
            <w:tcW w:w="663" w:type="dxa"/>
            <w:tcBorders>
              <w:left w:val="nil"/>
              <w:bottom w:val="nil"/>
              <w:right w:val="nil"/>
            </w:tcBorders>
          </w:tcPr>
          <w:p w14:paraId="400C2EEA" w14:textId="4CFE6F48" w:rsidR="00947DB3" w:rsidRDefault="00976BB0" w:rsidP="005D610B">
            <w:pPr>
              <w:pStyle w:val="Alishlah22heading2"/>
              <w:spacing w:before="0" w:after="0" w:line="240" w:lineRule="auto"/>
              <w:jc w:val="both"/>
              <w:rPr>
                <w:b w:val="0"/>
                <w:bCs w:val="0"/>
                <w:i w:val="0"/>
                <w:iCs/>
              </w:rPr>
            </w:pPr>
            <w:r>
              <w:rPr>
                <w:b w:val="0"/>
                <w:bCs w:val="0"/>
                <w:i w:val="0"/>
                <w:iCs/>
              </w:rPr>
              <w:t>80</w:t>
            </w:r>
            <w:r w:rsidR="00947DB3">
              <w:rPr>
                <w:b w:val="0"/>
                <w:bCs w:val="0"/>
                <w:i w:val="0"/>
                <w:iCs/>
              </w:rPr>
              <w:t>%</w:t>
            </w:r>
          </w:p>
        </w:tc>
        <w:tc>
          <w:tcPr>
            <w:tcW w:w="967" w:type="dxa"/>
            <w:tcBorders>
              <w:left w:val="nil"/>
              <w:bottom w:val="nil"/>
              <w:right w:val="nil"/>
            </w:tcBorders>
          </w:tcPr>
          <w:p w14:paraId="2E70A33F" w14:textId="07ED359C" w:rsidR="00947DB3" w:rsidRPr="00A26463" w:rsidRDefault="00947DB3" w:rsidP="005D610B">
            <w:pPr>
              <w:pStyle w:val="Alishlah22heading2"/>
              <w:spacing w:before="0" w:after="0" w:line="240" w:lineRule="auto"/>
              <w:jc w:val="both"/>
              <w:rPr>
                <w:b w:val="0"/>
                <w:bCs w:val="0"/>
                <w:i w:val="0"/>
                <w:iCs/>
              </w:rPr>
            </w:pPr>
            <w:r>
              <w:rPr>
                <w:b w:val="0"/>
                <w:bCs w:val="0"/>
                <w:i w:val="0"/>
                <w:iCs/>
              </w:rPr>
              <w:t>7</w:t>
            </w:r>
            <w:r w:rsidR="00976BB0">
              <w:rPr>
                <w:b w:val="0"/>
                <w:bCs w:val="0"/>
                <w:i w:val="0"/>
                <w:iCs/>
              </w:rPr>
              <w:t>2</w:t>
            </w:r>
            <w:r>
              <w:rPr>
                <w:b w:val="0"/>
                <w:bCs w:val="0"/>
                <w:i w:val="0"/>
                <w:iCs/>
              </w:rPr>
              <w:t>,5%</w:t>
            </w:r>
          </w:p>
        </w:tc>
        <w:tc>
          <w:tcPr>
            <w:tcW w:w="4047" w:type="dxa"/>
            <w:tcBorders>
              <w:left w:val="nil"/>
              <w:bottom w:val="nil"/>
            </w:tcBorders>
          </w:tcPr>
          <w:p w14:paraId="3233725E" w14:textId="78E81674" w:rsidR="00947DB3" w:rsidRPr="002D170E" w:rsidRDefault="002D170E" w:rsidP="005D610B">
            <w:pPr>
              <w:pStyle w:val="Alishlah22heading2"/>
              <w:spacing w:before="0" w:after="0" w:line="240" w:lineRule="auto"/>
              <w:jc w:val="both"/>
              <w:rPr>
                <w:b w:val="0"/>
                <w:bCs w:val="0"/>
                <w:i w:val="0"/>
                <w:iCs/>
              </w:rPr>
            </w:pPr>
            <w:r w:rsidRPr="002D170E">
              <w:rPr>
                <w:b w:val="0"/>
                <w:bCs w:val="0"/>
                <w:i w:val="0"/>
                <w:iCs/>
              </w:rPr>
              <w:t>Students are more capable of generating original and unique ideas.</w:t>
            </w:r>
          </w:p>
        </w:tc>
      </w:tr>
      <w:tr w:rsidR="00947DB3" w14:paraId="68A4BE6D" w14:textId="77777777" w:rsidTr="00947DB3">
        <w:trPr>
          <w:trHeight w:val="517"/>
          <w:jc w:val="center"/>
        </w:trPr>
        <w:tc>
          <w:tcPr>
            <w:tcW w:w="1466" w:type="dxa"/>
            <w:tcBorders>
              <w:top w:val="nil"/>
              <w:bottom w:val="nil"/>
              <w:right w:val="nil"/>
            </w:tcBorders>
          </w:tcPr>
          <w:p w14:paraId="646EEE53" w14:textId="40AB4C13" w:rsidR="00947DB3" w:rsidRPr="00947DB3" w:rsidRDefault="00947DB3" w:rsidP="005D610B">
            <w:pPr>
              <w:pStyle w:val="Alishlah22heading2"/>
              <w:spacing w:before="0" w:after="0" w:line="240" w:lineRule="auto"/>
              <w:rPr>
                <w:b w:val="0"/>
                <w:bCs w:val="0"/>
                <w:i w:val="0"/>
                <w:iCs/>
              </w:rPr>
            </w:pPr>
            <w:r w:rsidRPr="00947DB3">
              <w:rPr>
                <w:b w:val="0"/>
                <w:bCs w:val="0"/>
                <w:i w:val="0"/>
                <w:iCs/>
              </w:rPr>
              <w:t xml:space="preserve">The Ability to Develop </w:t>
            </w:r>
            <w:r w:rsidRPr="00947DB3">
              <w:rPr>
                <w:b w:val="0"/>
                <w:bCs w:val="0"/>
                <w:i w:val="0"/>
                <w:iCs/>
              </w:rPr>
              <w:lastRenderedPageBreak/>
              <w:t>Ideas into Real Works</w:t>
            </w:r>
          </w:p>
        </w:tc>
        <w:tc>
          <w:tcPr>
            <w:tcW w:w="585" w:type="dxa"/>
            <w:tcBorders>
              <w:top w:val="nil"/>
              <w:left w:val="nil"/>
              <w:bottom w:val="nil"/>
              <w:right w:val="nil"/>
            </w:tcBorders>
          </w:tcPr>
          <w:p w14:paraId="0EB9DAAB" w14:textId="3426DFC4" w:rsidR="00947DB3" w:rsidRDefault="00947DB3" w:rsidP="005D610B">
            <w:pPr>
              <w:pStyle w:val="Alishlah22heading2"/>
              <w:spacing w:before="0" w:after="0" w:line="240" w:lineRule="auto"/>
              <w:jc w:val="both"/>
              <w:rPr>
                <w:b w:val="0"/>
                <w:bCs w:val="0"/>
                <w:i w:val="0"/>
                <w:iCs/>
              </w:rPr>
            </w:pPr>
            <w:r>
              <w:rPr>
                <w:b w:val="0"/>
                <w:bCs w:val="0"/>
                <w:i w:val="0"/>
                <w:iCs/>
              </w:rPr>
              <w:lastRenderedPageBreak/>
              <w:t>6</w:t>
            </w:r>
            <w:r w:rsidR="00976BB0">
              <w:rPr>
                <w:b w:val="0"/>
                <w:bCs w:val="0"/>
                <w:i w:val="0"/>
                <w:iCs/>
              </w:rPr>
              <w:t>0</w:t>
            </w:r>
            <w:r>
              <w:rPr>
                <w:b w:val="0"/>
                <w:bCs w:val="0"/>
                <w:i w:val="0"/>
                <w:iCs/>
              </w:rPr>
              <w:t>%</w:t>
            </w:r>
          </w:p>
        </w:tc>
        <w:tc>
          <w:tcPr>
            <w:tcW w:w="663" w:type="dxa"/>
            <w:tcBorders>
              <w:top w:val="nil"/>
              <w:left w:val="nil"/>
              <w:bottom w:val="nil"/>
              <w:right w:val="nil"/>
            </w:tcBorders>
          </w:tcPr>
          <w:p w14:paraId="0B0696E9" w14:textId="32538BED" w:rsidR="00947DB3" w:rsidRDefault="00976BB0" w:rsidP="005D610B">
            <w:pPr>
              <w:pStyle w:val="Alishlah22heading2"/>
              <w:spacing w:before="0" w:after="0" w:line="240" w:lineRule="auto"/>
              <w:jc w:val="both"/>
              <w:rPr>
                <w:b w:val="0"/>
                <w:bCs w:val="0"/>
                <w:i w:val="0"/>
                <w:iCs/>
              </w:rPr>
            </w:pPr>
            <w:r>
              <w:rPr>
                <w:b w:val="0"/>
                <w:bCs w:val="0"/>
                <w:i w:val="0"/>
                <w:iCs/>
              </w:rPr>
              <w:t>75</w:t>
            </w:r>
            <w:r w:rsidR="00947DB3">
              <w:rPr>
                <w:b w:val="0"/>
                <w:bCs w:val="0"/>
                <w:i w:val="0"/>
                <w:iCs/>
              </w:rPr>
              <w:t>%</w:t>
            </w:r>
          </w:p>
        </w:tc>
        <w:tc>
          <w:tcPr>
            <w:tcW w:w="967" w:type="dxa"/>
            <w:tcBorders>
              <w:top w:val="nil"/>
              <w:left w:val="nil"/>
              <w:bottom w:val="nil"/>
              <w:right w:val="nil"/>
            </w:tcBorders>
          </w:tcPr>
          <w:p w14:paraId="16D81262" w14:textId="18F9CDE7" w:rsidR="00947DB3" w:rsidRDefault="00976BB0" w:rsidP="005D610B">
            <w:pPr>
              <w:pStyle w:val="Alishlah22heading2"/>
              <w:spacing w:before="0" w:after="0" w:line="240" w:lineRule="auto"/>
              <w:jc w:val="both"/>
              <w:rPr>
                <w:b w:val="0"/>
                <w:bCs w:val="0"/>
                <w:i w:val="0"/>
                <w:iCs/>
              </w:rPr>
            </w:pPr>
            <w:r>
              <w:rPr>
                <w:b w:val="0"/>
                <w:bCs w:val="0"/>
                <w:i w:val="0"/>
                <w:iCs/>
              </w:rPr>
              <w:t>67</w:t>
            </w:r>
            <w:r w:rsidR="00947DB3">
              <w:rPr>
                <w:b w:val="0"/>
                <w:bCs w:val="0"/>
                <w:i w:val="0"/>
                <w:iCs/>
              </w:rPr>
              <w:t>,5%</w:t>
            </w:r>
          </w:p>
        </w:tc>
        <w:tc>
          <w:tcPr>
            <w:tcW w:w="4047" w:type="dxa"/>
            <w:tcBorders>
              <w:top w:val="nil"/>
              <w:left w:val="nil"/>
              <w:bottom w:val="nil"/>
            </w:tcBorders>
          </w:tcPr>
          <w:p w14:paraId="7A45F3BE" w14:textId="591D4CCA" w:rsidR="00947DB3" w:rsidRPr="002D170E" w:rsidRDefault="002D170E" w:rsidP="005D610B">
            <w:pPr>
              <w:pStyle w:val="Alishlah22heading2"/>
              <w:spacing w:before="0" w:after="0" w:line="240" w:lineRule="auto"/>
              <w:jc w:val="both"/>
              <w:rPr>
                <w:b w:val="0"/>
                <w:bCs w:val="0"/>
                <w:i w:val="0"/>
                <w:iCs/>
              </w:rPr>
            </w:pPr>
            <w:r w:rsidRPr="002D170E">
              <w:rPr>
                <w:b w:val="0"/>
                <w:bCs w:val="0"/>
                <w:i w:val="0"/>
                <w:iCs/>
              </w:rPr>
              <w:t>Students have improved in developing ideas into implementable works.</w:t>
            </w:r>
          </w:p>
        </w:tc>
      </w:tr>
      <w:tr w:rsidR="00947DB3" w14:paraId="597DBE56" w14:textId="77777777" w:rsidTr="00947DB3">
        <w:trPr>
          <w:trHeight w:val="776"/>
          <w:jc w:val="center"/>
        </w:trPr>
        <w:tc>
          <w:tcPr>
            <w:tcW w:w="1466" w:type="dxa"/>
            <w:tcBorders>
              <w:top w:val="nil"/>
              <w:bottom w:val="nil"/>
              <w:right w:val="nil"/>
            </w:tcBorders>
          </w:tcPr>
          <w:p w14:paraId="1F62622A" w14:textId="4A649A6B" w:rsidR="00947DB3" w:rsidRPr="00947DB3" w:rsidRDefault="00947DB3" w:rsidP="005D610B">
            <w:pPr>
              <w:pStyle w:val="Alishlah22heading2"/>
              <w:spacing w:before="0" w:after="0" w:line="240" w:lineRule="auto"/>
              <w:rPr>
                <w:b w:val="0"/>
                <w:bCs w:val="0"/>
                <w:i w:val="0"/>
                <w:iCs/>
              </w:rPr>
            </w:pPr>
            <w:r w:rsidRPr="00947DB3">
              <w:rPr>
                <w:b w:val="0"/>
                <w:bCs w:val="0"/>
                <w:i w:val="0"/>
                <w:iCs/>
              </w:rPr>
              <w:t>Ability to Communicate Ideas Clearly and Effectively</w:t>
            </w:r>
          </w:p>
        </w:tc>
        <w:tc>
          <w:tcPr>
            <w:tcW w:w="585" w:type="dxa"/>
            <w:tcBorders>
              <w:top w:val="nil"/>
              <w:left w:val="nil"/>
              <w:bottom w:val="nil"/>
              <w:right w:val="nil"/>
            </w:tcBorders>
          </w:tcPr>
          <w:p w14:paraId="1C5CBAAE" w14:textId="07A7FD04" w:rsidR="00947DB3" w:rsidRDefault="00976BB0" w:rsidP="005D610B">
            <w:pPr>
              <w:pStyle w:val="Alishlah22heading2"/>
              <w:spacing w:before="0" w:after="0" w:line="240" w:lineRule="auto"/>
              <w:jc w:val="both"/>
              <w:rPr>
                <w:b w:val="0"/>
                <w:bCs w:val="0"/>
                <w:i w:val="0"/>
                <w:iCs/>
              </w:rPr>
            </w:pPr>
            <w:r>
              <w:rPr>
                <w:b w:val="0"/>
                <w:bCs w:val="0"/>
                <w:i w:val="0"/>
                <w:iCs/>
              </w:rPr>
              <w:t>70</w:t>
            </w:r>
            <w:r w:rsidR="00947DB3">
              <w:rPr>
                <w:b w:val="0"/>
                <w:bCs w:val="0"/>
                <w:i w:val="0"/>
                <w:iCs/>
              </w:rPr>
              <w:t>%</w:t>
            </w:r>
          </w:p>
        </w:tc>
        <w:tc>
          <w:tcPr>
            <w:tcW w:w="663" w:type="dxa"/>
            <w:tcBorders>
              <w:top w:val="nil"/>
              <w:left w:val="nil"/>
              <w:bottom w:val="nil"/>
              <w:right w:val="nil"/>
            </w:tcBorders>
          </w:tcPr>
          <w:p w14:paraId="2C725B63" w14:textId="24318E5B" w:rsidR="00947DB3" w:rsidRDefault="00976BB0" w:rsidP="005D610B">
            <w:pPr>
              <w:pStyle w:val="Alishlah22heading2"/>
              <w:spacing w:before="0" w:after="0" w:line="240" w:lineRule="auto"/>
              <w:jc w:val="both"/>
              <w:rPr>
                <w:b w:val="0"/>
                <w:bCs w:val="0"/>
                <w:i w:val="0"/>
                <w:iCs/>
              </w:rPr>
            </w:pPr>
            <w:r>
              <w:rPr>
                <w:b w:val="0"/>
                <w:bCs w:val="0"/>
                <w:i w:val="0"/>
                <w:iCs/>
              </w:rPr>
              <w:t>85</w:t>
            </w:r>
            <w:r w:rsidR="00947DB3">
              <w:rPr>
                <w:b w:val="0"/>
                <w:bCs w:val="0"/>
                <w:i w:val="0"/>
                <w:iCs/>
              </w:rPr>
              <w:t>%</w:t>
            </w:r>
          </w:p>
        </w:tc>
        <w:tc>
          <w:tcPr>
            <w:tcW w:w="967" w:type="dxa"/>
            <w:tcBorders>
              <w:top w:val="nil"/>
              <w:left w:val="nil"/>
              <w:bottom w:val="nil"/>
              <w:right w:val="nil"/>
            </w:tcBorders>
          </w:tcPr>
          <w:p w14:paraId="3A28A4F4" w14:textId="3B31250A" w:rsidR="00947DB3" w:rsidRDefault="00976BB0" w:rsidP="005D610B">
            <w:pPr>
              <w:pStyle w:val="Alishlah22heading2"/>
              <w:spacing w:before="0" w:after="0" w:line="240" w:lineRule="auto"/>
              <w:jc w:val="both"/>
              <w:rPr>
                <w:b w:val="0"/>
                <w:bCs w:val="0"/>
                <w:i w:val="0"/>
                <w:iCs/>
              </w:rPr>
            </w:pPr>
            <w:r>
              <w:rPr>
                <w:b w:val="0"/>
                <w:bCs w:val="0"/>
                <w:i w:val="0"/>
                <w:iCs/>
              </w:rPr>
              <w:t>77,5</w:t>
            </w:r>
            <w:r w:rsidR="00947DB3">
              <w:rPr>
                <w:b w:val="0"/>
                <w:bCs w:val="0"/>
                <w:i w:val="0"/>
                <w:iCs/>
              </w:rPr>
              <w:t>%</w:t>
            </w:r>
          </w:p>
        </w:tc>
        <w:tc>
          <w:tcPr>
            <w:tcW w:w="4047" w:type="dxa"/>
            <w:tcBorders>
              <w:top w:val="nil"/>
              <w:left w:val="nil"/>
              <w:bottom w:val="nil"/>
            </w:tcBorders>
          </w:tcPr>
          <w:p w14:paraId="444D0320" w14:textId="1C531707" w:rsidR="00947DB3" w:rsidRPr="002D170E" w:rsidRDefault="002D170E" w:rsidP="005D610B">
            <w:pPr>
              <w:pStyle w:val="Alishlah22heading2"/>
              <w:spacing w:before="0" w:after="0" w:line="240" w:lineRule="auto"/>
              <w:jc w:val="both"/>
              <w:rPr>
                <w:b w:val="0"/>
                <w:bCs w:val="0"/>
                <w:i w:val="0"/>
                <w:iCs/>
              </w:rPr>
            </w:pPr>
            <w:r w:rsidRPr="002D170E">
              <w:rPr>
                <w:b w:val="0"/>
                <w:bCs w:val="0"/>
                <w:i w:val="0"/>
                <w:iCs/>
              </w:rPr>
              <w:t>Students demonstrate the ability to present ideas clearly and engagingly.</w:t>
            </w:r>
          </w:p>
        </w:tc>
      </w:tr>
      <w:tr w:rsidR="00947DB3" w14:paraId="5514E3BA" w14:textId="77777777" w:rsidTr="00947DB3">
        <w:trPr>
          <w:trHeight w:val="776"/>
          <w:jc w:val="center"/>
        </w:trPr>
        <w:tc>
          <w:tcPr>
            <w:tcW w:w="1466" w:type="dxa"/>
            <w:tcBorders>
              <w:top w:val="nil"/>
              <w:bottom w:val="nil"/>
              <w:right w:val="nil"/>
            </w:tcBorders>
          </w:tcPr>
          <w:p w14:paraId="47FBCFAB" w14:textId="3DF57648" w:rsidR="00947DB3" w:rsidRPr="00947DB3" w:rsidRDefault="00947DB3" w:rsidP="005D610B">
            <w:pPr>
              <w:pStyle w:val="Alishlah22heading2"/>
              <w:spacing w:before="0" w:after="0" w:line="240" w:lineRule="auto"/>
              <w:rPr>
                <w:b w:val="0"/>
                <w:bCs w:val="0"/>
                <w:i w:val="0"/>
                <w:iCs/>
              </w:rPr>
            </w:pPr>
            <w:r w:rsidRPr="00947DB3">
              <w:rPr>
                <w:b w:val="0"/>
                <w:bCs w:val="0"/>
                <w:i w:val="0"/>
                <w:iCs/>
              </w:rPr>
              <w:t>Ability to Work Together with Others</w:t>
            </w:r>
          </w:p>
        </w:tc>
        <w:tc>
          <w:tcPr>
            <w:tcW w:w="585" w:type="dxa"/>
            <w:tcBorders>
              <w:top w:val="nil"/>
              <w:left w:val="nil"/>
              <w:bottom w:val="nil"/>
              <w:right w:val="nil"/>
            </w:tcBorders>
          </w:tcPr>
          <w:p w14:paraId="225AB893" w14:textId="116E6719" w:rsidR="00947DB3" w:rsidRDefault="00976BB0" w:rsidP="005D610B">
            <w:pPr>
              <w:pStyle w:val="Alishlah22heading2"/>
              <w:spacing w:before="0" w:after="0" w:line="240" w:lineRule="auto"/>
              <w:jc w:val="both"/>
              <w:rPr>
                <w:b w:val="0"/>
                <w:bCs w:val="0"/>
                <w:i w:val="0"/>
                <w:iCs/>
              </w:rPr>
            </w:pPr>
            <w:r>
              <w:rPr>
                <w:b w:val="0"/>
                <w:bCs w:val="0"/>
                <w:i w:val="0"/>
                <w:iCs/>
              </w:rPr>
              <w:t>5</w:t>
            </w:r>
            <w:r w:rsidR="00947DB3">
              <w:rPr>
                <w:b w:val="0"/>
                <w:bCs w:val="0"/>
                <w:i w:val="0"/>
                <w:iCs/>
              </w:rPr>
              <w:t>5%</w:t>
            </w:r>
          </w:p>
        </w:tc>
        <w:tc>
          <w:tcPr>
            <w:tcW w:w="663" w:type="dxa"/>
            <w:tcBorders>
              <w:top w:val="nil"/>
              <w:left w:val="nil"/>
              <w:bottom w:val="nil"/>
              <w:right w:val="nil"/>
            </w:tcBorders>
          </w:tcPr>
          <w:p w14:paraId="0D67B6FF" w14:textId="0C671ACE" w:rsidR="00947DB3" w:rsidRDefault="00976BB0" w:rsidP="005D610B">
            <w:pPr>
              <w:pStyle w:val="Alishlah22heading2"/>
              <w:spacing w:before="0" w:after="0" w:line="240" w:lineRule="auto"/>
              <w:jc w:val="both"/>
              <w:rPr>
                <w:b w:val="0"/>
                <w:bCs w:val="0"/>
                <w:i w:val="0"/>
                <w:iCs/>
              </w:rPr>
            </w:pPr>
            <w:r>
              <w:rPr>
                <w:b w:val="0"/>
                <w:bCs w:val="0"/>
                <w:i w:val="0"/>
                <w:iCs/>
              </w:rPr>
              <w:t>70</w:t>
            </w:r>
            <w:r w:rsidR="00947DB3">
              <w:rPr>
                <w:b w:val="0"/>
                <w:bCs w:val="0"/>
                <w:i w:val="0"/>
                <w:iCs/>
              </w:rPr>
              <w:t>%</w:t>
            </w:r>
          </w:p>
        </w:tc>
        <w:tc>
          <w:tcPr>
            <w:tcW w:w="967" w:type="dxa"/>
            <w:tcBorders>
              <w:top w:val="nil"/>
              <w:left w:val="nil"/>
              <w:bottom w:val="nil"/>
              <w:right w:val="nil"/>
            </w:tcBorders>
          </w:tcPr>
          <w:p w14:paraId="5EE41513" w14:textId="254443B0" w:rsidR="00947DB3" w:rsidRDefault="002D170E" w:rsidP="005D610B">
            <w:pPr>
              <w:pStyle w:val="Alishlah22heading2"/>
              <w:spacing w:before="0" w:after="0" w:line="240" w:lineRule="auto"/>
              <w:jc w:val="both"/>
              <w:rPr>
                <w:b w:val="0"/>
                <w:bCs w:val="0"/>
                <w:i w:val="0"/>
                <w:iCs/>
              </w:rPr>
            </w:pPr>
            <w:r>
              <w:rPr>
                <w:b w:val="0"/>
                <w:bCs w:val="0"/>
                <w:i w:val="0"/>
                <w:iCs/>
              </w:rPr>
              <w:t>62,5</w:t>
            </w:r>
            <w:r w:rsidR="00947DB3">
              <w:rPr>
                <w:b w:val="0"/>
                <w:bCs w:val="0"/>
                <w:i w:val="0"/>
                <w:iCs/>
              </w:rPr>
              <w:t>%</w:t>
            </w:r>
          </w:p>
        </w:tc>
        <w:tc>
          <w:tcPr>
            <w:tcW w:w="4047" w:type="dxa"/>
            <w:tcBorders>
              <w:top w:val="nil"/>
              <w:left w:val="nil"/>
              <w:bottom w:val="nil"/>
            </w:tcBorders>
          </w:tcPr>
          <w:p w14:paraId="6F095BD5" w14:textId="3D24F7AA" w:rsidR="00947DB3" w:rsidRPr="002D170E" w:rsidRDefault="002D170E" w:rsidP="005D610B">
            <w:pPr>
              <w:pStyle w:val="Alishlah22heading2"/>
              <w:spacing w:before="0" w:after="0" w:line="240" w:lineRule="auto"/>
              <w:jc w:val="both"/>
              <w:rPr>
                <w:b w:val="0"/>
                <w:bCs w:val="0"/>
                <w:i w:val="0"/>
                <w:iCs/>
              </w:rPr>
            </w:pPr>
            <w:r w:rsidRPr="002D170E">
              <w:rPr>
                <w:b w:val="0"/>
                <w:bCs w:val="0"/>
                <w:i w:val="0"/>
                <w:iCs/>
              </w:rPr>
              <w:t>Students are better at collaborating to produce creative works.</w:t>
            </w:r>
          </w:p>
        </w:tc>
      </w:tr>
      <w:tr w:rsidR="00947DB3" w14:paraId="33E21949" w14:textId="77777777" w:rsidTr="00947DB3">
        <w:trPr>
          <w:trHeight w:val="776"/>
          <w:jc w:val="center"/>
        </w:trPr>
        <w:tc>
          <w:tcPr>
            <w:tcW w:w="1466" w:type="dxa"/>
            <w:tcBorders>
              <w:top w:val="nil"/>
              <w:right w:val="nil"/>
            </w:tcBorders>
          </w:tcPr>
          <w:p w14:paraId="06A0A5B6" w14:textId="46081C4B" w:rsidR="00947DB3" w:rsidRPr="00947DB3" w:rsidRDefault="00947DB3" w:rsidP="005D610B">
            <w:pPr>
              <w:pStyle w:val="Alishlah22heading2"/>
              <w:spacing w:before="0" w:after="0" w:line="240" w:lineRule="auto"/>
              <w:rPr>
                <w:b w:val="0"/>
                <w:bCs w:val="0"/>
                <w:i w:val="0"/>
                <w:iCs/>
              </w:rPr>
            </w:pPr>
            <w:r w:rsidRPr="00947DB3">
              <w:rPr>
                <w:b w:val="0"/>
                <w:bCs w:val="0"/>
                <w:i w:val="0"/>
                <w:iCs/>
              </w:rPr>
              <w:t>Ability to Face Challenges and Uncertainty</w:t>
            </w:r>
          </w:p>
        </w:tc>
        <w:tc>
          <w:tcPr>
            <w:tcW w:w="585" w:type="dxa"/>
            <w:tcBorders>
              <w:top w:val="nil"/>
              <w:left w:val="nil"/>
              <w:right w:val="nil"/>
            </w:tcBorders>
          </w:tcPr>
          <w:p w14:paraId="5C01EA11" w14:textId="3B4E0AAA" w:rsidR="00947DB3" w:rsidRDefault="00976BB0" w:rsidP="005D610B">
            <w:pPr>
              <w:pStyle w:val="Alishlah22heading2"/>
              <w:spacing w:before="0" w:after="0" w:line="240" w:lineRule="auto"/>
              <w:jc w:val="both"/>
              <w:rPr>
                <w:b w:val="0"/>
                <w:bCs w:val="0"/>
                <w:i w:val="0"/>
                <w:iCs/>
              </w:rPr>
            </w:pPr>
            <w:r>
              <w:rPr>
                <w:b w:val="0"/>
                <w:bCs w:val="0"/>
                <w:i w:val="0"/>
                <w:iCs/>
              </w:rPr>
              <w:t>50%</w:t>
            </w:r>
          </w:p>
        </w:tc>
        <w:tc>
          <w:tcPr>
            <w:tcW w:w="663" w:type="dxa"/>
            <w:tcBorders>
              <w:top w:val="nil"/>
              <w:left w:val="nil"/>
              <w:right w:val="nil"/>
            </w:tcBorders>
          </w:tcPr>
          <w:p w14:paraId="507D7BCC" w14:textId="080580F0" w:rsidR="00947DB3" w:rsidRDefault="00976BB0" w:rsidP="005D610B">
            <w:pPr>
              <w:pStyle w:val="Alishlah22heading2"/>
              <w:spacing w:before="0" w:after="0" w:line="240" w:lineRule="auto"/>
              <w:jc w:val="both"/>
              <w:rPr>
                <w:b w:val="0"/>
                <w:bCs w:val="0"/>
                <w:i w:val="0"/>
                <w:iCs/>
              </w:rPr>
            </w:pPr>
            <w:r>
              <w:rPr>
                <w:b w:val="0"/>
                <w:bCs w:val="0"/>
                <w:i w:val="0"/>
                <w:iCs/>
              </w:rPr>
              <w:t>65%</w:t>
            </w:r>
          </w:p>
        </w:tc>
        <w:tc>
          <w:tcPr>
            <w:tcW w:w="967" w:type="dxa"/>
            <w:tcBorders>
              <w:top w:val="nil"/>
              <w:left w:val="nil"/>
              <w:right w:val="nil"/>
            </w:tcBorders>
          </w:tcPr>
          <w:p w14:paraId="790310FB" w14:textId="304F1E86" w:rsidR="00947DB3" w:rsidRDefault="002D170E" w:rsidP="005D610B">
            <w:pPr>
              <w:pStyle w:val="Alishlah22heading2"/>
              <w:spacing w:before="0" w:after="0" w:line="240" w:lineRule="auto"/>
              <w:jc w:val="both"/>
              <w:rPr>
                <w:b w:val="0"/>
                <w:bCs w:val="0"/>
                <w:i w:val="0"/>
                <w:iCs/>
              </w:rPr>
            </w:pPr>
            <w:r>
              <w:rPr>
                <w:b w:val="0"/>
                <w:bCs w:val="0"/>
                <w:i w:val="0"/>
                <w:iCs/>
              </w:rPr>
              <w:t>57,5%</w:t>
            </w:r>
          </w:p>
        </w:tc>
        <w:tc>
          <w:tcPr>
            <w:tcW w:w="4047" w:type="dxa"/>
            <w:tcBorders>
              <w:top w:val="nil"/>
              <w:left w:val="nil"/>
            </w:tcBorders>
          </w:tcPr>
          <w:p w14:paraId="05AF5F27" w14:textId="0C12B59F" w:rsidR="00947DB3" w:rsidRPr="00100F3D" w:rsidRDefault="002D170E" w:rsidP="005D610B">
            <w:pPr>
              <w:pStyle w:val="Alishlah22heading2"/>
              <w:spacing w:before="0" w:after="0" w:line="240" w:lineRule="auto"/>
              <w:jc w:val="both"/>
              <w:rPr>
                <w:b w:val="0"/>
                <w:bCs w:val="0"/>
                <w:i w:val="0"/>
                <w:iCs/>
              </w:rPr>
            </w:pPr>
            <w:r w:rsidRPr="002D170E">
              <w:rPr>
                <w:b w:val="0"/>
                <w:bCs w:val="0"/>
                <w:i w:val="0"/>
                <w:iCs/>
              </w:rPr>
              <w:t>Students are increasingly able to face challenges and uncertainties in the creation process.</w:t>
            </w:r>
          </w:p>
        </w:tc>
      </w:tr>
    </w:tbl>
    <w:p w14:paraId="6175A97C" w14:textId="77777777" w:rsidR="00947DB3" w:rsidRDefault="00947DB3" w:rsidP="00AE1C5B">
      <w:pPr>
        <w:spacing w:after="0" w:line="240" w:lineRule="auto"/>
        <w:jc w:val="both"/>
        <w:rPr>
          <w:rFonts w:ascii="Times New Roman" w:hAnsi="Times New Roman"/>
          <w:sz w:val="24"/>
          <w:szCs w:val="24"/>
          <w:lang w:val="id-ID" w:eastAsia="id-ID"/>
        </w:rPr>
      </w:pPr>
    </w:p>
    <w:p w14:paraId="162DBE3D" w14:textId="77777777" w:rsidR="00AE1C5B" w:rsidRDefault="00AE1C5B" w:rsidP="00AE1C5B">
      <w:pPr>
        <w:pStyle w:val="Alishlah22heading2"/>
        <w:spacing w:before="0" w:after="0"/>
        <w:ind w:firstLine="720"/>
        <w:jc w:val="both"/>
        <w:rPr>
          <w:b w:val="0"/>
          <w:bCs w:val="0"/>
          <w:i w:val="0"/>
          <w:iCs/>
        </w:rPr>
      </w:pPr>
      <w:r w:rsidRPr="00AE1C5B">
        <w:rPr>
          <w:b w:val="0"/>
          <w:bCs w:val="0"/>
          <w:i w:val="0"/>
          <w:iCs/>
        </w:rPr>
        <w:t>The data in the table clearly demonstrates a significant improvement across various aspects of students' abilities related to creativity and collaboration after the implementation of a new learning strategy. In terms of generating new and innovative ideas, students improved from a pre-test score of 65% to a post-test score of 80%, with an average of 72.5%, indicating a notable enhancement in their capability to think creatively and produce original ideas. Similarly, the ability to develop these ideas into real, tangible works also saw progress, rising from 60% to 75%, with an average of 67.5%. This shows that students not only became more creative in their thinking but also more effective in turning their concepts into practical outcomes. Furthermore, students' ability to communicate their ideas clearly and effectively improved from 70% in the pre-test to 85% in the post-test, achieving an average score of 77.5%, demonstrating a significant increase in their presentation and communication skills. Collaborative skills also saw an improvement, with students' ability to work with others increasing from 55% to 70%, indicating better teamwork and cooperation with an average of 62.5%. Lastly, students showed enhanced resilience and adaptability when facing challenges and uncertainty during the creation process, with scores improving from 50% to 65%, averaging at 57.5%. This comprehensive improvement across all measured aspects suggests that students not only developed better cognitive and creative skills but also grew in their ability to work collaboratively and handle obstacles, preparing them for more complex problem-solving and creative endeavors.</w:t>
      </w:r>
    </w:p>
    <w:p w14:paraId="3983AE06" w14:textId="77777777" w:rsidR="00462B22" w:rsidRDefault="00462B22" w:rsidP="005D610B">
      <w:pPr>
        <w:spacing w:after="0" w:line="240" w:lineRule="auto"/>
        <w:jc w:val="both"/>
        <w:rPr>
          <w:rFonts w:ascii="Times New Roman" w:hAnsi="Times New Roman"/>
          <w:sz w:val="24"/>
          <w:szCs w:val="24"/>
          <w:lang w:val="id-ID" w:eastAsia="id-ID"/>
        </w:rPr>
      </w:pPr>
    </w:p>
    <w:p w14:paraId="12BF1B83" w14:textId="77777777" w:rsidR="00462B22" w:rsidRPr="00462B22" w:rsidRDefault="00462B22" w:rsidP="00462B22">
      <w:pPr>
        <w:pStyle w:val="trt0xe"/>
        <w:spacing w:before="0" w:beforeAutospacing="0" w:after="0" w:afterAutospacing="0"/>
        <w:jc w:val="center"/>
        <w:rPr>
          <w:rStyle w:val="Strong"/>
          <w:rFonts w:ascii="Palatino Linotype" w:hAnsi="Palatino Linotype"/>
          <w:sz w:val="18"/>
          <w:szCs w:val="18"/>
        </w:rPr>
      </w:pPr>
      <w:r w:rsidRPr="002D170E">
        <w:rPr>
          <w:rStyle w:val="Strong"/>
          <w:rFonts w:ascii="Palatino Linotype" w:hAnsi="Palatino Linotype"/>
          <w:sz w:val="18"/>
          <w:szCs w:val="18"/>
        </w:rPr>
        <w:t>Table 4.</w:t>
      </w:r>
      <w:r>
        <w:rPr>
          <w:rStyle w:val="Strong"/>
          <w:rFonts w:ascii="Palatino Linotype" w:hAnsi="Palatino Linotype"/>
          <w:sz w:val="18"/>
          <w:szCs w:val="18"/>
        </w:rPr>
        <w:t xml:space="preserve"> </w:t>
      </w:r>
      <w:r w:rsidRPr="00462B22">
        <w:rPr>
          <w:rStyle w:val="Strong"/>
          <w:rFonts w:ascii="Palatino Linotype" w:hAnsi="Palatino Linotype"/>
          <w:b w:val="0"/>
          <w:bCs w:val="0"/>
          <w:sz w:val="18"/>
          <w:szCs w:val="18"/>
        </w:rPr>
        <w:t xml:space="preserve">Comparison of Pre-Test and Post-Test Results of Evaluation Ability </w:t>
      </w:r>
    </w:p>
    <w:p w14:paraId="1DD1BFFD" w14:textId="77777777" w:rsidR="00462B22" w:rsidRDefault="00462B22" w:rsidP="000720F1">
      <w:pPr>
        <w:spacing w:after="0" w:line="240" w:lineRule="auto"/>
        <w:ind w:left="1134" w:firstLine="720"/>
        <w:jc w:val="both"/>
        <w:rPr>
          <w:rFonts w:ascii="Times New Roman" w:hAnsi="Times New Roman"/>
          <w:sz w:val="24"/>
          <w:szCs w:val="24"/>
          <w:lang w:val="id-ID" w:eastAsia="id-ID"/>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780"/>
        <w:gridCol w:w="585"/>
        <w:gridCol w:w="663"/>
        <w:gridCol w:w="967"/>
        <w:gridCol w:w="4047"/>
      </w:tblGrid>
      <w:tr w:rsidR="002D170E" w14:paraId="245787BA" w14:textId="77777777" w:rsidTr="00462B22">
        <w:trPr>
          <w:trHeight w:val="517"/>
          <w:jc w:val="center"/>
        </w:trPr>
        <w:tc>
          <w:tcPr>
            <w:tcW w:w="1780" w:type="dxa"/>
            <w:tcBorders>
              <w:bottom w:val="single" w:sz="4" w:space="0" w:color="auto"/>
              <w:right w:val="nil"/>
            </w:tcBorders>
          </w:tcPr>
          <w:p w14:paraId="7DFF2ECE" w14:textId="77777777" w:rsidR="002D170E" w:rsidRDefault="002D170E" w:rsidP="00D35775">
            <w:pPr>
              <w:pStyle w:val="Alishlah22heading2"/>
              <w:spacing w:before="0" w:after="0"/>
              <w:jc w:val="center"/>
              <w:rPr>
                <w:b w:val="0"/>
                <w:bCs w:val="0"/>
                <w:i w:val="0"/>
                <w:iCs/>
              </w:rPr>
            </w:pPr>
            <w:r w:rsidRPr="00A26463">
              <w:rPr>
                <w:b w:val="0"/>
                <w:bCs w:val="0"/>
                <w:i w:val="0"/>
                <w:iCs/>
              </w:rPr>
              <w:t>Aspect</w:t>
            </w:r>
          </w:p>
        </w:tc>
        <w:tc>
          <w:tcPr>
            <w:tcW w:w="585" w:type="dxa"/>
            <w:tcBorders>
              <w:left w:val="nil"/>
              <w:bottom w:val="single" w:sz="4" w:space="0" w:color="auto"/>
              <w:right w:val="nil"/>
            </w:tcBorders>
          </w:tcPr>
          <w:p w14:paraId="41B3A393" w14:textId="77777777" w:rsidR="002D170E" w:rsidRDefault="002D170E" w:rsidP="00D35775">
            <w:pPr>
              <w:pStyle w:val="Alishlah22heading2"/>
              <w:spacing w:before="0" w:after="0"/>
              <w:jc w:val="center"/>
              <w:rPr>
                <w:b w:val="0"/>
                <w:bCs w:val="0"/>
                <w:i w:val="0"/>
                <w:iCs/>
              </w:rPr>
            </w:pPr>
            <w:r w:rsidRPr="00A26463">
              <w:rPr>
                <w:b w:val="0"/>
                <w:bCs w:val="0"/>
                <w:i w:val="0"/>
                <w:iCs/>
              </w:rPr>
              <w:t>Pre-Test</w:t>
            </w:r>
          </w:p>
        </w:tc>
        <w:tc>
          <w:tcPr>
            <w:tcW w:w="663" w:type="dxa"/>
            <w:tcBorders>
              <w:left w:val="nil"/>
              <w:bottom w:val="single" w:sz="4" w:space="0" w:color="auto"/>
              <w:right w:val="nil"/>
            </w:tcBorders>
          </w:tcPr>
          <w:p w14:paraId="2397194B" w14:textId="77777777" w:rsidR="002D170E" w:rsidRDefault="002D170E" w:rsidP="00D35775">
            <w:pPr>
              <w:pStyle w:val="Alishlah22heading2"/>
              <w:spacing w:before="0" w:after="0"/>
              <w:jc w:val="center"/>
              <w:rPr>
                <w:b w:val="0"/>
                <w:bCs w:val="0"/>
                <w:i w:val="0"/>
                <w:iCs/>
              </w:rPr>
            </w:pPr>
            <w:r w:rsidRPr="00A26463">
              <w:rPr>
                <w:b w:val="0"/>
                <w:bCs w:val="0"/>
                <w:i w:val="0"/>
                <w:iCs/>
              </w:rPr>
              <w:t>Post-Test</w:t>
            </w:r>
          </w:p>
        </w:tc>
        <w:tc>
          <w:tcPr>
            <w:tcW w:w="967" w:type="dxa"/>
            <w:tcBorders>
              <w:left w:val="nil"/>
              <w:bottom w:val="single" w:sz="4" w:space="0" w:color="auto"/>
              <w:right w:val="nil"/>
            </w:tcBorders>
          </w:tcPr>
          <w:p w14:paraId="76B21262" w14:textId="77777777" w:rsidR="002D170E" w:rsidRDefault="002D170E" w:rsidP="00D35775">
            <w:pPr>
              <w:pStyle w:val="Alishlah22heading2"/>
              <w:spacing w:before="0" w:after="0"/>
              <w:jc w:val="center"/>
              <w:rPr>
                <w:b w:val="0"/>
                <w:bCs w:val="0"/>
                <w:i w:val="0"/>
                <w:iCs/>
              </w:rPr>
            </w:pPr>
            <w:r w:rsidRPr="00A26463">
              <w:rPr>
                <w:b w:val="0"/>
                <w:bCs w:val="0"/>
                <w:i w:val="0"/>
                <w:iCs/>
              </w:rPr>
              <w:t>Average</w:t>
            </w:r>
          </w:p>
        </w:tc>
        <w:tc>
          <w:tcPr>
            <w:tcW w:w="4047" w:type="dxa"/>
            <w:tcBorders>
              <w:left w:val="nil"/>
              <w:bottom w:val="single" w:sz="4" w:space="0" w:color="auto"/>
            </w:tcBorders>
          </w:tcPr>
          <w:p w14:paraId="28782606" w14:textId="77777777" w:rsidR="002D170E" w:rsidRDefault="002D170E" w:rsidP="00D35775">
            <w:pPr>
              <w:pStyle w:val="Alishlah22heading2"/>
              <w:spacing w:before="0" w:after="0"/>
              <w:jc w:val="center"/>
              <w:rPr>
                <w:b w:val="0"/>
                <w:bCs w:val="0"/>
                <w:i w:val="0"/>
                <w:iCs/>
              </w:rPr>
            </w:pPr>
            <w:r>
              <w:rPr>
                <w:b w:val="0"/>
                <w:bCs w:val="0"/>
                <w:i w:val="0"/>
                <w:iCs/>
              </w:rPr>
              <w:t>Description</w:t>
            </w:r>
          </w:p>
        </w:tc>
      </w:tr>
      <w:tr w:rsidR="002D170E" w14:paraId="3D8DE9C3" w14:textId="77777777" w:rsidTr="00462B22">
        <w:trPr>
          <w:trHeight w:val="70"/>
          <w:jc w:val="center"/>
        </w:trPr>
        <w:tc>
          <w:tcPr>
            <w:tcW w:w="1780" w:type="dxa"/>
            <w:tcBorders>
              <w:bottom w:val="nil"/>
              <w:right w:val="nil"/>
            </w:tcBorders>
          </w:tcPr>
          <w:p w14:paraId="4CFEB25A" w14:textId="435CA0CA" w:rsidR="002D170E" w:rsidRPr="00462B22" w:rsidRDefault="00462B22" w:rsidP="00462B22">
            <w:pPr>
              <w:pStyle w:val="Alishlah22heading2"/>
              <w:spacing w:before="0" w:after="0"/>
              <w:rPr>
                <w:b w:val="0"/>
                <w:bCs w:val="0"/>
                <w:i w:val="0"/>
                <w:iCs/>
              </w:rPr>
            </w:pPr>
            <w:r w:rsidRPr="00462B22">
              <w:rPr>
                <w:b w:val="0"/>
                <w:bCs w:val="0"/>
                <w:i w:val="0"/>
                <w:iCs/>
              </w:rPr>
              <w:t>Accuracy of Deficiency Identification</w:t>
            </w:r>
          </w:p>
        </w:tc>
        <w:tc>
          <w:tcPr>
            <w:tcW w:w="585" w:type="dxa"/>
            <w:tcBorders>
              <w:left w:val="nil"/>
              <w:bottom w:val="nil"/>
              <w:right w:val="nil"/>
            </w:tcBorders>
          </w:tcPr>
          <w:p w14:paraId="620D00FB" w14:textId="41572D3C" w:rsidR="002D170E" w:rsidRDefault="00462B22" w:rsidP="00D35775">
            <w:pPr>
              <w:pStyle w:val="Alishlah22heading2"/>
              <w:spacing w:before="0" w:after="0"/>
              <w:jc w:val="both"/>
              <w:rPr>
                <w:b w:val="0"/>
                <w:bCs w:val="0"/>
                <w:i w:val="0"/>
                <w:iCs/>
              </w:rPr>
            </w:pPr>
            <w:r>
              <w:rPr>
                <w:b w:val="0"/>
                <w:bCs w:val="0"/>
                <w:i w:val="0"/>
                <w:iCs/>
              </w:rPr>
              <w:t>65</w:t>
            </w:r>
            <w:r w:rsidR="002D170E">
              <w:rPr>
                <w:b w:val="0"/>
                <w:bCs w:val="0"/>
                <w:i w:val="0"/>
                <w:iCs/>
              </w:rPr>
              <w:t>%</w:t>
            </w:r>
          </w:p>
        </w:tc>
        <w:tc>
          <w:tcPr>
            <w:tcW w:w="663" w:type="dxa"/>
            <w:tcBorders>
              <w:left w:val="nil"/>
              <w:bottom w:val="nil"/>
              <w:right w:val="nil"/>
            </w:tcBorders>
          </w:tcPr>
          <w:p w14:paraId="27EB98AB" w14:textId="6979539D" w:rsidR="002D170E" w:rsidRDefault="002D170E" w:rsidP="00D35775">
            <w:pPr>
              <w:pStyle w:val="Alishlah22heading2"/>
              <w:spacing w:before="0" w:after="0"/>
              <w:jc w:val="both"/>
              <w:rPr>
                <w:b w:val="0"/>
                <w:bCs w:val="0"/>
                <w:i w:val="0"/>
                <w:iCs/>
              </w:rPr>
            </w:pPr>
            <w:r>
              <w:rPr>
                <w:b w:val="0"/>
                <w:bCs w:val="0"/>
                <w:i w:val="0"/>
                <w:iCs/>
              </w:rPr>
              <w:t>8</w:t>
            </w:r>
            <w:r w:rsidR="00462B22">
              <w:rPr>
                <w:b w:val="0"/>
                <w:bCs w:val="0"/>
                <w:i w:val="0"/>
                <w:iCs/>
              </w:rPr>
              <w:t>0</w:t>
            </w:r>
            <w:r>
              <w:rPr>
                <w:b w:val="0"/>
                <w:bCs w:val="0"/>
                <w:i w:val="0"/>
                <w:iCs/>
              </w:rPr>
              <w:t>%</w:t>
            </w:r>
          </w:p>
        </w:tc>
        <w:tc>
          <w:tcPr>
            <w:tcW w:w="967" w:type="dxa"/>
            <w:tcBorders>
              <w:left w:val="nil"/>
              <w:bottom w:val="nil"/>
              <w:right w:val="nil"/>
            </w:tcBorders>
          </w:tcPr>
          <w:p w14:paraId="144C98CA" w14:textId="30088D33" w:rsidR="002D170E" w:rsidRPr="00A26463" w:rsidRDefault="002D170E" w:rsidP="00D35775">
            <w:pPr>
              <w:pStyle w:val="Alishlah22heading2"/>
              <w:spacing w:before="0" w:after="0"/>
              <w:jc w:val="both"/>
              <w:rPr>
                <w:b w:val="0"/>
                <w:bCs w:val="0"/>
                <w:i w:val="0"/>
                <w:iCs/>
              </w:rPr>
            </w:pPr>
            <w:r>
              <w:rPr>
                <w:b w:val="0"/>
                <w:bCs w:val="0"/>
                <w:i w:val="0"/>
                <w:iCs/>
              </w:rPr>
              <w:t>7</w:t>
            </w:r>
            <w:r w:rsidR="00462B22">
              <w:rPr>
                <w:b w:val="0"/>
                <w:bCs w:val="0"/>
                <w:i w:val="0"/>
                <w:iCs/>
              </w:rPr>
              <w:t>2</w:t>
            </w:r>
            <w:r>
              <w:rPr>
                <w:b w:val="0"/>
                <w:bCs w:val="0"/>
                <w:i w:val="0"/>
                <w:iCs/>
              </w:rPr>
              <w:t>,5%</w:t>
            </w:r>
          </w:p>
        </w:tc>
        <w:tc>
          <w:tcPr>
            <w:tcW w:w="4047" w:type="dxa"/>
            <w:tcBorders>
              <w:left w:val="nil"/>
              <w:bottom w:val="nil"/>
            </w:tcBorders>
          </w:tcPr>
          <w:p w14:paraId="598E277E" w14:textId="6B8D99CF" w:rsidR="002D170E" w:rsidRDefault="005D610B" w:rsidP="00D35775">
            <w:pPr>
              <w:pStyle w:val="Alishlah22heading2"/>
              <w:spacing w:before="0" w:after="0"/>
              <w:jc w:val="both"/>
              <w:rPr>
                <w:b w:val="0"/>
                <w:bCs w:val="0"/>
                <w:i w:val="0"/>
                <w:iCs/>
              </w:rPr>
            </w:pPr>
            <w:r w:rsidRPr="005D610B">
              <w:rPr>
                <w:b w:val="0"/>
                <w:bCs w:val="0"/>
                <w:i w:val="0"/>
                <w:iCs/>
              </w:rPr>
              <w:t>Students improved in identifying flaws and weaknesses in a work or idea.</w:t>
            </w:r>
          </w:p>
        </w:tc>
      </w:tr>
      <w:tr w:rsidR="00462B22" w14:paraId="1706A411" w14:textId="77777777" w:rsidTr="00462B22">
        <w:trPr>
          <w:trHeight w:val="517"/>
          <w:jc w:val="center"/>
        </w:trPr>
        <w:tc>
          <w:tcPr>
            <w:tcW w:w="1780" w:type="dxa"/>
            <w:tcBorders>
              <w:top w:val="nil"/>
              <w:bottom w:val="nil"/>
              <w:right w:val="nil"/>
            </w:tcBorders>
          </w:tcPr>
          <w:p w14:paraId="084DA147" w14:textId="363305DE" w:rsidR="00462B22" w:rsidRPr="00462B22" w:rsidRDefault="00462B22" w:rsidP="00462B22">
            <w:pPr>
              <w:pStyle w:val="Alishlah22heading2"/>
              <w:spacing w:before="0" w:after="0"/>
              <w:rPr>
                <w:b w:val="0"/>
                <w:bCs w:val="0"/>
                <w:i w:val="0"/>
                <w:iCs/>
              </w:rPr>
            </w:pPr>
            <w:r w:rsidRPr="00462B22">
              <w:rPr>
                <w:b w:val="0"/>
                <w:bCs w:val="0"/>
                <w:i w:val="0"/>
                <w:iCs/>
              </w:rPr>
              <w:t>Accuracy of Analysis</w:t>
            </w:r>
          </w:p>
        </w:tc>
        <w:tc>
          <w:tcPr>
            <w:tcW w:w="585" w:type="dxa"/>
            <w:tcBorders>
              <w:top w:val="nil"/>
              <w:left w:val="nil"/>
              <w:bottom w:val="nil"/>
              <w:right w:val="nil"/>
            </w:tcBorders>
          </w:tcPr>
          <w:p w14:paraId="2530E68E" w14:textId="345B767B" w:rsidR="00462B22" w:rsidRDefault="00462B22" w:rsidP="00462B22">
            <w:pPr>
              <w:pStyle w:val="Alishlah22heading2"/>
              <w:spacing w:before="0" w:after="0"/>
              <w:jc w:val="both"/>
              <w:rPr>
                <w:b w:val="0"/>
                <w:bCs w:val="0"/>
                <w:i w:val="0"/>
                <w:iCs/>
              </w:rPr>
            </w:pPr>
            <w:r>
              <w:rPr>
                <w:b w:val="0"/>
                <w:bCs w:val="0"/>
                <w:i w:val="0"/>
                <w:iCs/>
              </w:rPr>
              <w:t>60%</w:t>
            </w:r>
          </w:p>
        </w:tc>
        <w:tc>
          <w:tcPr>
            <w:tcW w:w="663" w:type="dxa"/>
            <w:tcBorders>
              <w:top w:val="nil"/>
              <w:left w:val="nil"/>
              <w:bottom w:val="nil"/>
              <w:right w:val="nil"/>
            </w:tcBorders>
          </w:tcPr>
          <w:p w14:paraId="60098D2E" w14:textId="25B40540" w:rsidR="00462B22" w:rsidRDefault="00462B22" w:rsidP="00462B22">
            <w:pPr>
              <w:pStyle w:val="Alishlah22heading2"/>
              <w:spacing w:before="0" w:after="0"/>
              <w:jc w:val="both"/>
              <w:rPr>
                <w:b w:val="0"/>
                <w:bCs w:val="0"/>
                <w:i w:val="0"/>
                <w:iCs/>
              </w:rPr>
            </w:pPr>
            <w:r>
              <w:rPr>
                <w:b w:val="0"/>
                <w:bCs w:val="0"/>
                <w:i w:val="0"/>
                <w:iCs/>
              </w:rPr>
              <w:t>75%</w:t>
            </w:r>
          </w:p>
        </w:tc>
        <w:tc>
          <w:tcPr>
            <w:tcW w:w="967" w:type="dxa"/>
            <w:tcBorders>
              <w:top w:val="nil"/>
              <w:left w:val="nil"/>
              <w:bottom w:val="nil"/>
              <w:right w:val="nil"/>
            </w:tcBorders>
          </w:tcPr>
          <w:p w14:paraId="697A155F" w14:textId="7A21E5B7" w:rsidR="00462B22" w:rsidRDefault="00462B22" w:rsidP="00462B22">
            <w:pPr>
              <w:pStyle w:val="Alishlah22heading2"/>
              <w:spacing w:before="0" w:after="0"/>
              <w:jc w:val="both"/>
              <w:rPr>
                <w:b w:val="0"/>
                <w:bCs w:val="0"/>
                <w:i w:val="0"/>
                <w:iCs/>
              </w:rPr>
            </w:pPr>
            <w:r>
              <w:rPr>
                <w:b w:val="0"/>
                <w:bCs w:val="0"/>
                <w:i w:val="0"/>
                <w:iCs/>
              </w:rPr>
              <w:t>67,5%</w:t>
            </w:r>
          </w:p>
        </w:tc>
        <w:tc>
          <w:tcPr>
            <w:tcW w:w="4047" w:type="dxa"/>
            <w:tcBorders>
              <w:top w:val="nil"/>
              <w:left w:val="nil"/>
              <w:bottom w:val="nil"/>
            </w:tcBorders>
          </w:tcPr>
          <w:p w14:paraId="0B92BA6D" w14:textId="75D7D054" w:rsidR="00462B22" w:rsidRDefault="005D610B" w:rsidP="00462B22">
            <w:pPr>
              <w:pStyle w:val="Alishlah22heading2"/>
              <w:spacing w:before="0" w:after="0"/>
              <w:jc w:val="both"/>
              <w:rPr>
                <w:b w:val="0"/>
                <w:bCs w:val="0"/>
                <w:i w:val="0"/>
                <w:iCs/>
              </w:rPr>
            </w:pPr>
            <w:r w:rsidRPr="005D610B">
              <w:rPr>
                <w:b w:val="0"/>
                <w:bCs w:val="0"/>
                <w:i w:val="0"/>
                <w:iCs/>
              </w:rPr>
              <w:t>Students showed better accuracy and objectivity in analyzing flaws</w:t>
            </w:r>
          </w:p>
        </w:tc>
      </w:tr>
      <w:tr w:rsidR="00462B22" w14:paraId="335CFFD7" w14:textId="77777777" w:rsidTr="00462B22">
        <w:trPr>
          <w:trHeight w:val="776"/>
          <w:jc w:val="center"/>
        </w:trPr>
        <w:tc>
          <w:tcPr>
            <w:tcW w:w="1780" w:type="dxa"/>
            <w:tcBorders>
              <w:top w:val="nil"/>
              <w:bottom w:val="nil"/>
              <w:right w:val="nil"/>
            </w:tcBorders>
          </w:tcPr>
          <w:p w14:paraId="74D0EA0D" w14:textId="5F9AFA11" w:rsidR="00462B22" w:rsidRPr="00462B22" w:rsidRDefault="00462B22" w:rsidP="00462B22">
            <w:pPr>
              <w:pStyle w:val="Alishlah22heading2"/>
              <w:spacing w:before="0" w:after="0"/>
              <w:rPr>
                <w:b w:val="0"/>
                <w:bCs w:val="0"/>
                <w:i w:val="0"/>
                <w:iCs/>
              </w:rPr>
            </w:pPr>
            <w:r w:rsidRPr="00462B22">
              <w:rPr>
                <w:b w:val="0"/>
                <w:bCs w:val="0"/>
                <w:i w:val="0"/>
                <w:iCs/>
              </w:rPr>
              <w:t>Clarity of Feedback</w:t>
            </w:r>
          </w:p>
        </w:tc>
        <w:tc>
          <w:tcPr>
            <w:tcW w:w="585" w:type="dxa"/>
            <w:tcBorders>
              <w:top w:val="nil"/>
              <w:left w:val="nil"/>
              <w:bottom w:val="nil"/>
              <w:right w:val="nil"/>
            </w:tcBorders>
          </w:tcPr>
          <w:p w14:paraId="0DAFF8AD" w14:textId="3354B104" w:rsidR="00462B22" w:rsidRDefault="00462B22" w:rsidP="00462B22">
            <w:pPr>
              <w:pStyle w:val="Alishlah22heading2"/>
              <w:spacing w:before="0" w:after="0"/>
              <w:jc w:val="both"/>
              <w:rPr>
                <w:b w:val="0"/>
                <w:bCs w:val="0"/>
                <w:i w:val="0"/>
                <w:iCs/>
              </w:rPr>
            </w:pPr>
            <w:r>
              <w:rPr>
                <w:b w:val="0"/>
                <w:bCs w:val="0"/>
                <w:i w:val="0"/>
                <w:iCs/>
              </w:rPr>
              <w:t>70%</w:t>
            </w:r>
          </w:p>
        </w:tc>
        <w:tc>
          <w:tcPr>
            <w:tcW w:w="663" w:type="dxa"/>
            <w:tcBorders>
              <w:top w:val="nil"/>
              <w:left w:val="nil"/>
              <w:bottom w:val="nil"/>
              <w:right w:val="nil"/>
            </w:tcBorders>
          </w:tcPr>
          <w:p w14:paraId="32E3B361" w14:textId="4FFC9D25" w:rsidR="00462B22" w:rsidRDefault="00462B22" w:rsidP="00462B22">
            <w:pPr>
              <w:pStyle w:val="Alishlah22heading2"/>
              <w:spacing w:before="0" w:after="0"/>
              <w:jc w:val="both"/>
              <w:rPr>
                <w:b w:val="0"/>
                <w:bCs w:val="0"/>
                <w:i w:val="0"/>
                <w:iCs/>
              </w:rPr>
            </w:pPr>
            <w:r>
              <w:rPr>
                <w:b w:val="0"/>
                <w:bCs w:val="0"/>
                <w:i w:val="0"/>
                <w:iCs/>
              </w:rPr>
              <w:t>85%</w:t>
            </w:r>
          </w:p>
        </w:tc>
        <w:tc>
          <w:tcPr>
            <w:tcW w:w="967" w:type="dxa"/>
            <w:tcBorders>
              <w:top w:val="nil"/>
              <w:left w:val="nil"/>
              <w:bottom w:val="nil"/>
              <w:right w:val="nil"/>
            </w:tcBorders>
          </w:tcPr>
          <w:p w14:paraId="6465625C" w14:textId="66FDCB04" w:rsidR="00462B22" w:rsidRDefault="00462B22" w:rsidP="00462B22">
            <w:pPr>
              <w:pStyle w:val="Alishlah22heading2"/>
              <w:spacing w:before="0" w:after="0"/>
              <w:jc w:val="both"/>
              <w:rPr>
                <w:b w:val="0"/>
                <w:bCs w:val="0"/>
                <w:i w:val="0"/>
                <w:iCs/>
              </w:rPr>
            </w:pPr>
            <w:r>
              <w:rPr>
                <w:b w:val="0"/>
                <w:bCs w:val="0"/>
                <w:i w:val="0"/>
                <w:iCs/>
              </w:rPr>
              <w:t>77,5%</w:t>
            </w:r>
          </w:p>
        </w:tc>
        <w:tc>
          <w:tcPr>
            <w:tcW w:w="4047" w:type="dxa"/>
            <w:tcBorders>
              <w:top w:val="nil"/>
              <w:left w:val="nil"/>
              <w:bottom w:val="nil"/>
            </w:tcBorders>
          </w:tcPr>
          <w:p w14:paraId="207B4043" w14:textId="257CD216" w:rsidR="00462B22" w:rsidRDefault="005D610B" w:rsidP="00462B22">
            <w:pPr>
              <w:pStyle w:val="Alishlah22heading2"/>
              <w:spacing w:before="0" w:after="0"/>
              <w:jc w:val="both"/>
              <w:rPr>
                <w:b w:val="0"/>
                <w:bCs w:val="0"/>
                <w:i w:val="0"/>
                <w:iCs/>
              </w:rPr>
            </w:pPr>
            <w:r w:rsidRPr="005D610B">
              <w:rPr>
                <w:b w:val="0"/>
                <w:bCs w:val="0"/>
                <w:i w:val="0"/>
                <w:iCs/>
              </w:rPr>
              <w:t>Students demonstrated clear and constructive feedback skills.</w:t>
            </w:r>
          </w:p>
        </w:tc>
      </w:tr>
      <w:tr w:rsidR="00462B22" w14:paraId="22E6E5D4" w14:textId="77777777" w:rsidTr="005D610B">
        <w:trPr>
          <w:trHeight w:val="289"/>
          <w:jc w:val="center"/>
        </w:trPr>
        <w:tc>
          <w:tcPr>
            <w:tcW w:w="1780" w:type="dxa"/>
            <w:tcBorders>
              <w:top w:val="nil"/>
              <w:bottom w:val="single" w:sz="4" w:space="0" w:color="auto"/>
              <w:right w:val="nil"/>
            </w:tcBorders>
          </w:tcPr>
          <w:p w14:paraId="11CFA91C" w14:textId="04C8AD87" w:rsidR="00462B22" w:rsidRPr="00462B22" w:rsidRDefault="00462B22" w:rsidP="00462B22">
            <w:pPr>
              <w:pStyle w:val="Alishlah22heading2"/>
              <w:spacing w:before="0" w:after="0"/>
              <w:jc w:val="both"/>
              <w:rPr>
                <w:b w:val="0"/>
                <w:bCs w:val="0"/>
                <w:i w:val="0"/>
                <w:iCs/>
              </w:rPr>
            </w:pPr>
            <w:r w:rsidRPr="00462B22">
              <w:rPr>
                <w:b w:val="0"/>
                <w:bCs w:val="0"/>
                <w:i w:val="0"/>
                <w:iCs/>
              </w:rPr>
              <w:t>Recommendation Accuracy</w:t>
            </w:r>
          </w:p>
        </w:tc>
        <w:tc>
          <w:tcPr>
            <w:tcW w:w="585" w:type="dxa"/>
            <w:tcBorders>
              <w:top w:val="nil"/>
              <w:left w:val="nil"/>
              <w:bottom w:val="single" w:sz="4" w:space="0" w:color="auto"/>
              <w:right w:val="nil"/>
            </w:tcBorders>
          </w:tcPr>
          <w:p w14:paraId="66974E04" w14:textId="20EAE501" w:rsidR="00462B22" w:rsidRDefault="00462B22" w:rsidP="00462B22">
            <w:pPr>
              <w:pStyle w:val="Alishlah22heading2"/>
              <w:spacing w:before="0" w:after="0"/>
              <w:jc w:val="both"/>
              <w:rPr>
                <w:b w:val="0"/>
                <w:bCs w:val="0"/>
                <w:i w:val="0"/>
                <w:iCs/>
              </w:rPr>
            </w:pPr>
            <w:r>
              <w:rPr>
                <w:b w:val="0"/>
                <w:bCs w:val="0"/>
                <w:i w:val="0"/>
                <w:iCs/>
              </w:rPr>
              <w:t>55%</w:t>
            </w:r>
          </w:p>
        </w:tc>
        <w:tc>
          <w:tcPr>
            <w:tcW w:w="663" w:type="dxa"/>
            <w:tcBorders>
              <w:top w:val="nil"/>
              <w:left w:val="nil"/>
              <w:bottom w:val="single" w:sz="4" w:space="0" w:color="auto"/>
              <w:right w:val="nil"/>
            </w:tcBorders>
          </w:tcPr>
          <w:p w14:paraId="5598EE28" w14:textId="79B797D8" w:rsidR="00462B22" w:rsidRDefault="00462B22" w:rsidP="00462B22">
            <w:pPr>
              <w:pStyle w:val="Alishlah22heading2"/>
              <w:spacing w:before="0" w:after="0"/>
              <w:jc w:val="both"/>
              <w:rPr>
                <w:b w:val="0"/>
                <w:bCs w:val="0"/>
                <w:i w:val="0"/>
                <w:iCs/>
              </w:rPr>
            </w:pPr>
            <w:r>
              <w:rPr>
                <w:b w:val="0"/>
                <w:bCs w:val="0"/>
                <w:i w:val="0"/>
                <w:iCs/>
              </w:rPr>
              <w:t>70%</w:t>
            </w:r>
          </w:p>
        </w:tc>
        <w:tc>
          <w:tcPr>
            <w:tcW w:w="967" w:type="dxa"/>
            <w:tcBorders>
              <w:top w:val="nil"/>
              <w:left w:val="nil"/>
              <w:bottom w:val="single" w:sz="4" w:space="0" w:color="auto"/>
              <w:right w:val="nil"/>
            </w:tcBorders>
          </w:tcPr>
          <w:p w14:paraId="66F5544A" w14:textId="33999DA0" w:rsidR="00462B22" w:rsidRDefault="00462B22" w:rsidP="00462B22">
            <w:pPr>
              <w:pStyle w:val="Alishlah22heading2"/>
              <w:spacing w:before="0" w:after="0"/>
              <w:jc w:val="both"/>
              <w:rPr>
                <w:b w:val="0"/>
                <w:bCs w:val="0"/>
                <w:i w:val="0"/>
                <w:iCs/>
              </w:rPr>
            </w:pPr>
            <w:r>
              <w:rPr>
                <w:b w:val="0"/>
                <w:bCs w:val="0"/>
                <w:i w:val="0"/>
                <w:iCs/>
              </w:rPr>
              <w:t>62,5%</w:t>
            </w:r>
          </w:p>
        </w:tc>
        <w:tc>
          <w:tcPr>
            <w:tcW w:w="4047" w:type="dxa"/>
            <w:tcBorders>
              <w:top w:val="nil"/>
              <w:left w:val="nil"/>
              <w:bottom w:val="single" w:sz="4" w:space="0" w:color="auto"/>
            </w:tcBorders>
          </w:tcPr>
          <w:p w14:paraId="6CAF79F7" w14:textId="039B979D" w:rsidR="00462B22" w:rsidRDefault="005D610B" w:rsidP="00462B22">
            <w:pPr>
              <w:pStyle w:val="Alishlah22heading2"/>
              <w:spacing w:before="0" w:after="0"/>
              <w:jc w:val="both"/>
              <w:rPr>
                <w:b w:val="0"/>
                <w:bCs w:val="0"/>
                <w:i w:val="0"/>
                <w:iCs/>
              </w:rPr>
            </w:pPr>
            <w:r w:rsidRPr="005D610B">
              <w:rPr>
                <w:b w:val="0"/>
                <w:bCs w:val="0"/>
                <w:i w:val="0"/>
                <w:iCs/>
              </w:rPr>
              <w:t>Students improved in giving effective recommendations to address weaknesses.</w:t>
            </w:r>
          </w:p>
        </w:tc>
      </w:tr>
    </w:tbl>
    <w:p w14:paraId="671BD72D" w14:textId="77777777" w:rsidR="00947DB3" w:rsidRDefault="00947DB3" w:rsidP="000720F1">
      <w:pPr>
        <w:spacing w:after="0" w:line="240" w:lineRule="auto"/>
        <w:ind w:left="1134" w:firstLine="720"/>
        <w:jc w:val="both"/>
        <w:rPr>
          <w:rFonts w:ascii="Times New Roman" w:hAnsi="Times New Roman"/>
          <w:sz w:val="24"/>
          <w:szCs w:val="24"/>
          <w:lang w:val="id-ID" w:eastAsia="id-ID"/>
        </w:rPr>
      </w:pPr>
    </w:p>
    <w:p w14:paraId="6FB99782" w14:textId="26EDF21B" w:rsidR="00462B22" w:rsidRPr="00081C72" w:rsidRDefault="00AE1C5B" w:rsidP="00AE1C5B">
      <w:pPr>
        <w:pStyle w:val="trt0xe"/>
        <w:spacing w:before="0" w:beforeAutospacing="0" w:after="0" w:afterAutospacing="0"/>
        <w:ind w:firstLine="360"/>
        <w:jc w:val="both"/>
        <w:rPr>
          <w:rFonts w:ascii="Palatino Linotype" w:hAnsi="Palatino Linotype"/>
          <w:sz w:val="20"/>
          <w:szCs w:val="20"/>
        </w:rPr>
      </w:pPr>
      <w:bookmarkStart w:id="2" w:name="_Hlk162211705"/>
      <w:r w:rsidRPr="00081C72">
        <w:rPr>
          <w:rFonts w:ascii="Palatino Linotype" w:hAnsi="Palatino Linotype"/>
          <w:sz w:val="20"/>
          <w:szCs w:val="20"/>
        </w:rPr>
        <w:lastRenderedPageBreak/>
        <w:t>The table highlights significant improvements in students' abilities to critically assess and provide constructive feedback on various works or ideas after the learning intervention. In the area of accurately identifying deficiencies, students' performance increased from a pre-test score of 65% to a post-test score of 80%, with an average of 72.5%, indicating their growing proficiency in recognizing flaws and weaknesses in a given work or idea. This suggests a more refined ability to detect problems, a critical skill in both academic and real-world contexts. Similarly, the accuracy of their analysis improved from 60% to 75%, averaging at 67.5%, reflecting that students became more objective and thorough in their approach to evaluating deficiencies. Their feedback delivery also saw a marked improvement, with clarity of feedback scores rising from 70% to 85%, resulting in an average of 77.5%. This demonstrates that students became more capable of offering feedback that is not only clear but also constructive and actionable, an important aspect of collaborative work and peer evaluation. Finally, the students' ability to offer accurate and effective recommendations for addressing identified weaknesses improved from 55% to 70%, with an average of 62.5%, showcasing their enhanced capability in problem-solving and in providing practical solutions to improve upon identified flaws. Overall, the data reflects a holistic growth in students' critical thinking, analytical accuracy, and their ability to contribute meaningfully to the improvement of ideas and projects. These skills are essential for higher-level cognitive development and real-world application, underscoring the value of the implemented teaching strategy.</w:t>
      </w:r>
    </w:p>
    <w:bookmarkEnd w:id="2"/>
    <w:p w14:paraId="6C0FC4E4" w14:textId="07BF8F98" w:rsidR="00D25F1F" w:rsidRPr="00CF5063" w:rsidRDefault="00D25F1F" w:rsidP="00CF5063">
      <w:pPr>
        <w:pStyle w:val="Alishlah21heading1"/>
        <w:numPr>
          <w:ilvl w:val="1"/>
          <w:numId w:val="19"/>
        </w:numPr>
        <w:rPr>
          <w:i/>
          <w:iCs/>
        </w:rPr>
      </w:pPr>
      <w:r w:rsidRPr="00CF5063">
        <w:rPr>
          <w:i/>
          <w:iCs/>
        </w:rPr>
        <w:t>Integration of Jigsaw in the Context of Social Science</w:t>
      </w:r>
    </w:p>
    <w:p w14:paraId="311DE4E2" w14:textId="35BA0138" w:rsidR="00D25F1F" w:rsidRPr="00D25F1F" w:rsidRDefault="00D25F1F" w:rsidP="00D25F1F">
      <w:pPr>
        <w:spacing w:after="0" w:line="240" w:lineRule="auto"/>
        <w:jc w:val="both"/>
        <w:rPr>
          <w:rFonts w:ascii="Palatino Linotype" w:hAnsi="Palatino Linotype"/>
          <w:sz w:val="20"/>
          <w:szCs w:val="20"/>
        </w:rPr>
      </w:pPr>
      <w:r w:rsidRPr="00D25F1F">
        <w:rPr>
          <w:rFonts w:ascii="Palatino Linotype" w:hAnsi="Palatino Linotype"/>
          <w:sz w:val="20"/>
          <w:szCs w:val="20"/>
        </w:rPr>
        <w:tab/>
        <w:t>The use of the Jigsaw learning strategy offers a unique opportunity to integrate a collaborative approach with Social Science content</w:t>
      </w:r>
      <w:r w:rsidR="00B11C1B">
        <w:rPr>
          <w:rFonts w:ascii="Palatino Linotype" w:hAnsi="Palatino Linotype"/>
          <w:sz w:val="20"/>
          <w:szCs w:val="20"/>
        </w:rPr>
        <w:t xml:space="preserve"> </w:t>
      </w:r>
      <w:r w:rsidRPr="00D25F1F">
        <w:rPr>
          <w:rFonts w:ascii="Palatino Linotype" w:hAnsi="Palatino Linotype"/>
          <w:sz w:val="20"/>
          <w:szCs w:val="20"/>
        </w:rPr>
        <w:fldChar w:fldCharType="begin"/>
      </w:r>
      <w:r w:rsidR="00A0227A">
        <w:rPr>
          <w:rFonts w:ascii="Palatino Linotype" w:hAnsi="Palatino Linotype"/>
          <w:sz w:val="20"/>
          <w:szCs w:val="20"/>
        </w:rPr>
        <w:instrText xml:space="preserve"> ADDIN ZOTERO_ITEM CSL_CITATION {"citationID":"2VPtZFjG","properties":{"formattedCitation":"(Eysink et al., 2020)","plainCitation":"(Eysink et al., 2020)","noteIndex":0},"citationItems":[{"id":"hiqTCfwy/4JO5MBPs","uris":["http://zotero.org/users/local/Pjdjlz4D/items/2ME6RBTS"],"itemData":{"id":1158,"type":"article-journal","abstract":"Abstract\n            This paper describes the development of the BE COOL! learning environment that gives all children, gifted and non-gifted, the opportunity to learn at a level matching their specific needs and abilities within the social context of regular education. BE COOL! uses the ability-adjusted jigsaw method, in which children of varying ability levels work together on a design for which they acquire knowledge by working on tailored assignments in groups with children with the same ability level. This differentiation method unites elements of learning by design, learning together, and learning by inquiry. In this article, we first present the conceptual foundations underlying BE COOL! Next, we describe the learning environment and its components as incorporated in a seven-week science lesson series in which fourth to sixth graders must design a liveable house on the moon for a family of four. Then, we describe our design process, in which research and development alternated and we end with a brief presentation of the learning environment’s added value for educational practice.","container-title":"Educational Technology Research and Development","DOI":"10.1007/s11423-020-09754-9","ISSN":"1042-1629, 1556-6501","issue":"5","journalAbbreviation":"Education Tech Research Dev","language":"en","page":"2373-2393","source":"DOI.org (Crossref)","title":"BE COOL! a digital learning environment to challenge and socially include gifted learners","volume":"68","author":[{"family":"Eysink","given":"Tessa H. S."},{"family":"Van Dijk","given":"Alieke M."},{"family":"De Jong","given":"Ton"}],"issued":{"date-parts":[["2020",10]]}}}],"schema":"https://github.com/citation-style-language/schema/raw/master/csl-citation.json"} </w:instrText>
      </w:r>
      <w:r w:rsidRPr="00D25F1F">
        <w:rPr>
          <w:rFonts w:ascii="Palatino Linotype" w:hAnsi="Palatino Linotype"/>
          <w:sz w:val="20"/>
          <w:szCs w:val="20"/>
        </w:rPr>
        <w:fldChar w:fldCharType="separate"/>
      </w:r>
      <w:r w:rsidRPr="00D25F1F">
        <w:rPr>
          <w:rFonts w:ascii="Palatino Linotype" w:hAnsi="Palatino Linotype"/>
          <w:sz w:val="20"/>
          <w:szCs w:val="18"/>
        </w:rPr>
        <w:t>(</w:t>
      </w:r>
      <w:proofErr w:type="spellStart"/>
      <w:r w:rsidRPr="00D25F1F">
        <w:rPr>
          <w:rFonts w:ascii="Palatino Linotype" w:hAnsi="Palatino Linotype"/>
          <w:sz w:val="20"/>
          <w:szCs w:val="18"/>
        </w:rPr>
        <w:t>Eysink</w:t>
      </w:r>
      <w:proofErr w:type="spellEnd"/>
      <w:r w:rsidRPr="00D25F1F">
        <w:rPr>
          <w:rFonts w:ascii="Palatino Linotype" w:hAnsi="Palatino Linotype"/>
          <w:sz w:val="20"/>
          <w:szCs w:val="18"/>
        </w:rPr>
        <w:t xml:space="preserve"> et al., 2020)</w:t>
      </w:r>
      <w:r w:rsidRPr="00D25F1F">
        <w:rPr>
          <w:rFonts w:ascii="Palatino Linotype" w:hAnsi="Palatino Linotype"/>
          <w:sz w:val="20"/>
          <w:szCs w:val="20"/>
        </w:rPr>
        <w:fldChar w:fldCharType="end"/>
      </w:r>
      <w:r w:rsidR="00B11C1B">
        <w:rPr>
          <w:rFonts w:ascii="Palatino Linotype" w:hAnsi="Palatino Linotype"/>
          <w:sz w:val="20"/>
          <w:szCs w:val="20"/>
        </w:rPr>
        <w:t>.</w:t>
      </w:r>
      <w:r w:rsidRPr="00D25F1F">
        <w:rPr>
          <w:rFonts w:ascii="Palatino Linotype" w:hAnsi="Palatino Linotype"/>
          <w:sz w:val="20"/>
          <w:szCs w:val="20"/>
        </w:rPr>
        <w:t xml:space="preserve"> This strategy, which places students in small groups to understand and master specific content, enables learning focused on interaction and cooperation. In the Social Science context, material integrity becomes a critical factor in the success of the Jigsaw strategy. The selection of topics relevant to the Social Science curriculum and considering group dynamics is an essential initial step. The implementation of Jigsaw strategy should be directed towards creating a strong connection between Social Science material and group activities. Effective group dynamics can enrich the learning process, ensuring that each group member not only understands concepts individually but also contributes collaboratively to the formation of holistic understanding</w:t>
      </w:r>
      <w:r w:rsidR="00B11C1B">
        <w:rPr>
          <w:rFonts w:ascii="Palatino Linotype" w:hAnsi="Palatino Linotype"/>
          <w:sz w:val="20"/>
          <w:szCs w:val="20"/>
        </w:rPr>
        <w:t xml:space="preserve">. </w:t>
      </w:r>
      <w:r w:rsidRPr="00D25F1F">
        <w:rPr>
          <w:rFonts w:ascii="Palatino Linotype" w:hAnsi="Palatino Linotype"/>
          <w:sz w:val="20"/>
          <w:szCs w:val="20"/>
        </w:rPr>
        <w:t>The integration of the Jigsaw strategy with Social Science content also plays a crucial role in the development of higher-order thinking skills. Group discussions, joint analysis, and information synthesis processes not only reinforce the understanding of concepts but also stimulate students to think critically and creatively</w:t>
      </w:r>
      <w:r w:rsidR="00431018">
        <w:rPr>
          <w:rFonts w:ascii="Palatino Linotype" w:hAnsi="Palatino Linotype"/>
          <w:sz w:val="20"/>
          <w:szCs w:val="20"/>
        </w:rPr>
        <w:t xml:space="preserve"> </w:t>
      </w:r>
      <w:r w:rsidR="00431018">
        <w:rPr>
          <w:rFonts w:ascii="Palatino Linotype" w:hAnsi="Palatino Linotype"/>
          <w:sz w:val="20"/>
          <w:szCs w:val="20"/>
        </w:rPr>
        <w:fldChar w:fldCharType="begin"/>
      </w:r>
      <w:r w:rsidR="00431018">
        <w:rPr>
          <w:rFonts w:ascii="Palatino Linotype" w:hAnsi="Palatino Linotype"/>
          <w:sz w:val="20"/>
          <w:szCs w:val="20"/>
        </w:rPr>
        <w:instrText xml:space="preserve"> ADDIN ZOTERO_ITEM CSL_CITATION {"citationID":"DvlxVFps","properties":{"formattedCitation":"(Santos-Garcia et al., 2018)","plainCitation":"(Santos-Garcia et al., 2018)","noteIndex":0},"citationItems":[{"id":805,"uris":["http://zotero.org/users/local/Wqqix2jN/items/5T7R8U5L"],"itemData":{"id":805,"type":"article-journal","container-title":"Frontiers in Microbiology","DOI":"10.3389/fmicb.2018.02254","ISSN":"1664-302X","journalAbbreviation":"Front. Microbiol.","page":"2254","source":"DOI.org (Crossref)","title":"To B or Not to B: Comparative Genomics Suggests Arsenophonus as a Source of B Vitamins in Whiteflies","title-short":"To B or Not to B","volume":"9","author":[{"family":"Santos-Garcia","given":"Diego"},{"family":"Juravel","given":"Ksenia"},{"family":"Freilich","given":"Shiri"},{"family":"Zchori-Fein","given":"Einat"},{"family":"Latorre","given":"Amparo"},{"family":"Moya","given":"Andrés"},{"family":"Morin","given":"Shai"},{"family":"Silva","given":"Francisco J."}],"issued":{"date-parts":[["2018",9,25]]}}}],"schema":"https://github.com/citation-style-language/schema/raw/master/csl-citation.json"} </w:instrText>
      </w:r>
      <w:r w:rsidR="00431018">
        <w:rPr>
          <w:rFonts w:ascii="Palatino Linotype" w:hAnsi="Palatino Linotype"/>
          <w:sz w:val="20"/>
          <w:szCs w:val="20"/>
        </w:rPr>
        <w:fldChar w:fldCharType="separate"/>
      </w:r>
      <w:r w:rsidR="00431018" w:rsidRPr="00431018">
        <w:rPr>
          <w:rFonts w:ascii="Palatino Linotype" w:hAnsi="Palatino Linotype"/>
          <w:sz w:val="20"/>
        </w:rPr>
        <w:t>(Santos-Garcia et al., 2018)</w:t>
      </w:r>
      <w:r w:rsidR="00431018">
        <w:rPr>
          <w:rFonts w:ascii="Palatino Linotype" w:hAnsi="Palatino Linotype"/>
          <w:sz w:val="20"/>
          <w:szCs w:val="20"/>
        </w:rPr>
        <w:fldChar w:fldCharType="end"/>
      </w:r>
      <w:r w:rsidRPr="00D25F1F">
        <w:rPr>
          <w:rFonts w:ascii="Palatino Linotype" w:hAnsi="Palatino Linotype"/>
          <w:sz w:val="20"/>
          <w:szCs w:val="20"/>
        </w:rPr>
        <w:t>. Therefore, a good connection between the Jigsaw strategy and Social Science material can serve as the foundation for achieving comprehensive learning goals, maximizing students' potential in developing deep conceptual understanding and higher-order thinking skills</w:t>
      </w:r>
      <w:r w:rsidR="00B11C1B">
        <w:rPr>
          <w:rFonts w:ascii="Palatino Linotype" w:hAnsi="Palatino Linotype"/>
          <w:sz w:val="20"/>
          <w:szCs w:val="20"/>
        </w:rPr>
        <w:t xml:space="preserve"> </w:t>
      </w:r>
      <w:r w:rsidRPr="00D25F1F">
        <w:rPr>
          <w:rFonts w:ascii="Palatino Linotype" w:hAnsi="Palatino Linotype"/>
          <w:sz w:val="20"/>
          <w:szCs w:val="20"/>
        </w:rPr>
        <w:fldChar w:fldCharType="begin"/>
      </w:r>
      <w:r w:rsidR="00A0227A">
        <w:rPr>
          <w:rFonts w:ascii="Palatino Linotype" w:hAnsi="Palatino Linotype"/>
          <w:sz w:val="20"/>
          <w:szCs w:val="20"/>
        </w:rPr>
        <w:instrText xml:space="preserve"> ADDIN ZOTERO_ITEM CSL_CITATION {"citationID":"eaC6bjCn","properties":{"formattedCitation":"(Gobo, 2021)","plainCitation":"(Gobo, 2021)","noteIndex":0},"citationItems":[{"id":"hiqTCfwy/DZbTSfDf","uris":["http://zotero.org/users/local/Pjdjlz4D/items/R57RGCP7"],"itemData":{"id":1160,"type":"article-journal","abstract":"Replicability is a term that not only comes with different meanings in the literature of many domains but is often associated or confused with other terms such as ‘reproducibility,’ ‘repeatability,’ ‘reliability,’ ‘validity,’ and so on. To add to the confusion, it can even be used differently across diverse disciplines. Though all named concepts are important, what makes them barely advantageous is that they do not cover some peculiar aspects of the replicability and validation processes, i.e., appropriateness of conceptualization; trustworthiness of operational definition and operational acts; accuracy of researcher’s description, categorization and/or measurement; successfulness of observational (or field) relation. Moreover, in social sciences and organization studies, the concept of validity of data is highly questionable due to the quite frequent shortage of real statuses of the observed objects. The present paper aims to challenge the received view on the concept of ‘replicability,’ by proposing a “situational approach” based on the idea that replicability works under certain organizational and socio-technic conditions, and that it is heavily influenced by the way that different stakeholders (scientists, technicians, participants artifacts, and technologies) respond to them. Consequently, it is important to understand how and why replicability works in different contexts. Its main purpose, without denying the importance of current conventional perspectives on replicability and its siblings, is to widen and change them to include an organizational setting and a reflexive epistemology. This implies the pursuit of a third way of replicability, between the postmodernist negation of its possibility and its opposite, i.e., a naïve naturalism. A way asserting that replicability is a jigsaw puzzle or a mosaic, constituted by discursive practices (poetics) and organizational achievements guiding the politics of accountability, validation and legitimation. The domain here considered pertains to the social and organizational sciences. However, though going beyond the aim of this essay, many issues could be reframed and adapted to medical, natural and physical sciences, as some of the following examples can show.","container-title":"Frontiers in Psychology","DOI":"10.3389/fpsyg.2020.608451","ISSN":"1664-1078","journalAbbreviation":"Front. Psychol.","page":"608451","source":"DOI.org (Crossref)","title":"Replicability. Politics and Poetics of Accountability, Validation and Legitimation","volume":"11","author":[{"family":"Gobo","given":"Giampietro"}],"issued":{"date-parts":[["2021",1,15]]}}}],"schema":"https://github.com/citation-style-language/schema/raw/master/csl-citation.json"} </w:instrText>
      </w:r>
      <w:r w:rsidRPr="00D25F1F">
        <w:rPr>
          <w:rFonts w:ascii="Palatino Linotype" w:hAnsi="Palatino Linotype"/>
          <w:sz w:val="20"/>
          <w:szCs w:val="20"/>
        </w:rPr>
        <w:fldChar w:fldCharType="separate"/>
      </w:r>
      <w:r w:rsidRPr="00D25F1F">
        <w:rPr>
          <w:rFonts w:ascii="Palatino Linotype" w:hAnsi="Palatino Linotype"/>
          <w:sz w:val="20"/>
          <w:szCs w:val="18"/>
        </w:rPr>
        <w:t>(Gobo, 2021)</w:t>
      </w:r>
      <w:r w:rsidRPr="00D25F1F">
        <w:rPr>
          <w:rFonts w:ascii="Palatino Linotype" w:hAnsi="Palatino Linotype"/>
          <w:sz w:val="20"/>
          <w:szCs w:val="20"/>
        </w:rPr>
        <w:fldChar w:fldCharType="end"/>
      </w:r>
      <w:r w:rsidR="00B11C1B">
        <w:rPr>
          <w:rFonts w:ascii="Palatino Linotype" w:hAnsi="Palatino Linotype"/>
          <w:sz w:val="20"/>
          <w:szCs w:val="20"/>
        </w:rPr>
        <w:t>.</w:t>
      </w:r>
    </w:p>
    <w:p w14:paraId="62E276BC" w14:textId="701226C3" w:rsidR="00D25F1F" w:rsidRPr="00D25F1F" w:rsidRDefault="00D25F1F" w:rsidP="00D25F1F">
      <w:pPr>
        <w:spacing w:after="0" w:line="240" w:lineRule="auto"/>
        <w:jc w:val="both"/>
        <w:rPr>
          <w:rFonts w:ascii="Palatino Linotype" w:hAnsi="Palatino Linotype"/>
          <w:sz w:val="20"/>
          <w:szCs w:val="20"/>
        </w:rPr>
      </w:pPr>
      <w:r w:rsidRPr="00D25F1F">
        <w:rPr>
          <w:rFonts w:ascii="Palatino Linotype" w:hAnsi="Palatino Linotype"/>
          <w:sz w:val="20"/>
          <w:szCs w:val="20"/>
        </w:rPr>
        <w:tab/>
        <w:t xml:space="preserve">Jigsaw in the context of Social Science subjects has a significant positive impact on the development of students' higher-order thinking skills. By emphasizing group work and implementing the principle of positive interdependence, the Jigsaw strategy creates a learning environment that effectively stimulates the development of higher-order thinking skills. One striking impact is the improvement in students' ability to critically </w:t>
      </w:r>
      <w:proofErr w:type="spellStart"/>
      <w:r w:rsidRPr="00D25F1F">
        <w:rPr>
          <w:rFonts w:ascii="Palatino Linotype" w:hAnsi="Palatino Linotype"/>
          <w:sz w:val="20"/>
          <w:szCs w:val="20"/>
        </w:rPr>
        <w:t>analyze</w:t>
      </w:r>
      <w:proofErr w:type="spellEnd"/>
      <w:r w:rsidRPr="00D25F1F">
        <w:rPr>
          <w:rFonts w:ascii="Palatino Linotype" w:hAnsi="Palatino Linotype"/>
          <w:sz w:val="20"/>
          <w:szCs w:val="20"/>
        </w:rPr>
        <w:t xml:space="preserve"> information. Through group discussions, where each member is responsible for understanding and presenting a specific part of the material, students are trained to engage in reading, understanding, and dissecting information deeply, stimulating analytical thinking. The integration of the Jigsaw strategy also significantly contributes to the development of students' synthesis skills</w:t>
      </w:r>
      <w:r w:rsidR="00B11C1B">
        <w:rPr>
          <w:rFonts w:ascii="Palatino Linotype" w:hAnsi="Palatino Linotype"/>
          <w:sz w:val="20"/>
          <w:szCs w:val="20"/>
        </w:rPr>
        <w:t xml:space="preserve"> </w:t>
      </w:r>
      <w:r w:rsidRPr="00D25F1F">
        <w:rPr>
          <w:rFonts w:ascii="Palatino Linotype" w:hAnsi="Palatino Linotype"/>
          <w:sz w:val="20"/>
          <w:szCs w:val="20"/>
        </w:rPr>
        <w:fldChar w:fldCharType="begin"/>
      </w:r>
      <w:r w:rsidR="00A0227A">
        <w:rPr>
          <w:rFonts w:ascii="Palatino Linotype" w:hAnsi="Palatino Linotype"/>
          <w:sz w:val="20"/>
          <w:szCs w:val="20"/>
        </w:rPr>
        <w:instrText xml:space="preserve"> ADDIN ZOTERO_ITEM CSL_CITATION {"citationID":"drmtO4kU","properties":{"formattedCitation":"(Shammout, 2020)","plainCitation":"(Shammout, 2020)","noteIndex":0},"citationItems":[{"id":"hiqTCfwy/yhneJQzR","uris":["http://zotero.org/users/local/Pjdjlz4D/items/VSFREULV"],"itemData":{"id":1176,"type":"article-journal","abstract":"This paper aims at enhancing writing skills by using cooperative learning strategies since recent methodologies in foreign language teaching have deviated the shift of focus from traditional teacher-oriented classes to more learner-centered contexts. Among the methods endorsed in teaching writing is the application of Cooperative Learning (CL). The use of CL has become an increasingly popular method to improve the learner’s linguistic, social and communicative competence. This research investigated the effects of CL to improve the writing skill of AIU students. A questionnaire was done to spot their problems and weak points. The quasi experimental design was used, with pre-test and post-test of two different kinds of essay as an instrument. Two different kinds of studies were employed qualitatively and quantitatively to analyze the data. The students’ writing was scored on the five writing components which were content, vocabulary, organization, grammar and mechanics see (Yusuf, Jusoh, &amp; Yusuf, 2019). After analyzing the results of the post test, it was noted that there was a significant increase in the scores of students’ writing in comparison with their marks of the pretest as a result of implementing cooperative learning. Subsequently, the results lent credence to the positive effects of cooperative learning in enhancing writing performance and teachers were able to involve more students to participate and the class environment was very encouraging and intriguing. EFL participants in a cooperative learning ambience managed to foster the linguistic competence that they need to acquire which was also tackled in the paper.","container-title":"Theory and Practice in Language Studies","DOI":"10.17507/tpls.1007.10","ISSN":"1799-2591","issue":"7","journalAbbreviation":"TPLS","page":"791","source":"DOI.org (Crossref)","title":"The Effect of Cooperative Learning Activities on Enhancing the Writing Skills of Syrian EFL Learners at Arab International University","volume":"10","author":[{"family":"Shammout","given":"Manal"}],"issued":{"date-parts":[["2020",7,1]]}}}],"schema":"https://github.com/citation-style-language/schema/raw/master/csl-citation.json"} </w:instrText>
      </w:r>
      <w:r w:rsidRPr="00D25F1F">
        <w:rPr>
          <w:rFonts w:ascii="Palatino Linotype" w:hAnsi="Palatino Linotype"/>
          <w:sz w:val="20"/>
          <w:szCs w:val="20"/>
        </w:rPr>
        <w:fldChar w:fldCharType="separate"/>
      </w:r>
      <w:r w:rsidRPr="00D25F1F">
        <w:rPr>
          <w:rFonts w:ascii="Palatino Linotype" w:hAnsi="Palatino Linotype"/>
          <w:sz w:val="20"/>
          <w:szCs w:val="18"/>
        </w:rPr>
        <w:t>(</w:t>
      </w:r>
      <w:proofErr w:type="spellStart"/>
      <w:r w:rsidRPr="00D25F1F">
        <w:rPr>
          <w:rFonts w:ascii="Palatino Linotype" w:hAnsi="Palatino Linotype"/>
          <w:sz w:val="20"/>
          <w:szCs w:val="18"/>
        </w:rPr>
        <w:t>Shammout</w:t>
      </w:r>
      <w:proofErr w:type="spellEnd"/>
      <w:r w:rsidRPr="00D25F1F">
        <w:rPr>
          <w:rFonts w:ascii="Palatino Linotype" w:hAnsi="Palatino Linotype"/>
          <w:sz w:val="20"/>
          <w:szCs w:val="18"/>
        </w:rPr>
        <w:t>, 2020)</w:t>
      </w:r>
      <w:r w:rsidRPr="00D25F1F">
        <w:rPr>
          <w:rFonts w:ascii="Palatino Linotype" w:hAnsi="Palatino Linotype"/>
          <w:sz w:val="20"/>
          <w:szCs w:val="20"/>
        </w:rPr>
        <w:fldChar w:fldCharType="end"/>
      </w:r>
      <w:r w:rsidR="00B11C1B">
        <w:rPr>
          <w:rFonts w:ascii="Palatino Linotype" w:hAnsi="Palatino Linotype"/>
          <w:sz w:val="20"/>
          <w:szCs w:val="20"/>
        </w:rPr>
        <w:t>.</w:t>
      </w:r>
      <w:r w:rsidRPr="00D25F1F">
        <w:rPr>
          <w:rFonts w:ascii="Palatino Linotype" w:hAnsi="Palatino Linotype"/>
          <w:sz w:val="20"/>
          <w:szCs w:val="20"/>
        </w:rPr>
        <w:t xml:space="preserve"> In the dynamics of the group, where each member is responsible for different information, students are tasked with organizing and combining this information into a coherent whole. This process encourages students to synthesize information from various sources, creating an integrated understanding of the learning topic</w:t>
      </w:r>
      <w:r w:rsidR="00B11C1B">
        <w:rPr>
          <w:rFonts w:ascii="Palatino Linotype" w:hAnsi="Palatino Linotype"/>
          <w:sz w:val="20"/>
          <w:szCs w:val="20"/>
        </w:rPr>
        <w:t xml:space="preserve"> </w:t>
      </w:r>
      <w:r w:rsidRPr="00D25F1F">
        <w:rPr>
          <w:rFonts w:ascii="Palatino Linotype" w:hAnsi="Palatino Linotype"/>
          <w:sz w:val="20"/>
          <w:szCs w:val="20"/>
        </w:rPr>
        <w:fldChar w:fldCharType="begin"/>
      </w:r>
      <w:r w:rsidR="00A0227A">
        <w:rPr>
          <w:rFonts w:ascii="Palatino Linotype" w:hAnsi="Palatino Linotype"/>
          <w:sz w:val="20"/>
          <w:szCs w:val="20"/>
        </w:rPr>
        <w:instrText xml:space="preserve"> ADDIN ZOTERO_ITEM CSL_CITATION {"citationID":"lrhiNtFi","properties":{"formattedCitation":"(Rahmayanti et al., 2023)","plainCitation":"(Rahmayanti et al., 2023)","noteIndex":0},"citationItems":[{"id":"hiqTCfwy/XKLTN7xt","uris":["http://zotero.org/users/local/Pjdjlz4D/items/CU2J996X"],"itemData":{"id":824,"type":"article-journal","container-title":"Procedia Computer Science","DOI":"10.1016/j.procs.2023.01.402","ISSN":"18770509","journalAbbreviation":"Procedia Computer Science","language":"en","page":"1200-1207","source":"DOI.org (Crossref)","title":"Caregiver Segmentation Using The Integration of The Modified Burden Dimensions and Fuzzy C-Means","volume":"219","author":[{"family":"Rahmayanti","given":"Nabillah"},{"family":"Vinarti","given":"Retno"},{"family":"Djunaidy","given":"Arif"},{"family":"Tjin","given":"Anna"},{"family":"Liu","given":"Jeng"}],"issued":{"date-parts":[["2023"]]}}}],"schema":"https://github.com/citation-style-language/schema/raw/master/csl-citation.json"} </w:instrText>
      </w:r>
      <w:r w:rsidRPr="00D25F1F">
        <w:rPr>
          <w:rFonts w:ascii="Palatino Linotype" w:hAnsi="Palatino Linotype"/>
          <w:sz w:val="20"/>
          <w:szCs w:val="20"/>
        </w:rPr>
        <w:fldChar w:fldCharType="separate"/>
      </w:r>
      <w:r w:rsidRPr="00D25F1F">
        <w:rPr>
          <w:rFonts w:ascii="Palatino Linotype" w:hAnsi="Palatino Linotype"/>
          <w:sz w:val="20"/>
          <w:szCs w:val="18"/>
        </w:rPr>
        <w:t>(</w:t>
      </w:r>
      <w:proofErr w:type="spellStart"/>
      <w:r w:rsidRPr="00D25F1F">
        <w:rPr>
          <w:rFonts w:ascii="Palatino Linotype" w:hAnsi="Palatino Linotype"/>
          <w:sz w:val="20"/>
          <w:szCs w:val="18"/>
        </w:rPr>
        <w:t>Rahmayanti</w:t>
      </w:r>
      <w:proofErr w:type="spellEnd"/>
      <w:r w:rsidRPr="00D25F1F">
        <w:rPr>
          <w:rFonts w:ascii="Palatino Linotype" w:hAnsi="Palatino Linotype"/>
          <w:sz w:val="20"/>
          <w:szCs w:val="18"/>
        </w:rPr>
        <w:t xml:space="preserve"> et al., 2023)</w:t>
      </w:r>
      <w:r w:rsidRPr="00D25F1F">
        <w:rPr>
          <w:rFonts w:ascii="Palatino Linotype" w:hAnsi="Palatino Linotype"/>
          <w:sz w:val="20"/>
          <w:szCs w:val="20"/>
        </w:rPr>
        <w:fldChar w:fldCharType="end"/>
      </w:r>
      <w:r w:rsidR="00B11C1B">
        <w:rPr>
          <w:rFonts w:ascii="Palatino Linotype" w:hAnsi="Palatino Linotype"/>
          <w:sz w:val="20"/>
          <w:szCs w:val="20"/>
        </w:rPr>
        <w:t>.</w:t>
      </w:r>
    </w:p>
    <w:p w14:paraId="2A2403D9" w14:textId="63D01DE4" w:rsidR="000720F1" w:rsidRPr="00B11C1B" w:rsidRDefault="00D25F1F" w:rsidP="00B11C1B">
      <w:pPr>
        <w:spacing w:after="0" w:line="240" w:lineRule="auto"/>
        <w:jc w:val="both"/>
        <w:rPr>
          <w:rFonts w:ascii="Palatino Linotype" w:hAnsi="Palatino Linotype"/>
          <w:sz w:val="20"/>
          <w:szCs w:val="20"/>
        </w:rPr>
      </w:pPr>
      <w:r w:rsidRPr="00D25F1F">
        <w:rPr>
          <w:rFonts w:ascii="Palatino Linotype" w:hAnsi="Palatino Linotype"/>
          <w:sz w:val="20"/>
          <w:szCs w:val="20"/>
        </w:rPr>
        <w:tab/>
        <w:t xml:space="preserve">The integration of the Jigsaw strategy influences the improvement of students' evaluation skills. In this group learning framework, students are naturally involved in assessing each group </w:t>
      </w:r>
      <w:r w:rsidRPr="00D25F1F">
        <w:rPr>
          <w:rFonts w:ascii="Palatino Linotype" w:hAnsi="Palatino Linotype"/>
          <w:sz w:val="20"/>
          <w:szCs w:val="20"/>
        </w:rPr>
        <w:lastRenderedPageBreak/>
        <w:t>member's contribution to overall understanding</w:t>
      </w:r>
      <w:r w:rsidR="00B11C1B">
        <w:rPr>
          <w:rFonts w:ascii="Palatino Linotype" w:hAnsi="Palatino Linotype"/>
          <w:sz w:val="20"/>
          <w:szCs w:val="20"/>
        </w:rPr>
        <w:t xml:space="preserve"> </w:t>
      </w:r>
      <w:r w:rsidRPr="00D25F1F">
        <w:rPr>
          <w:rFonts w:ascii="Palatino Linotype" w:hAnsi="Palatino Linotype"/>
          <w:sz w:val="20"/>
          <w:szCs w:val="20"/>
        </w:rPr>
        <w:fldChar w:fldCharType="begin"/>
      </w:r>
      <w:r w:rsidR="00A0227A">
        <w:rPr>
          <w:rFonts w:ascii="Palatino Linotype" w:hAnsi="Palatino Linotype"/>
          <w:sz w:val="20"/>
          <w:szCs w:val="20"/>
        </w:rPr>
        <w:instrText xml:space="preserve"> ADDIN ZOTERO_ITEM CSL_CITATION {"citationID":"DLjAuPG4","properties":{"formattedCitation":"(Cornide-Reyes et al., 2020)","plainCitation":"(Cornide-Reyes et al., 2020)","noteIndex":0},"citationItems":[{"id":"hiqTCfwy/CszcWj3g","uris":["http://zotero.org/users/local/Pjdjlz4D/items/YRYI7MHA"],"itemData":{"id":1165,"type":"article-journal","abstract":"While technology has helped improve process efficiency in several domains, it still has an outstanding debt to education. In this article, we introduce NAIRA, a Multimodal Learning Analytics platform that provides Real-Time Feedback to foster collaborative learning activities’ efficiency. NAIRA provides real-time visualizations for students’ verbal interactions when working in groups, allowing teachers to perform precise interventions to ensure learning activities’ correct execution. We present a case study with 24 undergraduate subjects performing a remote collaborative learning activity based on the Jigsaw learning technique within the COVID-19 pandemic context. The main goals of the study are (1) to qualitatively describe how the teacher used NAIRA’s visualizations to perform interventions and (2) to identify quantitative differences in the number and time between students’ spoken interactions among two different stages of the activity, one of them supported by NAIRA’s visualizations. The case study showed that NAIRA allowed the teacher to monitor and facilitate the learning activity’s supervised stage execution, even in a remote learning context, with students working in separate virtual classrooms with their video cameras off. The quantitative comparison of spoken interactions suggests the existence of differences in the distribution between the monitored and unmonitored stages of the activity, with a more homogeneous speaking time distribution in the NAIRA supported stage.","container-title":"Sensors","DOI":"10.3390/s20216337","ISSN":"1424-8220","issue":"21","journalAbbreviation":"Sensors","language":"en","page":"6337","source":"DOI.org (Crossref)","title":"A Multimodal Real-Time Feedback Platform Based on Spoken Interactions for Remote Active Learning Support","volume":"20","author":[{"family":"Cornide-Reyes","given":"Hector"},{"family":"Riquelme","given":"Fabián"},{"family":"Monsalves","given":"Diego"},{"family":"Noel","given":"Rene"},{"family":"Cechinel","given":"Cristian"},{"family":"Villarroel","given":"Rodolfo"},{"family":"Ponce","given":"Francisco"},{"family":"Munoz","given":"Roberto"}],"issued":{"date-parts":[["2020",11,6]]}}}],"schema":"https://github.com/citation-style-language/schema/raw/master/csl-citation.json"} </w:instrText>
      </w:r>
      <w:r w:rsidRPr="00D25F1F">
        <w:rPr>
          <w:rFonts w:ascii="Palatino Linotype" w:hAnsi="Palatino Linotype"/>
          <w:sz w:val="20"/>
          <w:szCs w:val="20"/>
        </w:rPr>
        <w:fldChar w:fldCharType="separate"/>
      </w:r>
      <w:r w:rsidRPr="00D25F1F">
        <w:rPr>
          <w:rFonts w:ascii="Palatino Linotype" w:hAnsi="Palatino Linotype"/>
          <w:sz w:val="20"/>
          <w:szCs w:val="18"/>
        </w:rPr>
        <w:t>(</w:t>
      </w:r>
      <w:proofErr w:type="spellStart"/>
      <w:r w:rsidRPr="00D25F1F">
        <w:rPr>
          <w:rFonts w:ascii="Palatino Linotype" w:hAnsi="Palatino Linotype"/>
          <w:sz w:val="20"/>
          <w:szCs w:val="18"/>
        </w:rPr>
        <w:t>Cornide</w:t>
      </w:r>
      <w:proofErr w:type="spellEnd"/>
      <w:r w:rsidRPr="00D25F1F">
        <w:rPr>
          <w:rFonts w:ascii="Palatino Linotype" w:hAnsi="Palatino Linotype"/>
          <w:sz w:val="20"/>
          <w:szCs w:val="18"/>
        </w:rPr>
        <w:t>-Reyes et al., 2020)</w:t>
      </w:r>
      <w:r w:rsidRPr="00D25F1F">
        <w:rPr>
          <w:rFonts w:ascii="Palatino Linotype" w:hAnsi="Palatino Linotype"/>
          <w:sz w:val="20"/>
          <w:szCs w:val="20"/>
        </w:rPr>
        <w:fldChar w:fldCharType="end"/>
      </w:r>
      <w:r w:rsidR="00B11C1B">
        <w:rPr>
          <w:rFonts w:ascii="Palatino Linotype" w:hAnsi="Palatino Linotype"/>
          <w:sz w:val="20"/>
          <w:szCs w:val="20"/>
        </w:rPr>
        <w:t>.</w:t>
      </w:r>
      <w:r w:rsidRPr="00D25F1F">
        <w:rPr>
          <w:rFonts w:ascii="Palatino Linotype" w:hAnsi="Palatino Linotype"/>
          <w:sz w:val="20"/>
          <w:szCs w:val="20"/>
        </w:rPr>
        <w:t xml:space="preserve"> This assessment includes not only conceptual understanding but also evaluations of presentation skills and understanding of different perspectives. The implementation of the Jigsaw strategy in Social Science learning has a positive impact on the development of students' higher-order thinking skills. Analytical, synthesis, and evaluation skills honed through this collaboration make a significant contribution to shaping students as critical, reflective learners capable of facing complex intellectual challenges</w:t>
      </w:r>
      <w:r w:rsidR="00B11C1B">
        <w:rPr>
          <w:rFonts w:ascii="Palatino Linotype" w:hAnsi="Palatino Linotype"/>
          <w:sz w:val="20"/>
          <w:szCs w:val="20"/>
        </w:rPr>
        <w:t xml:space="preserve"> </w:t>
      </w:r>
      <w:r w:rsidRPr="00D25F1F">
        <w:rPr>
          <w:rFonts w:ascii="Palatino Linotype" w:hAnsi="Palatino Linotype"/>
          <w:sz w:val="20"/>
          <w:szCs w:val="20"/>
        </w:rPr>
        <w:fldChar w:fldCharType="begin"/>
      </w:r>
      <w:r w:rsidR="00A0227A">
        <w:rPr>
          <w:rFonts w:ascii="Palatino Linotype" w:hAnsi="Palatino Linotype"/>
          <w:sz w:val="20"/>
          <w:szCs w:val="20"/>
        </w:rPr>
        <w:instrText xml:space="preserve"> ADDIN ZOTERO_ITEM CSL_CITATION {"citationID":"56AH8orP","properties":{"formattedCitation":"(Baena-Morales et al., 2020)","plainCitation":"(Baena-Morales et al., 2020)","noteIndex":0},"citationItems":[{"id":"hiqTCfwy/Ftg1foWb","uris":["http://zotero.org/users/local/Pjdjlz4D/items/SUEBWCRR"],"itemData":{"id":1163,"type":"article-journal","abstract":"The UN Sustainable Development Goals (SDG) show how education is essential for creating values in students. In particular, SDG 4 (quality education) and SDG 5 (gender equality) indicate how co-education should be a sustainable benchmark. Co-educational methodologies have been studied for decades. Among them, cooperative learning is considered a valid technique for developing social relations and competences. This study aims to describe and characterize the gender differences between university students regarding their impressions and behaviors when working cooperatively. One hundred and seventy-seven university students (98 women and 79 men), from Physical Education and Primary Education degree courses, worked with Aronson’s Jigsaw technique. After its completion, they completed a questionnaire to analyze cooperative work in higher education (ACOES). The results are organized into seven dimensions. The main gender differences found show that women gave a higher evaluation to relating cooperative learning to future teaching roles (p = 0.017) and to understanding the need for cooperative tasks (p = 0.035). Additionally, female students prefer groups to be organized according to academic criteria and that they should remain stable throughout the academic period. Both genders value Aronson’s Jigsaw as a good method for developing social competences, although they are more neutral when considering it effective at improving academic performance. These findings help to generate a gender-cooperation profile that will enable future research to discuss results more accurately.","container-title":"Sustainability","DOI":"10.3390/su12219292","ISSN":"2071-1050","issue":"21","journalAbbreviation":"Sustainability","language":"en","page":"9292","source":"DOI.org (Crossref)","title":"The Use of a Cooperative-Learning Activity with University Students: A Gender Experience","title-short":"The Use of a Cooperative-Learning Activity with University Students","volume":"12","author":[{"family":"Baena-Morales","given":"Salvador"},{"family":"Jerez-Mayorga","given":"Daniel"},{"family":"Fernández-González","given":"Francisco Tomás"},{"family":"López-Morales","given":"Juan"}],"issued":{"date-parts":[["2020",11,9]]}}}],"schema":"https://github.com/citation-style-language/schema/raw/master/csl-citation.json"} </w:instrText>
      </w:r>
      <w:r w:rsidRPr="00D25F1F">
        <w:rPr>
          <w:rFonts w:ascii="Palatino Linotype" w:hAnsi="Palatino Linotype"/>
          <w:sz w:val="20"/>
          <w:szCs w:val="20"/>
        </w:rPr>
        <w:fldChar w:fldCharType="separate"/>
      </w:r>
      <w:r w:rsidRPr="00D25F1F">
        <w:rPr>
          <w:rFonts w:ascii="Palatino Linotype" w:hAnsi="Palatino Linotype"/>
          <w:sz w:val="20"/>
          <w:szCs w:val="18"/>
        </w:rPr>
        <w:t>(Baena-Morales et al., 2020)</w:t>
      </w:r>
      <w:r w:rsidRPr="00D25F1F">
        <w:rPr>
          <w:rFonts w:ascii="Palatino Linotype" w:hAnsi="Palatino Linotype"/>
          <w:sz w:val="20"/>
          <w:szCs w:val="20"/>
        </w:rPr>
        <w:fldChar w:fldCharType="end"/>
      </w:r>
      <w:r w:rsidR="00B11C1B">
        <w:rPr>
          <w:rFonts w:ascii="Palatino Linotype" w:hAnsi="Palatino Linotype"/>
          <w:sz w:val="20"/>
          <w:szCs w:val="20"/>
        </w:rPr>
        <w:t>.</w:t>
      </w:r>
      <w:r w:rsidR="00431018">
        <w:rPr>
          <w:rFonts w:ascii="Palatino Linotype" w:hAnsi="Palatino Linotype"/>
          <w:sz w:val="20"/>
          <w:szCs w:val="20"/>
        </w:rPr>
        <w:t xml:space="preserve"> </w:t>
      </w:r>
      <w:r w:rsidRPr="00D25F1F">
        <w:rPr>
          <w:rFonts w:ascii="Palatino Linotype" w:hAnsi="Palatino Linotype"/>
          <w:sz w:val="20"/>
          <w:szCs w:val="20"/>
        </w:rPr>
        <w:t>The alignment between Jigsaw implementation steps and the characteristics of Social Science material creates a relevant learning context that supports students' conceptual understanding</w:t>
      </w:r>
      <w:r w:rsidR="00B11C1B">
        <w:rPr>
          <w:rFonts w:ascii="Palatino Linotype" w:hAnsi="Palatino Linotype"/>
          <w:sz w:val="20"/>
          <w:szCs w:val="20"/>
        </w:rPr>
        <w:t xml:space="preserve"> </w:t>
      </w:r>
      <w:r w:rsidRPr="00D25F1F">
        <w:rPr>
          <w:rFonts w:ascii="Palatino Linotype" w:hAnsi="Palatino Linotype"/>
          <w:sz w:val="20"/>
          <w:szCs w:val="20"/>
        </w:rPr>
        <w:fldChar w:fldCharType="begin"/>
      </w:r>
      <w:r w:rsidR="00A0227A">
        <w:rPr>
          <w:rFonts w:ascii="Palatino Linotype" w:hAnsi="Palatino Linotype"/>
          <w:sz w:val="20"/>
          <w:szCs w:val="20"/>
        </w:rPr>
        <w:instrText xml:space="preserve"> ADDIN ZOTERO_ITEM CSL_CITATION {"citationID":"ZfTdyd6e","properties":{"formattedCitation":"(Camerer et al., 2018)","plainCitation":"(Camerer et al., 2018)","noteIndex":0},"citationItems":[{"id":"hiqTCfwy/X1I2jOlk","uris":["http://zotero.org/users/local/Pjdjlz4D/items/KWMLQLP5"],"itemData":{"id":1061,"type":"article-journal","container-title":"Nature Human Behaviour","DOI":"10.1038/s41562-018-0399-z","ISSN":"2397-3374","issue":"9","journalAbbreviation":"Nat Hum Behav","language":"en","page":"637-644","source":"DOI.org (Crossref)","title":"Evaluating the replicability of social science experiments in Nature and Science between 2010 and 2015","volume":"2","author":[{"family":"Camerer","given":"Colin F."},{"family":"Dreber","given":"Anna"},{"family":"Holzmeister","given":"Felix"},{"family":"Ho","given":"Teck-Hua"},{"family":"Huber","given":"Jürgen"},{"family":"Johannesson","given":"Magnus"},{"family":"Kirchler","given":"Michael"},{"family":"Nave","given":"Gideon"},{"family":"Nosek","given":"Brian A."},{"family":"Pfeiffer","given":"Thomas"},{"family":"Altmejd","given":"Adam"},{"family":"Buttrick","given":"Nick"},{"family":"Chan","given":"Taizan"},{"family":"Chen","given":"Yiling"},{"family":"Forsell","given":"Eskil"},{"family":"Gampa","given":"Anup"},{"family":"Heikensten","given":"Emma"},{"family":"Hummer","given":"Lily"},{"family":"Imai","given":"Taisuke"},{"family":"Isaksson","given":"Siri"},{"family":"Manfredi","given":"Dylan"},{"family":"Rose","given":"Julia"},{"family":"Wagenmakers","given":"Eric-Jan"},{"family":"Wu","given":"Hang"}],"issued":{"date-parts":[["2018",8,27]]}}}],"schema":"https://github.com/citation-style-language/schema/raw/master/csl-citation.json"} </w:instrText>
      </w:r>
      <w:r w:rsidRPr="00D25F1F">
        <w:rPr>
          <w:rFonts w:ascii="Palatino Linotype" w:hAnsi="Palatino Linotype"/>
          <w:sz w:val="20"/>
          <w:szCs w:val="20"/>
        </w:rPr>
        <w:fldChar w:fldCharType="separate"/>
      </w:r>
      <w:r w:rsidRPr="00D25F1F">
        <w:rPr>
          <w:rFonts w:ascii="Palatino Linotype" w:hAnsi="Palatino Linotype"/>
          <w:sz w:val="20"/>
          <w:szCs w:val="18"/>
        </w:rPr>
        <w:t>(Camerer et al., 2018)</w:t>
      </w:r>
      <w:r w:rsidRPr="00D25F1F">
        <w:rPr>
          <w:rFonts w:ascii="Palatino Linotype" w:hAnsi="Palatino Linotype"/>
          <w:sz w:val="20"/>
          <w:szCs w:val="20"/>
        </w:rPr>
        <w:fldChar w:fldCharType="end"/>
      </w:r>
      <w:r w:rsidR="00B11C1B">
        <w:rPr>
          <w:rFonts w:ascii="Palatino Linotype" w:hAnsi="Palatino Linotype"/>
          <w:sz w:val="20"/>
          <w:szCs w:val="20"/>
        </w:rPr>
        <w:t>.</w:t>
      </w:r>
      <w:r w:rsidRPr="00D25F1F">
        <w:rPr>
          <w:rFonts w:ascii="Palatino Linotype" w:hAnsi="Palatino Linotype"/>
          <w:sz w:val="20"/>
          <w:szCs w:val="20"/>
        </w:rPr>
        <w:t xml:space="preserve"> The positive impact of the Jigsaw strategy integration is not limited to conceptual understanding but also involves the enhancement of students' higher-order thinking skills (HOTS). Through collaboration and interaction among students, the Jigsaw strategy stimulates the development of analytical, synthesis, and evaluation skills</w:t>
      </w:r>
      <w:r w:rsidR="00431018">
        <w:rPr>
          <w:rFonts w:ascii="Palatino Linotype" w:hAnsi="Palatino Linotype"/>
          <w:sz w:val="20"/>
          <w:szCs w:val="20"/>
        </w:rPr>
        <w:t xml:space="preserve"> </w:t>
      </w:r>
      <w:r w:rsidR="00431018">
        <w:rPr>
          <w:rFonts w:ascii="Palatino Linotype" w:hAnsi="Palatino Linotype"/>
          <w:sz w:val="20"/>
          <w:szCs w:val="20"/>
        </w:rPr>
        <w:fldChar w:fldCharType="begin"/>
      </w:r>
      <w:r w:rsidR="00431018">
        <w:rPr>
          <w:rFonts w:ascii="Palatino Linotype" w:hAnsi="Palatino Linotype"/>
          <w:sz w:val="20"/>
          <w:szCs w:val="20"/>
        </w:rPr>
        <w:instrText xml:space="preserve"> ADDIN ZOTERO_ITEM CSL_CITATION {"citationID":"3tuDFzNB","properties":{"formattedCitation":"(Limniou et al., 2018)","plainCitation":"(Limniou et al., 2018)","noteIndex":0},"citationItems":[{"id":801,"uris":["http://zotero.org/users/local/Wqqix2jN/items/NBLGNPHD"],"itemData":{"id":801,"type":"article-journal","container-title":"Education and Information Technologies","DOI":"10.1007/s10639-017-9636-8","ISSN":"1360-2357, 1573-7608","issue":"2","journalAbbreviation":"Educ Inf Technol","language":"en","page":"797-817","source":"DOI.org (Crossref)","title":"Traditional and flipped classroom approaches delivered by two different teachers: the student perspective","title-short":"Traditional and flipped classroom approaches delivered by two different teachers","volume":"23","author":[{"family":"Limniou","given":"Maria"},{"family":"Schermbrucker","given":"Ian"},{"family":"Lyons","given":"Minna"}],"issued":{"date-parts":[["2018",3]]}}}],"schema":"https://github.com/citation-style-language/schema/raw/master/csl-citation.json"} </w:instrText>
      </w:r>
      <w:r w:rsidR="00431018">
        <w:rPr>
          <w:rFonts w:ascii="Palatino Linotype" w:hAnsi="Palatino Linotype"/>
          <w:sz w:val="20"/>
          <w:szCs w:val="20"/>
        </w:rPr>
        <w:fldChar w:fldCharType="separate"/>
      </w:r>
      <w:r w:rsidR="00431018" w:rsidRPr="00431018">
        <w:rPr>
          <w:rFonts w:ascii="Palatino Linotype" w:hAnsi="Palatino Linotype"/>
          <w:sz w:val="20"/>
        </w:rPr>
        <w:t>(</w:t>
      </w:r>
      <w:proofErr w:type="spellStart"/>
      <w:r w:rsidR="00431018" w:rsidRPr="00431018">
        <w:rPr>
          <w:rFonts w:ascii="Palatino Linotype" w:hAnsi="Palatino Linotype"/>
          <w:sz w:val="20"/>
        </w:rPr>
        <w:t>Limniou</w:t>
      </w:r>
      <w:proofErr w:type="spellEnd"/>
      <w:r w:rsidR="00431018" w:rsidRPr="00431018">
        <w:rPr>
          <w:rFonts w:ascii="Palatino Linotype" w:hAnsi="Palatino Linotype"/>
          <w:sz w:val="20"/>
        </w:rPr>
        <w:t xml:space="preserve"> et al., 2018)</w:t>
      </w:r>
      <w:r w:rsidR="00431018">
        <w:rPr>
          <w:rFonts w:ascii="Palatino Linotype" w:hAnsi="Palatino Linotype"/>
          <w:sz w:val="20"/>
          <w:szCs w:val="20"/>
        </w:rPr>
        <w:fldChar w:fldCharType="end"/>
      </w:r>
      <w:r w:rsidRPr="00D25F1F">
        <w:rPr>
          <w:rFonts w:ascii="Palatino Linotype" w:hAnsi="Palatino Linotype"/>
          <w:sz w:val="20"/>
          <w:szCs w:val="20"/>
        </w:rPr>
        <w:t>, opening opportunities for holistic learning goal achievement</w:t>
      </w:r>
      <w:r w:rsidR="00B11C1B">
        <w:rPr>
          <w:rFonts w:ascii="Palatino Linotype" w:hAnsi="Palatino Linotype"/>
          <w:sz w:val="20"/>
          <w:szCs w:val="20"/>
        </w:rPr>
        <w:t xml:space="preserve"> </w:t>
      </w:r>
      <w:r w:rsidRPr="00D25F1F">
        <w:rPr>
          <w:rFonts w:ascii="Palatino Linotype" w:hAnsi="Palatino Linotype"/>
          <w:sz w:val="20"/>
          <w:szCs w:val="20"/>
        </w:rPr>
        <w:fldChar w:fldCharType="begin"/>
      </w:r>
      <w:r w:rsidR="00A0227A">
        <w:rPr>
          <w:rFonts w:ascii="Palatino Linotype" w:hAnsi="Palatino Linotype"/>
          <w:sz w:val="20"/>
          <w:szCs w:val="20"/>
        </w:rPr>
        <w:instrText xml:space="preserve"> ADDIN ZOTERO_ITEM CSL_CITATION {"citationID":"pQVmEvcR","properties":{"formattedCitation":"(Yoshida, 2018)","plainCitation":"(Yoshida, 2018)","noteIndex":0},"citationItems":[{"id":"hiqTCfwy/wCwLOWi4","uris":["http://zotero.org/users/local/Pjdjlz4D/items/XZTGXGXL"],"itemData":{"id":1167,"type":"article-journal","abstract":"This study examined the Communication Jigsaw as a novel, applied jigsaw strategy aimed to extend scholarly communication between university students. As the defining characteristic of the Communication Jigsaw, writing sheets were used as resources for reports and discussions. This documentation method enabled students to access all reports. In addition, a comment session was introduced to provide educational access to all subtopics. Contents were entrusted to each student and a student’s actuation for self-directed, deep learning appeared in the quality of their comments and their selection of reports for comment. All reports and commenting activities were facilitated by e-Learning technologies and monitored. Then, collected data were analyzed using social graphs. \r\nThis study revealed that the comment session nurtured critical competencies toward applying acquired knowledge and finding information. Additionally, the Communication Jigsaw enabled the identification of outstanding performances among students and their connections. The Communication Jigsaw facilitated finding and analyzing the process of forming academic hubs and cliques within the scholarly community. The distribution spectrum of connections in the comment section did not conform to Gaussian distribution principles but rather the distinct distribution pattern characteristic of social communication. Taken together, this study showed a concrete example of lesson design and evaluation method to be adaptable to the flat world communication.","container-title":"International Journal of Emerging Technologies in Learning (iJET)","DOI":"10.3991/ijet.v13i10.8850","ISSN":"1863-0383","issue":"10","journalAbbreviation":"Int. J. Emerg. Technol. Learn.","page":"208","source":"DOI.org (Crossref)","title":"Communication Jigsaw: A Teaching Method that Promotes Scholarly Communication","title-short":"Communication Jigsaw","volume":"13","author":[{"family":"Yoshida","given":"Masami"}],"issued":{"date-parts":[["2018",10,26]]}}}],"schema":"https://github.com/citation-style-language/schema/raw/master/csl-citation.json"} </w:instrText>
      </w:r>
      <w:r w:rsidRPr="00D25F1F">
        <w:rPr>
          <w:rFonts w:ascii="Palatino Linotype" w:hAnsi="Palatino Linotype"/>
          <w:sz w:val="20"/>
          <w:szCs w:val="20"/>
        </w:rPr>
        <w:fldChar w:fldCharType="separate"/>
      </w:r>
      <w:r w:rsidRPr="00D25F1F">
        <w:rPr>
          <w:rFonts w:ascii="Palatino Linotype" w:hAnsi="Palatino Linotype"/>
          <w:sz w:val="20"/>
          <w:szCs w:val="18"/>
        </w:rPr>
        <w:t>(Yoshida, 2018)</w:t>
      </w:r>
      <w:r w:rsidRPr="00D25F1F">
        <w:rPr>
          <w:rFonts w:ascii="Palatino Linotype" w:hAnsi="Palatino Linotype"/>
          <w:sz w:val="20"/>
          <w:szCs w:val="20"/>
        </w:rPr>
        <w:fldChar w:fldCharType="end"/>
      </w:r>
      <w:r w:rsidR="00B11C1B">
        <w:rPr>
          <w:rFonts w:ascii="Palatino Linotype" w:hAnsi="Palatino Linotype"/>
          <w:sz w:val="20"/>
          <w:szCs w:val="20"/>
        </w:rPr>
        <w:t>.</w:t>
      </w:r>
      <w:r w:rsidRPr="00D25F1F">
        <w:rPr>
          <w:rFonts w:ascii="Palatino Linotype" w:hAnsi="Palatino Linotype"/>
          <w:sz w:val="20"/>
          <w:szCs w:val="20"/>
        </w:rPr>
        <w:t xml:space="preserve"> Careful integration between the learning strategy and Social Science teaching material provides a solid foundation for student progress. The use of the Jigsaw strategy in Social Science learning can make a significant contribution to students' conceptual understanding and the development of higher-order thinking skills, creating a dynamic and effective learning environment.</w:t>
      </w:r>
    </w:p>
    <w:p w14:paraId="2E398EB3" w14:textId="77777777" w:rsidR="005B5AEC" w:rsidRPr="00723B12" w:rsidRDefault="005B5AEC" w:rsidP="002A02C2">
      <w:pPr>
        <w:pStyle w:val="Alishlah21heading1"/>
        <w:rPr>
          <w:rFonts w:eastAsia="Arial"/>
        </w:rPr>
      </w:pPr>
      <w:r w:rsidRPr="00723B12">
        <w:rPr>
          <w:rFonts w:eastAsia="Arial"/>
        </w:rPr>
        <w:t xml:space="preserve">CONCLUSION </w:t>
      </w:r>
    </w:p>
    <w:p w14:paraId="26CDAE60" w14:textId="1F819AD5" w:rsidR="00A0227A" w:rsidRDefault="00A0227A" w:rsidP="00A0227A">
      <w:pPr>
        <w:pStyle w:val="Alishlah31text"/>
      </w:pPr>
      <w:r>
        <w:t xml:space="preserve">The conclusion of this research indicates that the implementation of the Jigsaw learning strategy has a significant impact on improving student learning outcomes in Social Studies for eighth-grade students at MTSS </w:t>
      </w:r>
      <w:proofErr w:type="spellStart"/>
      <w:r>
        <w:t>Ashhabul</w:t>
      </w:r>
      <w:proofErr w:type="spellEnd"/>
      <w:r>
        <w:t xml:space="preserve"> Yamin </w:t>
      </w:r>
      <w:proofErr w:type="spellStart"/>
      <w:r>
        <w:t>Lasi</w:t>
      </w:r>
      <w:proofErr w:type="spellEnd"/>
      <w:r>
        <w:t>. Pretest data showed an initial difference between the experimental and control classes, with an average pretest score of 60.44 for the experimental class and 68.26 for the control class. However, after the application of the Jigsaw strategy, a significant improvement was observed in the posttest results, with the experimental class achieving an average score of 84.89, compared to only 71.07 in the control class. This suggests that the Jigsaw strategy provides an advantage in helping students better master the subject matter compared to conventional teaching methods. Through this approach, students are not passively receiving knowledge but are actively involved in the learning process, both by individually deepening their understanding of the material and by participating in group discussions. The responsibility given to each student to master and teach a specific portion of the material strengthens individual comprehension and social skills. This collaborative learning environment fosters more dynamic interactions, where students can share their understanding, ask questions, and assess each other, making the learning process richer and more meaningful.</w:t>
      </w:r>
    </w:p>
    <w:p w14:paraId="63A4163A" w14:textId="311D419E" w:rsidR="00A0227A" w:rsidRDefault="00A0227A" w:rsidP="00AE1C5B">
      <w:pPr>
        <w:pStyle w:val="Alishlah31text"/>
      </w:pPr>
      <w:r>
        <w:t xml:space="preserve">The </w:t>
      </w:r>
      <w:r>
        <w:t>impact on academic achievement, the Jigsaw strategy has also proven to significantly enhance students’ Higher Order Thinking Skills (HOTS). Statistical analysis shows that the calculated t-value of 0.744 with a degree of freedom (</w:t>
      </w:r>
      <w:proofErr w:type="spellStart"/>
      <w:r>
        <w:t>df</w:t>
      </w:r>
      <w:proofErr w:type="spellEnd"/>
      <w:r>
        <w:t xml:space="preserve">) = 54 is smaller than the t-table value of 1.673, indicating a significant difference. This improvement in HOTS is marked by students' increased ability to think analytically, critically evaluate information, and generate creative solutions to the problems they face. The collaborative group process not only encourages mastery of concepts but also challenges students to view problems from different perspectives. This stimulates deeper and more critical thinking, which is essential for addressing real-world challenges. Thus, the implementation of the Jigsaw strategy not only improves academic achievement but also equips students with vital critical thinking and collaborative skills. This conclusion encourages schools and educational institutions to consider adopting this learning model more broadly across various subjects to enhance learning quality and student competencies. </w:t>
      </w:r>
      <w:r w:rsidR="004E46F9">
        <w:t>T</w:t>
      </w:r>
      <w:r>
        <w:t xml:space="preserve">his research </w:t>
      </w:r>
      <w:proofErr w:type="gramStart"/>
      <w:r>
        <w:t>are</w:t>
      </w:r>
      <w:proofErr w:type="gramEnd"/>
      <w:r>
        <w:t xml:space="preserve"> expected to serve as a reference for policymakers in education, school principals, teachers, and future researchers in their efforts to improve the quality of education in Indonesia.</w:t>
      </w:r>
    </w:p>
    <w:p w14:paraId="7CBEAC1F" w14:textId="77777777" w:rsidR="003B06AC" w:rsidRPr="00AE1C5B" w:rsidRDefault="003B06AC" w:rsidP="00AE1C5B">
      <w:pPr>
        <w:pStyle w:val="Alishlah31text"/>
      </w:pPr>
    </w:p>
    <w:p w14:paraId="2600C695" w14:textId="460C5EF7" w:rsidR="005B5AEC" w:rsidRDefault="005B5AEC" w:rsidP="002A02C2">
      <w:pPr>
        <w:pStyle w:val="Alishlah21heading1"/>
        <w:numPr>
          <w:ilvl w:val="0"/>
          <w:numId w:val="0"/>
        </w:numPr>
        <w:rPr>
          <w:rFonts w:eastAsia="Arial"/>
        </w:rPr>
      </w:pPr>
      <w:r w:rsidRPr="00723B12">
        <w:rPr>
          <w:rFonts w:eastAsia="Arial"/>
        </w:rPr>
        <w:lastRenderedPageBreak/>
        <w:t>REFERENCES</w:t>
      </w:r>
    </w:p>
    <w:p w14:paraId="177DF0CB" w14:textId="77777777" w:rsidR="00431018" w:rsidRPr="00431018" w:rsidRDefault="00AE1C5B" w:rsidP="00431018">
      <w:pPr>
        <w:pStyle w:val="Bibliography"/>
        <w:spacing w:line="240" w:lineRule="auto"/>
        <w:jc w:val="both"/>
        <w:rPr>
          <w:rFonts w:ascii="Palatino Linotype" w:hAnsi="Palatino Linotype"/>
          <w:sz w:val="20"/>
        </w:rPr>
      </w:pPr>
      <w:r>
        <w:fldChar w:fldCharType="begin"/>
      </w:r>
      <w:r>
        <w:instrText xml:space="preserve"> ADDIN ZOTERO_BIBL {"uncited":[],"omitted":[],"custom":[]} CSL_BIBLIOGRAPHY </w:instrText>
      </w:r>
      <w:r>
        <w:fldChar w:fldCharType="separate"/>
      </w:r>
      <w:r w:rsidR="00431018" w:rsidRPr="00431018">
        <w:rPr>
          <w:rFonts w:ascii="Palatino Linotype" w:hAnsi="Palatino Linotype"/>
          <w:sz w:val="20"/>
        </w:rPr>
        <w:t xml:space="preserve">Abdullah, A. H., Mokhtar, M., Abd Halim, N. D., Ali, D. F., Mohd Tahir, L., &amp; Abdul Kohar, U. H. (2016). Mathematics Teachers’ Level of Knowledge and Practice on the Implementation of Higher-Order Thinking Skills (HOTS). </w:t>
      </w:r>
      <w:r w:rsidR="00431018" w:rsidRPr="00431018">
        <w:rPr>
          <w:rFonts w:ascii="Palatino Linotype" w:hAnsi="Palatino Linotype"/>
          <w:i/>
          <w:iCs/>
          <w:sz w:val="20"/>
        </w:rPr>
        <w:t>EURASIA Journal of Mathematics, Science and Technology Education</w:t>
      </w:r>
      <w:r w:rsidR="00431018" w:rsidRPr="00431018">
        <w:rPr>
          <w:rFonts w:ascii="Palatino Linotype" w:hAnsi="Palatino Linotype"/>
          <w:sz w:val="20"/>
        </w:rPr>
        <w:t xml:space="preserve">, </w:t>
      </w:r>
      <w:r w:rsidR="00431018" w:rsidRPr="00431018">
        <w:rPr>
          <w:rFonts w:ascii="Palatino Linotype" w:hAnsi="Palatino Linotype"/>
          <w:i/>
          <w:iCs/>
          <w:sz w:val="20"/>
        </w:rPr>
        <w:t>13</w:t>
      </w:r>
      <w:r w:rsidR="00431018" w:rsidRPr="00431018">
        <w:rPr>
          <w:rFonts w:ascii="Palatino Linotype" w:hAnsi="Palatino Linotype"/>
          <w:sz w:val="20"/>
        </w:rPr>
        <w:t>(1). https://doi.org/10.12973/eurasia.2017.00601a</w:t>
      </w:r>
    </w:p>
    <w:p w14:paraId="558B54EA"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Baena-Morales, S., Jerez-Mayorga, D., Fernández-González, F. T., &amp; López-Morales, J. (2020). The Use of a Cooperative-Learning Activity with University Students: A Gender Experience. </w:t>
      </w:r>
      <w:r w:rsidRPr="00431018">
        <w:rPr>
          <w:rFonts w:ascii="Palatino Linotype" w:hAnsi="Palatino Linotype"/>
          <w:i/>
          <w:iCs/>
          <w:sz w:val="20"/>
        </w:rPr>
        <w:t>Sustainability</w:t>
      </w:r>
      <w:r w:rsidRPr="00431018">
        <w:rPr>
          <w:rFonts w:ascii="Palatino Linotype" w:hAnsi="Palatino Linotype"/>
          <w:sz w:val="20"/>
        </w:rPr>
        <w:t xml:space="preserve">, </w:t>
      </w:r>
      <w:r w:rsidRPr="00431018">
        <w:rPr>
          <w:rFonts w:ascii="Palatino Linotype" w:hAnsi="Palatino Linotype"/>
          <w:i/>
          <w:iCs/>
          <w:sz w:val="20"/>
        </w:rPr>
        <w:t>12</w:t>
      </w:r>
      <w:r w:rsidRPr="00431018">
        <w:rPr>
          <w:rFonts w:ascii="Palatino Linotype" w:hAnsi="Palatino Linotype"/>
          <w:sz w:val="20"/>
        </w:rPr>
        <w:t>(21), 9292. https://doi.org/10.3390/su12219292</w:t>
      </w:r>
    </w:p>
    <w:p w14:paraId="5D45858C"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Bhebhe, N., Williams, P. A. C., Rosales-Guzmán, C., Rodriguez-Fajardo, V., &amp; Forbes, A. (2018). A vector holographic optical trap. </w:t>
      </w:r>
      <w:r w:rsidRPr="00431018">
        <w:rPr>
          <w:rFonts w:ascii="Palatino Linotype" w:hAnsi="Palatino Linotype"/>
          <w:i/>
          <w:iCs/>
          <w:sz w:val="20"/>
        </w:rPr>
        <w:t>Scientific Reports</w:t>
      </w:r>
      <w:r w:rsidRPr="00431018">
        <w:rPr>
          <w:rFonts w:ascii="Palatino Linotype" w:hAnsi="Palatino Linotype"/>
          <w:sz w:val="20"/>
        </w:rPr>
        <w:t xml:space="preserve">, </w:t>
      </w:r>
      <w:r w:rsidRPr="00431018">
        <w:rPr>
          <w:rFonts w:ascii="Palatino Linotype" w:hAnsi="Palatino Linotype"/>
          <w:i/>
          <w:iCs/>
          <w:sz w:val="20"/>
        </w:rPr>
        <w:t>8</w:t>
      </w:r>
      <w:r w:rsidRPr="00431018">
        <w:rPr>
          <w:rFonts w:ascii="Palatino Linotype" w:hAnsi="Palatino Linotype"/>
          <w:sz w:val="20"/>
        </w:rPr>
        <w:t>(1), 17387. https://doi.org/10.1038/s41598-018-35889-0</w:t>
      </w:r>
    </w:p>
    <w:p w14:paraId="4F214551"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Binti </w:t>
      </w:r>
      <w:proofErr w:type="spellStart"/>
      <w:r w:rsidRPr="00431018">
        <w:rPr>
          <w:rFonts w:ascii="Palatino Linotype" w:hAnsi="Palatino Linotype"/>
          <w:sz w:val="20"/>
        </w:rPr>
        <w:t>Misrom</w:t>
      </w:r>
      <w:proofErr w:type="spellEnd"/>
      <w:r w:rsidRPr="00431018">
        <w:rPr>
          <w:rFonts w:ascii="Palatino Linotype" w:hAnsi="Palatino Linotype"/>
          <w:sz w:val="20"/>
        </w:rPr>
        <w:t xml:space="preserve">, N. S., Muhammad, A. S., Abdullah, A. H., Osman, S., Hamzah, M. H., &amp; </w:t>
      </w:r>
      <w:proofErr w:type="spellStart"/>
      <w:r w:rsidRPr="00431018">
        <w:rPr>
          <w:rFonts w:ascii="Palatino Linotype" w:hAnsi="Palatino Linotype"/>
          <w:sz w:val="20"/>
        </w:rPr>
        <w:t>Fauzan</w:t>
      </w:r>
      <w:proofErr w:type="spellEnd"/>
      <w:r w:rsidRPr="00431018">
        <w:rPr>
          <w:rFonts w:ascii="Palatino Linotype" w:hAnsi="Palatino Linotype"/>
          <w:sz w:val="20"/>
        </w:rPr>
        <w:t xml:space="preserve">, A. (2020). Enhancing Students’ Higher-Order Thinking Skills (HOTS) Through an Inductive Reasoning Strategy Using </w:t>
      </w:r>
      <w:proofErr w:type="spellStart"/>
      <w:r w:rsidRPr="00431018">
        <w:rPr>
          <w:rFonts w:ascii="Palatino Linotype" w:hAnsi="Palatino Linotype"/>
          <w:sz w:val="20"/>
        </w:rPr>
        <w:t>Geogebra</w:t>
      </w:r>
      <w:proofErr w:type="spellEnd"/>
      <w:r w:rsidRPr="00431018">
        <w:rPr>
          <w:rFonts w:ascii="Palatino Linotype" w:hAnsi="Palatino Linotype"/>
          <w:sz w:val="20"/>
        </w:rPr>
        <w:t xml:space="preserve">. </w:t>
      </w:r>
      <w:r w:rsidRPr="00431018">
        <w:rPr>
          <w:rFonts w:ascii="Palatino Linotype" w:hAnsi="Palatino Linotype"/>
          <w:i/>
          <w:iCs/>
          <w:sz w:val="20"/>
        </w:rPr>
        <w:t>International Journal of Emerging Technologies in Learning (</w:t>
      </w:r>
      <w:proofErr w:type="spellStart"/>
      <w:r w:rsidRPr="00431018">
        <w:rPr>
          <w:rFonts w:ascii="Palatino Linotype" w:hAnsi="Palatino Linotype"/>
          <w:i/>
          <w:iCs/>
          <w:sz w:val="20"/>
        </w:rPr>
        <w:t>iJET</w:t>
      </w:r>
      <w:proofErr w:type="spellEnd"/>
      <w:r w:rsidRPr="00431018">
        <w:rPr>
          <w:rFonts w:ascii="Palatino Linotype" w:hAnsi="Palatino Linotype"/>
          <w:i/>
          <w:iCs/>
          <w:sz w:val="20"/>
        </w:rPr>
        <w:t>)</w:t>
      </w:r>
      <w:r w:rsidRPr="00431018">
        <w:rPr>
          <w:rFonts w:ascii="Palatino Linotype" w:hAnsi="Palatino Linotype"/>
          <w:sz w:val="20"/>
        </w:rPr>
        <w:t xml:space="preserve">, </w:t>
      </w:r>
      <w:r w:rsidRPr="00431018">
        <w:rPr>
          <w:rFonts w:ascii="Palatino Linotype" w:hAnsi="Palatino Linotype"/>
          <w:i/>
          <w:iCs/>
          <w:sz w:val="20"/>
        </w:rPr>
        <w:t>15</w:t>
      </w:r>
      <w:r w:rsidRPr="00431018">
        <w:rPr>
          <w:rFonts w:ascii="Palatino Linotype" w:hAnsi="Palatino Linotype"/>
          <w:sz w:val="20"/>
        </w:rPr>
        <w:t>(03), 156. https://doi.org/10.3991/ijet.v15i03.9839</w:t>
      </w:r>
    </w:p>
    <w:p w14:paraId="4A6D1F20"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Camerer, C. F., </w:t>
      </w:r>
      <w:proofErr w:type="spellStart"/>
      <w:r w:rsidRPr="00431018">
        <w:rPr>
          <w:rFonts w:ascii="Palatino Linotype" w:hAnsi="Palatino Linotype"/>
          <w:sz w:val="20"/>
        </w:rPr>
        <w:t>Dreber</w:t>
      </w:r>
      <w:proofErr w:type="spellEnd"/>
      <w:r w:rsidRPr="00431018">
        <w:rPr>
          <w:rFonts w:ascii="Palatino Linotype" w:hAnsi="Palatino Linotype"/>
          <w:sz w:val="20"/>
        </w:rPr>
        <w:t xml:space="preserve">, A., Holzmeister, F., Ho, T.-H., Huber, J., Johannesson, M., </w:t>
      </w:r>
      <w:proofErr w:type="spellStart"/>
      <w:r w:rsidRPr="00431018">
        <w:rPr>
          <w:rFonts w:ascii="Palatino Linotype" w:hAnsi="Palatino Linotype"/>
          <w:sz w:val="20"/>
        </w:rPr>
        <w:t>Kirchler</w:t>
      </w:r>
      <w:proofErr w:type="spellEnd"/>
      <w:r w:rsidRPr="00431018">
        <w:rPr>
          <w:rFonts w:ascii="Palatino Linotype" w:hAnsi="Palatino Linotype"/>
          <w:sz w:val="20"/>
        </w:rPr>
        <w:t xml:space="preserve">, M., Nave, G., Nosek, B. A., Pfeiffer, T., </w:t>
      </w:r>
      <w:proofErr w:type="spellStart"/>
      <w:r w:rsidRPr="00431018">
        <w:rPr>
          <w:rFonts w:ascii="Palatino Linotype" w:hAnsi="Palatino Linotype"/>
          <w:sz w:val="20"/>
        </w:rPr>
        <w:t>Altmejd</w:t>
      </w:r>
      <w:proofErr w:type="spellEnd"/>
      <w:r w:rsidRPr="00431018">
        <w:rPr>
          <w:rFonts w:ascii="Palatino Linotype" w:hAnsi="Palatino Linotype"/>
          <w:sz w:val="20"/>
        </w:rPr>
        <w:t xml:space="preserve">, A., Buttrick, N., Chan, T., Chen, Y., Forsell, E., </w:t>
      </w:r>
      <w:proofErr w:type="spellStart"/>
      <w:r w:rsidRPr="00431018">
        <w:rPr>
          <w:rFonts w:ascii="Palatino Linotype" w:hAnsi="Palatino Linotype"/>
          <w:sz w:val="20"/>
        </w:rPr>
        <w:t>Gampa</w:t>
      </w:r>
      <w:proofErr w:type="spellEnd"/>
      <w:r w:rsidRPr="00431018">
        <w:rPr>
          <w:rFonts w:ascii="Palatino Linotype" w:hAnsi="Palatino Linotype"/>
          <w:sz w:val="20"/>
        </w:rPr>
        <w:t xml:space="preserve">, A., </w:t>
      </w:r>
      <w:proofErr w:type="spellStart"/>
      <w:r w:rsidRPr="00431018">
        <w:rPr>
          <w:rFonts w:ascii="Palatino Linotype" w:hAnsi="Palatino Linotype"/>
          <w:sz w:val="20"/>
        </w:rPr>
        <w:t>Heikensten</w:t>
      </w:r>
      <w:proofErr w:type="spellEnd"/>
      <w:r w:rsidRPr="00431018">
        <w:rPr>
          <w:rFonts w:ascii="Palatino Linotype" w:hAnsi="Palatino Linotype"/>
          <w:sz w:val="20"/>
        </w:rPr>
        <w:t xml:space="preserve">, E., Hummer, L., Imai, T., … Wu, H. (2018). Evaluating the replicability of social science experiments in Nature and Science between 2010 and 2015. </w:t>
      </w:r>
      <w:r w:rsidRPr="00431018">
        <w:rPr>
          <w:rFonts w:ascii="Palatino Linotype" w:hAnsi="Palatino Linotype"/>
          <w:i/>
          <w:iCs/>
          <w:sz w:val="20"/>
        </w:rPr>
        <w:t>Nature Human Behaviour</w:t>
      </w:r>
      <w:r w:rsidRPr="00431018">
        <w:rPr>
          <w:rFonts w:ascii="Palatino Linotype" w:hAnsi="Palatino Linotype"/>
          <w:sz w:val="20"/>
        </w:rPr>
        <w:t xml:space="preserve">, </w:t>
      </w:r>
      <w:r w:rsidRPr="00431018">
        <w:rPr>
          <w:rFonts w:ascii="Palatino Linotype" w:hAnsi="Palatino Linotype"/>
          <w:i/>
          <w:iCs/>
          <w:sz w:val="20"/>
        </w:rPr>
        <w:t>2</w:t>
      </w:r>
      <w:r w:rsidRPr="00431018">
        <w:rPr>
          <w:rFonts w:ascii="Palatino Linotype" w:hAnsi="Palatino Linotype"/>
          <w:sz w:val="20"/>
        </w:rPr>
        <w:t>(9), 637–644. https://doi.org/10.1038/s41562-018-0399-z</w:t>
      </w:r>
    </w:p>
    <w:p w14:paraId="574FDB47"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Cornide</w:t>
      </w:r>
      <w:proofErr w:type="spellEnd"/>
      <w:r w:rsidRPr="00431018">
        <w:rPr>
          <w:rFonts w:ascii="Palatino Linotype" w:hAnsi="Palatino Linotype"/>
          <w:sz w:val="20"/>
        </w:rPr>
        <w:t xml:space="preserve">-Reyes, H., Riquelme, F., </w:t>
      </w:r>
      <w:proofErr w:type="spellStart"/>
      <w:r w:rsidRPr="00431018">
        <w:rPr>
          <w:rFonts w:ascii="Palatino Linotype" w:hAnsi="Palatino Linotype"/>
          <w:sz w:val="20"/>
        </w:rPr>
        <w:t>Monsalves</w:t>
      </w:r>
      <w:proofErr w:type="spellEnd"/>
      <w:r w:rsidRPr="00431018">
        <w:rPr>
          <w:rFonts w:ascii="Palatino Linotype" w:hAnsi="Palatino Linotype"/>
          <w:sz w:val="20"/>
        </w:rPr>
        <w:t xml:space="preserve">, D., Noel, R., </w:t>
      </w:r>
      <w:proofErr w:type="spellStart"/>
      <w:r w:rsidRPr="00431018">
        <w:rPr>
          <w:rFonts w:ascii="Palatino Linotype" w:hAnsi="Palatino Linotype"/>
          <w:sz w:val="20"/>
        </w:rPr>
        <w:t>Cechinel</w:t>
      </w:r>
      <w:proofErr w:type="spellEnd"/>
      <w:r w:rsidRPr="00431018">
        <w:rPr>
          <w:rFonts w:ascii="Palatino Linotype" w:hAnsi="Palatino Linotype"/>
          <w:sz w:val="20"/>
        </w:rPr>
        <w:t xml:space="preserve">, C., Villarroel, R., Ponce, F., &amp; Munoz, R. (2020). A Multimodal Real-Time Feedback Platform Based on Spoken Interactions for Remote Active Learning Support. </w:t>
      </w:r>
      <w:r w:rsidRPr="00431018">
        <w:rPr>
          <w:rFonts w:ascii="Palatino Linotype" w:hAnsi="Palatino Linotype"/>
          <w:i/>
          <w:iCs/>
          <w:sz w:val="20"/>
        </w:rPr>
        <w:t>Sensors</w:t>
      </w:r>
      <w:r w:rsidRPr="00431018">
        <w:rPr>
          <w:rFonts w:ascii="Palatino Linotype" w:hAnsi="Palatino Linotype"/>
          <w:sz w:val="20"/>
        </w:rPr>
        <w:t xml:space="preserve">, </w:t>
      </w:r>
      <w:r w:rsidRPr="00431018">
        <w:rPr>
          <w:rFonts w:ascii="Palatino Linotype" w:hAnsi="Palatino Linotype"/>
          <w:i/>
          <w:iCs/>
          <w:sz w:val="20"/>
        </w:rPr>
        <w:t>20</w:t>
      </w:r>
      <w:r w:rsidRPr="00431018">
        <w:rPr>
          <w:rFonts w:ascii="Palatino Linotype" w:hAnsi="Palatino Linotype"/>
          <w:sz w:val="20"/>
        </w:rPr>
        <w:t>(21), 6337. https://doi.org/10.3390/s20216337</w:t>
      </w:r>
    </w:p>
    <w:p w14:paraId="2D9C05AA"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Dharmawan</w:t>
      </w:r>
      <w:proofErr w:type="spellEnd"/>
      <w:r w:rsidRPr="00431018">
        <w:rPr>
          <w:rFonts w:ascii="Palatino Linotype" w:hAnsi="Palatino Linotype"/>
          <w:sz w:val="20"/>
        </w:rPr>
        <w:t xml:space="preserve">, D., </w:t>
      </w:r>
      <w:proofErr w:type="spellStart"/>
      <w:r w:rsidRPr="00431018">
        <w:rPr>
          <w:rFonts w:ascii="Palatino Linotype" w:hAnsi="Palatino Linotype"/>
          <w:sz w:val="20"/>
        </w:rPr>
        <w:t>Trisnamansyah</w:t>
      </w:r>
      <w:proofErr w:type="spellEnd"/>
      <w:r w:rsidRPr="00431018">
        <w:rPr>
          <w:rFonts w:ascii="Palatino Linotype" w:hAnsi="Palatino Linotype"/>
          <w:sz w:val="20"/>
        </w:rPr>
        <w:t xml:space="preserve">, S., </w:t>
      </w:r>
      <w:proofErr w:type="spellStart"/>
      <w:r w:rsidRPr="00431018">
        <w:rPr>
          <w:rFonts w:ascii="Palatino Linotype" w:hAnsi="Palatino Linotype"/>
          <w:sz w:val="20"/>
        </w:rPr>
        <w:t>Mulyasana</w:t>
      </w:r>
      <w:proofErr w:type="spellEnd"/>
      <w:r w:rsidRPr="00431018">
        <w:rPr>
          <w:rFonts w:ascii="Palatino Linotype" w:hAnsi="Palatino Linotype"/>
          <w:sz w:val="20"/>
        </w:rPr>
        <w:t xml:space="preserve">, D., &amp; </w:t>
      </w:r>
      <w:proofErr w:type="spellStart"/>
      <w:r w:rsidRPr="00431018">
        <w:rPr>
          <w:rFonts w:ascii="Palatino Linotype" w:hAnsi="Palatino Linotype"/>
          <w:sz w:val="20"/>
        </w:rPr>
        <w:t>Fiah</w:t>
      </w:r>
      <w:proofErr w:type="spellEnd"/>
      <w:r w:rsidRPr="00431018">
        <w:rPr>
          <w:rFonts w:ascii="Palatino Linotype" w:hAnsi="Palatino Linotype"/>
          <w:sz w:val="20"/>
        </w:rPr>
        <w:t xml:space="preserve">, H. (2022). Management Of Character Education Strengthening Program </w:t>
      </w:r>
      <w:proofErr w:type="gramStart"/>
      <w:r w:rsidRPr="00431018">
        <w:rPr>
          <w:rFonts w:ascii="Palatino Linotype" w:hAnsi="Palatino Linotype"/>
          <w:sz w:val="20"/>
        </w:rPr>
        <w:t>In</w:t>
      </w:r>
      <w:proofErr w:type="gramEnd"/>
      <w:r w:rsidRPr="00431018">
        <w:rPr>
          <w:rFonts w:ascii="Palatino Linotype" w:hAnsi="Palatino Linotype"/>
          <w:sz w:val="20"/>
        </w:rPr>
        <w:t xml:space="preserve"> Building The National Soul Of Vocational School Students In Bandung City (Case Study at SMKN 9 and SMKN 13 Bandung). </w:t>
      </w:r>
      <w:r w:rsidRPr="00431018">
        <w:rPr>
          <w:rFonts w:ascii="Palatino Linotype" w:hAnsi="Palatino Linotype"/>
          <w:i/>
          <w:iCs/>
          <w:sz w:val="20"/>
        </w:rPr>
        <w:t>International Journal of Educational Research &amp; Social Sciences</w:t>
      </w:r>
      <w:r w:rsidRPr="00431018">
        <w:rPr>
          <w:rFonts w:ascii="Palatino Linotype" w:hAnsi="Palatino Linotype"/>
          <w:sz w:val="20"/>
        </w:rPr>
        <w:t xml:space="preserve">, </w:t>
      </w:r>
      <w:r w:rsidRPr="00431018">
        <w:rPr>
          <w:rFonts w:ascii="Palatino Linotype" w:hAnsi="Palatino Linotype"/>
          <w:i/>
          <w:iCs/>
          <w:sz w:val="20"/>
        </w:rPr>
        <w:t>3</w:t>
      </w:r>
      <w:r w:rsidRPr="00431018">
        <w:rPr>
          <w:rFonts w:ascii="Palatino Linotype" w:hAnsi="Palatino Linotype"/>
          <w:sz w:val="20"/>
        </w:rPr>
        <w:t>(1), 351–359. https://doi.org/10.51601/ijersc.v3i1.271</w:t>
      </w:r>
    </w:p>
    <w:p w14:paraId="5592208D"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Dikdas</w:t>
      </w:r>
      <w:proofErr w:type="spellEnd"/>
      <w:r w:rsidRPr="00431018">
        <w:rPr>
          <w:rFonts w:ascii="Palatino Linotype" w:hAnsi="Palatino Linotype"/>
          <w:sz w:val="20"/>
        </w:rPr>
        <w:t xml:space="preserve">, H. (2021). ANALISIS HOTS PADA SOAL PENILAIAN TENGAH SEMESTER DALAM MATA PELAJARAN ILMU PENGETAHUAN SOSIAL DI KELAS IV. </w:t>
      </w:r>
      <w:r w:rsidRPr="00431018">
        <w:rPr>
          <w:rFonts w:ascii="Palatino Linotype" w:hAnsi="Palatino Linotype"/>
          <w:i/>
          <w:iCs/>
          <w:sz w:val="20"/>
        </w:rPr>
        <w:t xml:space="preserve">JURNAL PAJAR (Pendidikan Dan </w:t>
      </w:r>
      <w:proofErr w:type="spellStart"/>
      <w:r w:rsidRPr="00431018">
        <w:rPr>
          <w:rFonts w:ascii="Palatino Linotype" w:hAnsi="Palatino Linotype"/>
          <w:i/>
          <w:iCs/>
          <w:sz w:val="20"/>
        </w:rPr>
        <w:t>Pengajaran</w:t>
      </w:r>
      <w:proofErr w:type="spellEnd"/>
      <w:r w:rsidRPr="00431018">
        <w:rPr>
          <w:rFonts w:ascii="Palatino Linotype" w:hAnsi="Palatino Linotype"/>
          <w:i/>
          <w:iCs/>
          <w:sz w:val="20"/>
        </w:rPr>
        <w:t>)</w:t>
      </w:r>
      <w:r w:rsidRPr="00431018">
        <w:rPr>
          <w:rFonts w:ascii="Palatino Linotype" w:hAnsi="Palatino Linotype"/>
          <w:sz w:val="20"/>
        </w:rPr>
        <w:t xml:space="preserve">, </w:t>
      </w:r>
      <w:r w:rsidRPr="00431018">
        <w:rPr>
          <w:rFonts w:ascii="Palatino Linotype" w:hAnsi="Palatino Linotype"/>
          <w:i/>
          <w:iCs/>
          <w:sz w:val="20"/>
        </w:rPr>
        <w:t>5</w:t>
      </w:r>
      <w:r w:rsidRPr="00431018">
        <w:rPr>
          <w:rFonts w:ascii="Palatino Linotype" w:hAnsi="Palatino Linotype"/>
          <w:sz w:val="20"/>
        </w:rPr>
        <w:t>(4). https://doi.org/10.33578/pjr.v5i4.8218</w:t>
      </w:r>
    </w:p>
    <w:p w14:paraId="61F79A3C"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Eysink</w:t>
      </w:r>
      <w:proofErr w:type="spellEnd"/>
      <w:r w:rsidRPr="00431018">
        <w:rPr>
          <w:rFonts w:ascii="Palatino Linotype" w:hAnsi="Palatino Linotype"/>
          <w:sz w:val="20"/>
        </w:rPr>
        <w:t xml:space="preserve">, T. H. S., Van Dijk, A. M., &amp; De Jong, T. (2020). BE COOL! a digital learning environment to challenge and socially include gifted learners. </w:t>
      </w:r>
      <w:r w:rsidRPr="00431018">
        <w:rPr>
          <w:rFonts w:ascii="Palatino Linotype" w:hAnsi="Palatino Linotype"/>
          <w:i/>
          <w:iCs/>
          <w:sz w:val="20"/>
        </w:rPr>
        <w:t>Educational Technology Research and Development</w:t>
      </w:r>
      <w:r w:rsidRPr="00431018">
        <w:rPr>
          <w:rFonts w:ascii="Palatino Linotype" w:hAnsi="Palatino Linotype"/>
          <w:sz w:val="20"/>
        </w:rPr>
        <w:t xml:space="preserve">, </w:t>
      </w:r>
      <w:r w:rsidRPr="00431018">
        <w:rPr>
          <w:rFonts w:ascii="Palatino Linotype" w:hAnsi="Palatino Linotype"/>
          <w:i/>
          <w:iCs/>
          <w:sz w:val="20"/>
        </w:rPr>
        <w:t>68</w:t>
      </w:r>
      <w:r w:rsidRPr="00431018">
        <w:rPr>
          <w:rFonts w:ascii="Palatino Linotype" w:hAnsi="Palatino Linotype"/>
          <w:sz w:val="20"/>
        </w:rPr>
        <w:t>(5), 2373–2393. https://doi.org/10.1007/s11423-020-09754-9</w:t>
      </w:r>
    </w:p>
    <w:p w14:paraId="72E4E7E7"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Gobo, G. (2021). Replicability. Politics and Poetics of Accountability, Validation and Legitimation. </w:t>
      </w:r>
      <w:r w:rsidRPr="00431018">
        <w:rPr>
          <w:rFonts w:ascii="Palatino Linotype" w:hAnsi="Palatino Linotype"/>
          <w:i/>
          <w:iCs/>
          <w:sz w:val="20"/>
        </w:rPr>
        <w:t>Frontiers in Psychology</w:t>
      </w:r>
      <w:r w:rsidRPr="00431018">
        <w:rPr>
          <w:rFonts w:ascii="Palatino Linotype" w:hAnsi="Palatino Linotype"/>
          <w:sz w:val="20"/>
        </w:rPr>
        <w:t xml:space="preserve">, </w:t>
      </w:r>
      <w:r w:rsidRPr="00431018">
        <w:rPr>
          <w:rFonts w:ascii="Palatino Linotype" w:hAnsi="Palatino Linotype"/>
          <w:i/>
          <w:iCs/>
          <w:sz w:val="20"/>
        </w:rPr>
        <w:t>11</w:t>
      </w:r>
      <w:r w:rsidRPr="00431018">
        <w:rPr>
          <w:rFonts w:ascii="Palatino Linotype" w:hAnsi="Palatino Linotype"/>
          <w:sz w:val="20"/>
        </w:rPr>
        <w:t>, 608451. https://doi.org/10.3389/fpsyg.2020.608451</w:t>
      </w:r>
    </w:p>
    <w:p w14:paraId="52A18FA3"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Ichsan</w:t>
      </w:r>
      <w:proofErr w:type="spellEnd"/>
      <w:r w:rsidRPr="00431018">
        <w:rPr>
          <w:rFonts w:ascii="Palatino Linotype" w:hAnsi="Palatino Linotype"/>
          <w:sz w:val="20"/>
        </w:rPr>
        <w:t xml:space="preserve">, I. Z., </w:t>
      </w:r>
      <w:proofErr w:type="spellStart"/>
      <w:r w:rsidRPr="00431018">
        <w:rPr>
          <w:rFonts w:ascii="Palatino Linotype" w:hAnsi="Palatino Linotype"/>
          <w:sz w:val="20"/>
        </w:rPr>
        <w:t>Sigit</w:t>
      </w:r>
      <w:proofErr w:type="spellEnd"/>
      <w:r w:rsidRPr="00431018">
        <w:rPr>
          <w:rFonts w:ascii="Palatino Linotype" w:hAnsi="Palatino Linotype"/>
          <w:sz w:val="20"/>
        </w:rPr>
        <w:t xml:space="preserve">, D. V., </w:t>
      </w:r>
      <w:proofErr w:type="spellStart"/>
      <w:r w:rsidRPr="00431018">
        <w:rPr>
          <w:rFonts w:ascii="Palatino Linotype" w:hAnsi="Palatino Linotype"/>
          <w:sz w:val="20"/>
        </w:rPr>
        <w:t>Miarsyah</w:t>
      </w:r>
      <w:proofErr w:type="spellEnd"/>
      <w:r w:rsidRPr="00431018">
        <w:rPr>
          <w:rFonts w:ascii="Palatino Linotype" w:hAnsi="Palatino Linotype"/>
          <w:sz w:val="20"/>
        </w:rPr>
        <w:t xml:space="preserve">, M., Ali, A., Arif, W. P., &amp; </w:t>
      </w:r>
      <w:proofErr w:type="spellStart"/>
      <w:r w:rsidRPr="00431018">
        <w:rPr>
          <w:rFonts w:ascii="Palatino Linotype" w:hAnsi="Palatino Linotype"/>
          <w:sz w:val="20"/>
        </w:rPr>
        <w:t>Prayitno</w:t>
      </w:r>
      <w:proofErr w:type="spellEnd"/>
      <w:r w:rsidRPr="00431018">
        <w:rPr>
          <w:rFonts w:ascii="Palatino Linotype" w:hAnsi="Palatino Linotype"/>
          <w:sz w:val="20"/>
        </w:rPr>
        <w:t xml:space="preserve">, T. A. (2019). HOTS-AEP: Higher Order Thinking Skills from Elementary to Master Students in Environmental Learning. </w:t>
      </w:r>
      <w:r w:rsidRPr="00431018">
        <w:rPr>
          <w:rFonts w:ascii="Palatino Linotype" w:hAnsi="Palatino Linotype"/>
          <w:i/>
          <w:iCs/>
          <w:sz w:val="20"/>
        </w:rPr>
        <w:t>European Journal of Educational Research</w:t>
      </w:r>
      <w:r w:rsidRPr="00431018">
        <w:rPr>
          <w:rFonts w:ascii="Palatino Linotype" w:hAnsi="Palatino Linotype"/>
          <w:sz w:val="20"/>
        </w:rPr>
        <w:t xml:space="preserve">, </w:t>
      </w:r>
      <w:r w:rsidRPr="00431018">
        <w:rPr>
          <w:rFonts w:ascii="Palatino Linotype" w:hAnsi="Palatino Linotype"/>
          <w:i/>
          <w:iCs/>
          <w:sz w:val="20"/>
        </w:rPr>
        <w:t>volume–8–2019</w:t>
      </w:r>
      <w:r w:rsidRPr="00431018">
        <w:rPr>
          <w:rFonts w:ascii="Palatino Linotype" w:hAnsi="Palatino Linotype"/>
          <w:sz w:val="20"/>
        </w:rPr>
        <w:t>(volume8-issue4.html), 935–942. https://doi.org/10.12973/eu-jer.8.4.935</w:t>
      </w:r>
    </w:p>
    <w:p w14:paraId="1B1050D6"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Klerkx, L., Jakku, E., &amp; Labarthe, P. (2019). A review of social science on digital agriculture, smart farming and agriculture 4.0: New contributions and a future research agenda. </w:t>
      </w:r>
      <w:r w:rsidRPr="00431018">
        <w:rPr>
          <w:rFonts w:ascii="Palatino Linotype" w:hAnsi="Palatino Linotype"/>
          <w:i/>
          <w:iCs/>
          <w:sz w:val="20"/>
        </w:rPr>
        <w:t>NJAS: Wageningen Journal of Life Sciences</w:t>
      </w:r>
      <w:r w:rsidRPr="00431018">
        <w:rPr>
          <w:rFonts w:ascii="Palatino Linotype" w:hAnsi="Palatino Linotype"/>
          <w:sz w:val="20"/>
        </w:rPr>
        <w:t xml:space="preserve">, </w:t>
      </w:r>
      <w:r w:rsidRPr="00431018">
        <w:rPr>
          <w:rFonts w:ascii="Palatino Linotype" w:hAnsi="Palatino Linotype"/>
          <w:i/>
          <w:iCs/>
          <w:sz w:val="20"/>
        </w:rPr>
        <w:t>90–91</w:t>
      </w:r>
      <w:r w:rsidRPr="00431018">
        <w:rPr>
          <w:rFonts w:ascii="Palatino Linotype" w:hAnsi="Palatino Linotype"/>
          <w:sz w:val="20"/>
        </w:rPr>
        <w:t>(1), 1–16. https://doi.org/10.1016/j.njas.2019.100315</w:t>
      </w:r>
    </w:p>
    <w:p w14:paraId="5BF9D571"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Lagorce</w:t>
      </w:r>
      <w:proofErr w:type="spellEnd"/>
      <w:r w:rsidRPr="00431018">
        <w:rPr>
          <w:rFonts w:ascii="Palatino Linotype" w:hAnsi="Palatino Linotype"/>
          <w:sz w:val="20"/>
        </w:rPr>
        <w:t xml:space="preserve">, X., Orchard, G., Galluppi, F., Shi, B. E., &amp; </w:t>
      </w:r>
      <w:proofErr w:type="spellStart"/>
      <w:r w:rsidRPr="00431018">
        <w:rPr>
          <w:rFonts w:ascii="Palatino Linotype" w:hAnsi="Palatino Linotype"/>
          <w:sz w:val="20"/>
        </w:rPr>
        <w:t>Benosman</w:t>
      </w:r>
      <w:proofErr w:type="spellEnd"/>
      <w:r w:rsidRPr="00431018">
        <w:rPr>
          <w:rFonts w:ascii="Palatino Linotype" w:hAnsi="Palatino Linotype"/>
          <w:sz w:val="20"/>
        </w:rPr>
        <w:t xml:space="preserve">, R. B. (2017). HOTS: A Hierarchy of Event-Based Time-Surfaces for Pattern Recognition. </w:t>
      </w:r>
      <w:r w:rsidRPr="00431018">
        <w:rPr>
          <w:rFonts w:ascii="Palatino Linotype" w:hAnsi="Palatino Linotype"/>
          <w:i/>
          <w:iCs/>
          <w:sz w:val="20"/>
        </w:rPr>
        <w:t>IEEE Transactions on Pattern Analysis and Machine Intelligence</w:t>
      </w:r>
      <w:r w:rsidRPr="00431018">
        <w:rPr>
          <w:rFonts w:ascii="Palatino Linotype" w:hAnsi="Palatino Linotype"/>
          <w:sz w:val="20"/>
        </w:rPr>
        <w:t xml:space="preserve">, </w:t>
      </w:r>
      <w:r w:rsidRPr="00431018">
        <w:rPr>
          <w:rFonts w:ascii="Palatino Linotype" w:hAnsi="Palatino Linotype"/>
          <w:i/>
          <w:iCs/>
          <w:sz w:val="20"/>
        </w:rPr>
        <w:t>39</w:t>
      </w:r>
      <w:r w:rsidRPr="00431018">
        <w:rPr>
          <w:rFonts w:ascii="Palatino Linotype" w:hAnsi="Palatino Linotype"/>
          <w:sz w:val="20"/>
        </w:rPr>
        <w:t>(7), 1346–1359. https://doi.org/10.1109/TPAMI.2016.2574707</w:t>
      </w:r>
    </w:p>
    <w:p w14:paraId="1A7E36A1"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Lazer, D. M. J., Pentland, A., Watts, D. J., Aral, S., Athey, S., Contractor, N., Freelon, D., Gonzalez-Bailon, S., King, G., Margetts, H., Nelson, A., </w:t>
      </w:r>
      <w:proofErr w:type="spellStart"/>
      <w:r w:rsidRPr="00431018">
        <w:rPr>
          <w:rFonts w:ascii="Palatino Linotype" w:hAnsi="Palatino Linotype"/>
          <w:sz w:val="20"/>
        </w:rPr>
        <w:t>Salganik</w:t>
      </w:r>
      <w:proofErr w:type="spellEnd"/>
      <w:r w:rsidRPr="00431018">
        <w:rPr>
          <w:rFonts w:ascii="Palatino Linotype" w:hAnsi="Palatino Linotype"/>
          <w:sz w:val="20"/>
        </w:rPr>
        <w:t xml:space="preserve">, M. J., Strohmaier, M., </w:t>
      </w:r>
      <w:proofErr w:type="spellStart"/>
      <w:r w:rsidRPr="00431018">
        <w:rPr>
          <w:rFonts w:ascii="Palatino Linotype" w:hAnsi="Palatino Linotype"/>
          <w:sz w:val="20"/>
        </w:rPr>
        <w:t>Vespignani</w:t>
      </w:r>
      <w:proofErr w:type="spellEnd"/>
      <w:r w:rsidRPr="00431018">
        <w:rPr>
          <w:rFonts w:ascii="Palatino Linotype" w:hAnsi="Palatino Linotype"/>
          <w:sz w:val="20"/>
        </w:rPr>
        <w:t xml:space="preserve">, A., &amp; Wagner, C. (2020). Computational social science: Obstacles and opportunities. </w:t>
      </w:r>
      <w:r w:rsidRPr="00431018">
        <w:rPr>
          <w:rFonts w:ascii="Palatino Linotype" w:hAnsi="Palatino Linotype"/>
          <w:i/>
          <w:iCs/>
          <w:sz w:val="20"/>
        </w:rPr>
        <w:t>Science</w:t>
      </w:r>
      <w:r w:rsidRPr="00431018">
        <w:rPr>
          <w:rFonts w:ascii="Palatino Linotype" w:hAnsi="Palatino Linotype"/>
          <w:sz w:val="20"/>
        </w:rPr>
        <w:t xml:space="preserve">, </w:t>
      </w:r>
      <w:r w:rsidRPr="00431018">
        <w:rPr>
          <w:rFonts w:ascii="Palatino Linotype" w:hAnsi="Palatino Linotype"/>
          <w:i/>
          <w:iCs/>
          <w:sz w:val="20"/>
        </w:rPr>
        <w:t>369</w:t>
      </w:r>
      <w:r w:rsidRPr="00431018">
        <w:rPr>
          <w:rFonts w:ascii="Palatino Linotype" w:hAnsi="Palatino Linotype"/>
          <w:sz w:val="20"/>
        </w:rPr>
        <w:t>(6507), 1060–1062. https://doi.org/10.1126/science.aaz8170</w:t>
      </w:r>
    </w:p>
    <w:p w14:paraId="77028B83"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lastRenderedPageBreak/>
        <w:t xml:space="preserve">Lee, K.-W. (2023). Effectiveness of gamification and selection of appropriate teaching methods of creativity: Students’ perspectives. </w:t>
      </w:r>
      <w:proofErr w:type="spellStart"/>
      <w:r w:rsidRPr="00431018">
        <w:rPr>
          <w:rFonts w:ascii="Palatino Linotype" w:hAnsi="Palatino Linotype"/>
          <w:i/>
          <w:iCs/>
          <w:sz w:val="20"/>
        </w:rPr>
        <w:t>Heliyon</w:t>
      </w:r>
      <w:proofErr w:type="spellEnd"/>
      <w:r w:rsidRPr="00431018">
        <w:rPr>
          <w:rFonts w:ascii="Palatino Linotype" w:hAnsi="Palatino Linotype"/>
          <w:sz w:val="20"/>
        </w:rPr>
        <w:t xml:space="preserve">, </w:t>
      </w:r>
      <w:r w:rsidRPr="00431018">
        <w:rPr>
          <w:rFonts w:ascii="Palatino Linotype" w:hAnsi="Palatino Linotype"/>
          <w:i/>
          <w:iCs/>
          <w:sz w:val="20"/>
        </w:rPr>
        <w:t>9</w:t>
      </w:r>
      <w:r w:rsidRPr="00431018">
        <w:rPr>
          <w:rFonts w:ascii="Palatino Linotype" w:hAnsi="Palatino Linotype"/>
          <w:sz w:val="20"/>
        </w:rPr>
        <w:t>(10), e20420. https://doi.org/10.1016/j.heliyon.2023.e20420</w:t>
      </w:r>
    </w:p>
    <w:p w14:paraId="37AF164E"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Lee Perry, W., Clements, B., Ma, X., &amp; Mang, J. T. (2018). Relating microstructure, temperature, and chemistry to explosive ignition and shock sensitivity. </w:t>
      </w:r>
      <w:r w:rsidRPr="00431018">
        <w:rPr>
          <w:rFonts w:ascii="Palatino Linotype" w:hAnsi="Palatino Linotype"/>
          <w:i/>
          <w:iCs/>
          <w:sz w:val="20"/>
        </w:rPr>
        <w:t>Combustion and Flame</w:t>
      </w:r>
      <w:r w:rsidRPr="00431018">
        <w:rPr>
          <w:rFonts w:ascii="Palatino Linotype" w:hAnsi="Palatino Linotype"/>
          <w:sz w:val="20"/>
        </w:rPr>
        <w:t xml:space="preserve">, </w:t>
      </w:r>
      <w:r w:rsidRPr="00431018">
        <w:rPr>
          <w:rFonts w:ascii="Palatino Linotype" w:hAnsi="Palatino Linotype"/>
          <w:i/>
          <w:iCs/>
          <w:sz w:val="20"/>
        </w:rPr>
        <w:t>190</w:t>
      </w:r>
      <w:r w:rsidRPr="00431018">
        <w:rPr>
          <w:rFonts w:ascii="Palatino Linotype" w:hAnsi="Palatino Linotype"/>
          <w:sz w:val="20"/>
        </w:rPr>
        <w:t>, 171–176. https://doi.org/10.1016/j.combustflame.2017.11.017</w:t>
      </w:r>
    </w:p>
    <w:p w14:paraId="52F76F99"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Lestari, F., </w:t>
      </w:r>
      <w:proofErr w:type="spellStart"/>
      <w:r w:rsidRPr="00431018">
        <w:rPr>
          <w:rFonts w:ascii="Palatino Linotype" w:hAnsi="Palatino Linotype"/>
          <w:sz w:val="20"/>
        </w:rPr>
        <w:t>Saryantono</w:t>
      </w:r>
      <w:proofErr w:type="spellEnd"/>
      <w:r w:rsidRPr="00431018">
        <w:rPr>
          <w:rFonts w:ascii="Palatino Linotype" w:hAnsi="Palatino Linotype"/>
          <w:sz w:val="20"/>
        </w:rPr>
        <w:t xml:space="preserve">, B., </w:t>
      </w:r>
      <w:proofErr w:type="spellStart"/>
      <w:r w:rsidRPr="00431018">
        <w:rPr>
          <w:rFonts w:ascii="Palatino Linotype" w:hAnsi="Palatino Linotype"/>
          <w:sz w:val="20"/>
        </w:rPr>
        <w:t>Syazali</w:t>
      </w:r>
      <w:proofErr w:type="spellEnd"/>
      <w:r w:rsidRPr="00431018">
        <w:rPr>
          <w:rFonts w:ascii="Palatino Linotype" w:hAnsi="Palatino Linotype"/>
          <w:sz w:val="20"/>
        </w:rPr>
        <w:t xml:space="preserve">, M., </w:t>
      </w:r>
      <w:proofErr w:type="spellStart"/>
      <w:r w:rsidRPr="00431018">
        <w:rPr>
          <w:rFonts w:ascii="Palatino Linotype" w:hAnsi="Palatino Linotype"/>
          <w:sz w:val="20"/>
        </w:rPr>
        <w:t>Saregar</w:t>
      </w:r>
      <w:proofErr w:type="spellEnd"/>
      <w:r w:rsidRPr="00431018">
        <w:rPr>
          <w:rFonts w:ascii="Palatino Linotype" w:hAnsi="Palatino Linotype"/>
          <w:sz w:val="20"/>
        </w:rPr>
        <w:t xml:space="preserve">, A., </w:t>
      </w:r>
      <w:proofErr w:type="spellStart"/>
      <w:r w:rsidRPr="00431018">
        <w:rPr>
          <w:rFonts w:ascii="Palatino Linotype" w:hAnsi="Palatino Linotype"/>
          <w:sz w:val="20"/>
        </w:rPr>
        <w:t>Madiyo</w:t>
      </w:r>
      <w:proofErr w:type="spellEnd"/>
      <w:r w:rsidRPr="00431018">
        <w:rPr>
          <w:rFonts w:ascii="Palatino Linotype" w:hAnsi="Palatino Linotype"/>
          <w:sz w:val="20"/>
        </w:rPr>
        <w:t xml:space="preserve">, M., </w:t>
      </w:r>
      <w:proofErr w:type="spellStart"/>
      <w:r w:rsidRPr="00431018">
        <w:rPr>
          <w:rFonts w:ascii="Palatino Linotype" w:hAnsi="Palatino Linotype"/>
          <w:sz w:val="20"/>
        </w:rPr>
        <w:t>Jauhariyah</w:t>
      </w:r>
      <w:proofErr w:type="spellEnd"/>
      <w:r w:rsidRPr="00431018">
        <w:rPr>
          <w:rFonts w:ascii="Palatino Linotype" w:hAnsi="Palatino Linotype"/>
          <w:sz w:val="20"/>
        </w:rPr>
        <w:t xml:space="preserve">, D., &amp; </w:t>
      </w:r>
      <w:proofErr w:type="spellStart"/>
      <w:r w:rsidRPr="00431018">
        <w:rPr>
          <w:rFonts w:ascii="Palatino Linotype" w:hAnsi="Palatino Linotype"/>
          <w:sz w:val="20"/>
        </w:rPr>
        <w:t>Umam</w:t>
      </w:r>
      <w:proofErr w:type="spellEnd"/>
      <w:r w:rsidRPr="00431018">
        <w:rPr>
          <w:rFonts w:ascii="Palatino Linotype" w:hAnsi="Palatino Linotype"/>
          <w:sz w:val="20"/>
        </w:rPr>
        <w:t xml:space="preserve">, R. (2019). Cooperative Learning Application with the Method of “Network Tree Concept Map”: Based on Japanese Learning System Approach. </w:t>
      </w:r>
      <w:r w:rsidRPr="00431018">
        <w:rPr>
          <w:rFonts w:ascii="Palatino Linotype" w:hAnsi="Palatino Linotype"/>
          <w:i/>
          <w:iCs/>
          <w:sz w:val="20"/>
        </w:rPr>
        <w:t>Journal for the Education of Gifted Young Scientists</w:t>
      </w:r>
      <w:r w:rsidRPr="00431018">
        <w:rPr>
          <w:rFonts w:ascii="Palatino Linotype" w:hAnsi="Palatino Linotype"/>
          <w:sz w:val="20"/>
        </w:rPr>
        <w:t xml:space="preserve">, </w:t>
      </w:r>
      <w:r w:rsidRPr="00431018">
        <w:rPr>
          <w:rFonts w:ascii="Palatino Linotype" w:hAnsi="Palatino Linotype"/>
          <w:i/>
          <w:iCs/>
          <w:sz w:val="20"/>
        </w:rPr>
        <w:t>7</w:t>
      </w:r>
      <w:r w:rsidRPr="00431018">
        <w:rPr>
          <w:rFonts w:ascii="Palatino Linotype" w:hAnsi="Palatino Linotype"/>
          <w:sz w:val="20"/>
        </w:rPr>
        <w:t>(1), 15–32. https://doi.org/10.17478/jegys.471466</w:t>
      </w:r>
    </w:p>
    <w:p w14:paraId="7981226F"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Li, J., &amp; Li, J. (2019). Educational Policy Development in China in the 21st Century: A Multi-Flows Approach. </w:t>
      </w:r>
      <w:r w:rsidRPr="00431018">
        <w:rPr>
          <w:rFonts w:ascii="Palatino Linotype" w:hAnsi="Palatino Linotype"/>
          <w:i/>
          <w:iCs/>
          <w:sz w:val="20"/>
        </w:rPr>
        <w:t>Beijing International Review of Education</w:t>
      </w:r>
      <w:r w:rsidRPr="00431018">
        <w:rPr>
          <w:rFonts w:ascii="Palatino Linotype" w:hAnsi="Palatino Linotype"/>
          <w:sz w:val="20"/>
        </w:rPr>
        <w:t xml:space="preserve">, </w:t>
      </w:r>
      <w:r w:rsidRPr="00431018">
        <w:rPr>
          <w:rFonts w:ascii="Palatino Linotype" w:hAnsi="Palatino Linotype"/>
          <w:i/>
          <w:iCs/>
          <w:sz w:val="20"/>
        </w:rPr>
        <w:t>1</w:t>
      </w:r>
      <w:r w:rsidRPr="00431018">
        <w:rPr>
          <w:rFonts w:ascii="Palatino Linotype" w:hAnsi="Palatino Linotype"/>
          <w:sz w:val="20"/>
        </w:rPr>
        <w:t>(1), 196–220. https://doi.org/10.1163/25902547-00101014</w:t>
      </w:r>
    </w:p>
    <w:p w14:paraId="6A130511"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Limniou</w:t>
      </w:r>
      <w:proofErr w:type="spellEnd"/>
      <w:r w:rsidRPr="00431018">
        <w:rPr>
          <w:rFonts w:ascii="Palatino Linotype" w:hAnsi="Palatino Linotype"/>
          <w:sz w:val="20"/>
        </w:rPr>
        <w:t xml:space="preserve">, M., </w:t>
      </w:r>
      <w:proofErr w:type="spellStart"/>
      <w:r w:rsidRPr="00431018">
        <w:rPr>
          <w:rFonts w:ascii="Palatino Linotype" w:hAnsi="Palatino Linotype"/>
          <w:sz w:val="20"/>
        </w:rPr>
        <w:t>Schermbrucker</w:t>
      </w:r>
      <w:proofErr w:type="spellEnd"/>
      <w:r w:rsidRPr="00431018">
        <w:rPr>
          <w:rFonts w:ascii="Palatino Linotype" w:hAnsi="Palatino Linotype"/>
          <w:sz w:val="20"/>
        </w:rPr>
        <w:t xml:space="preserve">, I., &amp; Lyons, M. (2018). Traditional and flipped classroom approaches delivered by two different teachers: The student perspective. </w:t>
      </w:r>
      <w:r w:rsidRPr="00431018">
        <w:rPr>
          <w:rFonts w:ascii="Palatino Linotype" w:hAnsi="Palatino Linotype"/>
          <w:i/>
          <w:iCs/>
          <w:sz w:val="20"/>
        </w:rPr>
        <w:t>Education and Information Technologies</w:t>
      </w:r>
      <w:r w:rsidRPr="00431018">
        <w:rPr>
          <w:rFonts w:ascii="Palatino Linotype" w:hAnsi="Palatino Linotype"/>
          <w:sz w:val="20"/>
        </w:rPr>
        <w:t xml:space="preserve">, </w:t>
      </w:r>
      <w:r w:rsidRPr="00431018">
        <w:rPr>
          <w:rFonts w:ascii="Palatino Linotype" w:hAnsi="Palatino Linotype"/>
          <w:i/>
          <w:iCs/>
          <w:sz w:val="20"/>
        </w:rPr>
        <w:t>23</w:t>
      </w:r>
      <w:r w:rsidRPr="00431018">
        <w:rPr>
          <w:rFonts w:ascii="Palatino Linotype" w:hAnsi="Palatino Linotype"/>
          <w:sz w:val="20"/>
        </w:rPr>
        <w:t>(2), 797–817. https://doi.org/10.1007/s10639-017-9636-8</w:t>
      </w:r>
    </w:p>
    <w:p w14:paraId="76B64A0B"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Lu, K., Yang, H. H., Shi, Y., &amp; Wang, X. (2021). Examining the key influencing factors on college students’ higher-order thinking skills in the smart classroom environment. </w:t>
      </w:r>
      <w:r w:rsidRPr="00431018">
        <w:rPr>
          <w:rFonts w:ascii="Palatino Linotype" w:hAnsi="Palatino Linotype"/>
          <w:i/>
          <w:iCs/>
          <w:sz w:val="20"/>
        </w:rPr>
        <w:t>International Journal of Educational Technology in Higher Education</w:t>
      </w:r>
      <w:r w:rsidRPr="00431018">
        <w:rPr>
          <w:rFonts w:ascii="Palatino Linotype" w:hAnsi="Palatino Linotype"/>
          <w:sz w:val="20"/>
        </w:rPr>
        <w:t xml:space="preserve">, </w:t>
      </w:r>
      <w:r w:rsidRPr="00431018">
        <w:rPr>
          <w:rFonts w:ascii="Palatino Linotype" w:hAnsi="Palatino Linotype"/>
          <w:i/>
          <w:iCs/>
          <w:sz w:val="20"/>
        </w:rPr>
        <w:t>18</w:t>
      </w:r>
      <w:r w:rsidRPr="00431018">
        <w:rPr>
          <w:rFonts w:ascii="Palatino Linotype" w:hAnsi="Palatino Linotype"/>
          <w:sz w:val="20"/>
        </w:rPr>
        <w:t>(1), 1. https://doi.org/10.1186/s41239-020-00238-7</w:t>
      </w:r>
    </w:p>
    <w:p w14:paraId="4A438547"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Rahmayanti</w:t>
      </w:r>
      <w:proofErr w:type="spellEnd"/>
      <w:r w:rsidRPr="00431018">
        <w:rPr>
          <w:rFonts w:ascii="Palatino Linotype" w:hAnsi="Palatino Linotype"/>
          <w:sz w:val="20"/>
        </w:rPr>
        <w:t xml:space="preserve">, N., </w:t>
      </w:r>
      <w:proofErr w:type="spellStart"/>
      <w:r w:rsidRPr="00431018">
        <w:rPr>
          <w:rFonts w:ascii="Palatino Linotype" w:hAnsi="Palatino Linotype"/>
          <w:sz w:val="20"/>
        </w:rPr>
        <w:t>Vinarti</w:t>
      </w:r>
      <w:proofErr w:type="spellEnd"/>
      <w:r w:rsidRPr="00431018">
        <w:rPr>
          <w:rFonts w:ascii="Palatino Linotype" w:hAnsi="Palatino Linotype"/>
          <w:sz w:val="20"/>
        </w:rPr>
        <w:t xml:space="preserve">, R., </w:t>
      </w:r>
      <w:proofErr w:type="spellStart"/>
      <w:r w:rsidRPr="00431018">
        <w:rPr>
          <w:rFonts w:ascii="Palatino Linotype" w:hAnsi="Palatino Linotype"/>
          <w:sz w:val="20"/>
        </w:rPr>
        <w:t>Djunaidy</w:t>
      </w:r>
      <w:proofErr w:type="spellEnd"/>
      <w:r w:rsidRPr="00431018">
        <w:rPr>
          <w:rFonts w:ascii="Palatino Linotype" w:hAnsi="Palatino Linotype"/>
          <w:sz w:val="20"/>
        </w:rPr>
        <w:t xml:space="preserve">, A., </w:t>
      </w:r>
      <w:proofErr w:type="spellStart"/>
      <w:r w:rsidRPr="00431018">
        <w:rPr>
          <w:rFonts w:ascii="Palatino Linotype" w:hAnsi="Palatino Linotype"/>
          <w:sz w:val="20"/>
        </w:rPr>
        <w:t>Tjin</w:t>
      </w:r>
      <w:proofErr w:type="spellEnd"/>
      <w:r w:rsidRPr="00431018">
        <w:rPr>
          <w:rFonts w:ascii="Palatino Linotype" w:hAnsi="Palatino Linotype"/>
          <w:sz w:val="20"/>
        </w:rPr>
        <w:t xml:space="preserve">, A., &amp; Liu, J. (2023). Caregiver Segmentation Using </w:t>
      </w:r>
      <w:proofErr w:type="gramStart"/>
      <w:r w:rsidRPr="00431018">
        <w:rPr>
          <w:rFonts w:ascii="Palatino Linotype" w:hAnsi="Palatino Linotype"/>
          <w:sz w:val="20"/>
        </w:rPr>
        <w:t>The</w:t>
      </w:r>
      <w:proofErr w:type="gramEnd"/>
      <w:r w:rsidRPr="00431018">
        <w:rPr>
          <w:rFonts w:ascii="Palatino Linotype" w:hAnsi="Palatino Linotype"/>
          <w:sz w:val="20"/>
        </w:rPr>
        <w:t xml:space="preserve"> Integration of The Modified Burden Dimensions and Fuzzy C-Means. </w:t>
      </w:r>
      <w:r w:rsidRPr="00431018">
        <w:rPr>
          <w:rFonts w:ascii="Palatino Linotype" w:hAnsi="Palatino Linotype"/>
          <w:i/>
          <w:iCs/>
          <w:sz w:val="20"/>
        </w:rPr>
        <w:t>Procedia Computer Science</w:t>
      </w:r>
      <w:r w:rsidRPr="00431018">
        <w:rPr>
          <w:rFonts w:ascii="Palatino Linotype" w:hAnsi="Palatino Linotype"/>
          <w:sz w:val="20"/>
        </w:rPr>
        <w:t xml:space="preserve">, </w:t>
      </w:r>
      <w:r w:rsidRPr="00431018">
        <w:rPr>
          <w:rFonts w:ascii="Palatino Linotype" w:hAnsi="Palatino Linotype"/>
          <w:i/>
          <w:iCs/>
          <w:sz w:val="20"/>
        </w:rPr>
        <w:t>219</w:t>
      </w:r>
      <w:r w:rsidRPr="00431018">
        <w:rPr>
          <w:rFonts w:ascii="Palatino Linotype" w:hAnsi="Palatino Linotype"/>
          <w:sz w:val="20"/>
        </w:rPr>
        <w:t>, 1200–1207. https://doi.org/10.1016/j.procs.2023.01.402</w:t>
      </w:r>
    </w:p>
    <w:p w14:paraId="1B5CC33F"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Ritonga</w:t>
      </w:r>
      <w:proofErr w:type="spellEnd"/>
      <w:r w:rsidRPr="00431018">
        <w:rPr>
          <w:rFonts w:ascii="Palatino Linotype" w:hAnsi="Palatino Linotype"/>
          <w:sz w:val="20"/>
        </w:rPr>
        <w:t xml:space="preserve">, D. C. M., Faisal, F., &amp; Husna, R. (2022). </w:t>
      </w:r>
      <w:proofErr w:type="spellStart"/>
      <w:r w:rsidRPr="00431018">
        <w:rPr>
          <w:rFonts w:ascii="Palatino Linotype" w:hAnsi="Palatino Linotype"/>
          <w:sz w:val="20"/>
        </w:rPr>
        <w:t>Efektivitas</w:t>
      </w:r>
      <w:proofErr w:type="spellEnd"/>
      <w:r w:rsidRPr="00431018">
        <w:rPr>
          <w:rFonts w:ascii="Palatino Linotype" w:hAnsi="Palatino Linotype"/>
          <w:sz w:val="20"/>
        </w:rPr>
        <w:t xml:space="preserve"> Model </w:t>
      </w:r>
      <w:proofErr w:type="spellStart"/>
      <w:r w:rsidRPr="00431018">
        <w:rPr>
          <w:rFonts w:ascii="Palatino Linotype" w:hAnsi="Palatino Linotype"/>
          <w:sz w:val="20"/>
        </w:rPr>
        <w:t>Pembelajaran</w:t>
      </w:r>
      <w:proofErr w:type="spellEnd"/>
      <w:r w:rsidRPr="00431018">
        <w:rPr>
          <w:rFonts w:ascii="Palatino Linotype" w:hAnsi="Palatino Linotype"/>
          <w:sz w:val="20"/>
        </w:rPr>
        <w:t xml:space="preserve"> Jigsaw dan Numbered Head Together (NHT) </w:t>
      </w:r>
      <w:proofErr w:type="spellStart"/>
      <w:r w:rsidRPr="00431018">
        <w:rPr>
          <w:rFonts w:ascii="Palatino Linotype" w:hAnsi="Palatino Linotype"/>
          <w:sz w:val="20"/>
        </w:rPr>
        <w:t>dalam</w:t>
      </w:r>
      <w:proofErr w:type="spellEnd"/>
      <w:r w:rsidRPr="00431018">
        <w:rPr>
          <w:rFonts w:ascii="Palatino Linotype" w:hAnsi="Palatino Linotype"/>
          <w:sz w:val="20"/>
        </w:rPr>
        <w:t xml:space="preserve"> </w:t>
      </w:r>
      <w:proofErr w:type="spellStart"/>
      <w:r w:rsidRPr="00431018">
        <w:rPr>
          <w:rFonts w:ascii="Palatino Linotype" w:hAnsi="Palatino Linotype"/>
          <w:sz w:val="20"/>
        </w:rPr>
        <w:t>Pemecahan</w:t>
      </w:r>
      <w:proofErr w:type="spellEnd"/>
      <w:r w:rsidRPr="00431018">
        <w:rPr>
          <w:rFonts w:ascii="Palatino Linotype" w:hAnsi="Palatino Linotype"/>
          <w:sz w:val="20"/>
        </w:rPr>
        <w:t xml:space="preserve"> Soal-Soal HOTS Materi </w:t>
      </w:r>
      <w:proofErr w:type="spellStart"/>
      <w:r w:rsidRPr="00431018">
        <w:rPr>
          <w:rFonts w:ascii="Palatino Linotype" w:hAnsi="Palatino Linotype"/>
          <w:sz w:val="20"/>
        </w:rPr>
        <w:t>Pokok</w:t>
      </w:r>
      <w:proofErr w:type="spellEnd"/>
      <w:r w:rsidRPr="00431018">
        <w:rPr>
          <w:rFonts w:ascii="Palatino Linotype" w:hAnsi="Palatino Linotype"/>
          <w:sz w:val="20"/>
        </w:rPr>
        <w:t xml:space="preserve"> </w:t>
      </w:r>
      <w:proofErr w:type="spellStart"/>
      <w:r w:rsidRPr="00431018">
        <w:rPr>
          <w:rFonts w:ascii="Palatino Linotype" w:hAnsi="Palatino Linotype"/>
          <w:sz w:val="20"/>
        </w:rPr>
        <w:t>Fungsi</w:t>
      </w:r>
      <w:proofErr w:type="spellEnd"/>
      <w:r w:rsidRPr="00431018">
        <w:rPr>
          <w:rFonts w:ascii="Palatino Linotype" w:hAnsi="Palatino Linotype"/>
          <w:sz w:val="20"/>
        </w:rPr>
        <w:t xml:space="preserve"> </w:t>
      </w:r>
      <w:proofErr w:type="spellStart"/>
      <w:r w:rsidRPr="00431018">
        <w:rPr>
          <w:rFonts w:ascii="Palatino Linotype" w:hAnsi="Palatino Linotype"/>
          <w:sz w:val="20"/>
        </w:rPr>
        <w:t>Komposisi</w:t>
      </w:r>
      <w:proofErr w:type="spellEnd"/>
      <w:r w:rsidRPr="00431018">
        <w:rPr>
          <w:rFonts w:ascii="Palatino Linotype" w:hAnsi="Palatino Linotype"/>
          <w:sz w:val="20"/>
        </w:rPr>
        <w:t xml:space="preserve">. </w:t>
      </w:r>
      <w:proofErr w:type="spellStart"/>
      <w:r w:rsidRPr="00431018">
        <w:rPr>
          <w:rFonts w:ascii="Palatino Linotype" w:hAnsi="Palatino Linotype"/>
          <w:i/>
          <w:iCs/>
          <w:sz w:val="20"/>
        </w:rPr>
        <w:t>Jurnal</w:t>
      </w:r>
      <w:proofErr w:type="spellEnd"/>
      <w:r w:rsidRPr="00431018">
        <w:rPr>
          <w:rFonts w:ascii="Palatino Linotype" w:hAnsi="Palatino Linotype"/>
          <w:i/>
          <w:iCs/>
          <w:sz w:val="20"/>
        </w:rPr>
        <w:t xml:space="preserve"> </w:t>
      </w:r>
      <w:proofErr w:type="spellStart"/>
      <w:r w:rsidRPr="00431018">
        <w:rPr>
          <w:rFonts w:ascii="Palatino Linotype" w:hAnsi="Palatino Linotype"/>
          <w:i/>
          <w:iCs/>
          <w:sz w:val="20"/>
        </w:rPr>
        <w:t>Ilmiah</w:t>
      </w:r>
      <w:proofErr w:type="spellEnd"/>
      <w:r w:rsidRPr="00431018">
        <w:rPr>
          <w:rFonts w:ascii="Palatino Linotype" w:hAnsi="Palatino Linotype"/>
          <w:i/>
          <w:iCs/>
          <w:sz w:val="20"/>
        </w:rPr>
        <w:t xml:space="preserve"> Pendidikan </w:t>
      </w:r>
      <w:proofErr w:type="spellStart"/>
      <w:r w:rsidRPr="00431018">
        <w:rPr>
          <w:rFonts w:ascii="Palatino Linotype" w:hAnsi="Palatino Linotype"/>
          <w:i/>
          <w:iCs/>
          <w:sz w:val="20"/>
        </w:rPr>
        <w:t>Matematika</w:t>
      </w:r>
      <w:proofErr w:type="spellEnd"/>
      <w:r w:rsidRPr="00431018">
        <w:rPr>
          <w:rFonts w:ascii="Palatino Linotype" w:hAnsi="Palatino Linotype"/>
          <w:i/>
          <w:iCs/>
          <w:sz w:val="20"/>
        </w:rPr>
        <w:t xml:space="preserve"> Al </w:t>
      </w:r>
      <w:proofErr w:type="spellStart"/>
      <w:r w:rsidRPr="00431018">
        <w:rPr>
          <w:rFonts w:ascii="Palatino Linotype" w:hAnsi="Palatino Linotype"/>
          <w:i/>
          <w:iCs/>
          <w:sz w:val="20"/>
        </w:rPr>
        <w:t>Qalasadi</w:t>
      </w:r>
      <w:proofErr w:type="spellEnd"/>
      <w:r w:rsidRPr="00431018">
        <w:rPr>
          <w:rFonts w:ascii="Palatino Linotype" w:hAnsi="Palatino Linotype"/>
          <w:sz w:val="20"/>
        </w:rPr>
        <w:t xml:space="preserve">, </w:t>
      </w:r>
      <w:r w:rsidRPr="00431018">
        <w:rPr>
          <w:rFonts w:ascii="Palatino Linotype" w:hAnsi="Palatino Linotype"/>
          <w:i/>
          <w:iCs/>
          <w:sz w:val="20"/>
        </w:rPr>
        <w:t>6</w:t>
      </w:r>
      <w:r w:rsidRPr="00431018">
        <w:rPr>
          <w:rFonts w:ascii="Palatino Linotype" w:hAnsi="Palatino Linotype"/>
          <w:sz w:val="20"/>
        </w:rPr>
        <w:t>(2), 185–194. https://doi.org/10.32505/qalasadi.v6i2.4982</w:t>
      </w:r>
    </w:p>
    <w:p w14:paraId="50BB022E"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Santos-Garcia, D., </w:t>
      </w:r>
      <w:proofErr w:type="spellStart"/>
      <w:r w:rsidRPr="00431018">
        <w:rPr>
          <w:rFonts w:ascii="Palatino Linotype" w:hAnsi="Palatino Linotype"/>
          <w:sz w:val="20"/>
        </w:rPr>
        <w:t>Juravel</w:t>
      </w:r>
      <w:proofErr w:type="spellEnd"/>
      <w:r w:rsidRPr="00431018">
        <w:rPr>
          <w:rFonts w:ascii="Palatino Linotype" w:hAnsi="Palatino Linotype"/>
          <w:sz w:val="20"/>
        </w:rPr>
        <w:t xml:space="preserve">, K., Freilich, S., </w:t>
      </w:r>
      <w:proofErr w:type="spellStart"/>
      <w:r w:rsidRPr="00431018">
        <w:rPr>
          <w:rFonts w:ascii="Palatino Linotype" w:hAnsi="Palatino Linotype"/>
          <w:sz w:val="20"/>
        </w:rPr>
        <w:t>Zchori</w:t>
      </w:r>
      <w:proofErr w:type="spellEnd"/>
      <w:r w:rsidRPr="00431018">
        <w:rPr>
          <w:rFonts w:ascii="Palatino Linotype" w:hAnsi="Palatino Linotype"/>
          <w:sz w:val="20"/>
        </w:rPr>
        <w:t xml:space="preserve">-Fein, E., Latorre, A., Moya, A., Morin, S., &amp; Silva, F. J. (2018). To B or Not to B: Comparative Genomics Suggests </w:t>
      </w:r>
      <w:proofErr w:type="spellStart"/>
      <w:r w:rsidRPr="00431018">
        <w:rPr>
          <w:rFonts w:ascii="Palatino Linotype" w:hAnsi="Palatino Linotype"/>
          <w:sz w:val="20"/>
        </w:rPr>
        <w:t>Arsenophonus</w:t>
      </w:r>
      <w:proofErr w:type="spellEnd"/>
      <w:r w:rsidRPr="00431018">
        <w:rPr>
          <w:rFonts w:ascii="Palatino Linotype" w:hAnsi="Palatino Linotype"/>
          <w:sz w:val="20"/>
        </w:rPr>
        <w:t xml:space="preserve"> as a Source of B Vitamins in Whiteflies. </w:t>
      </w:r>
      <w:r w:rsidRPr="00431018">
        <w:rPr>
          <w:rFonts w:ascii="Palatino Linotype" w:hAnsi="Palatino Linotype"/>
          <w:i/>
          <w:iCs/>
          <w:sz w:val="20"/>
        </w:rPr>
        <w:t>Frontiers in Microbiology</w:t>
      </w:r>
      <w:r w:rsidRPr="00431018">
        <w:rPr>
          <w:rFonts w:ascii="Palatino Linotype" w:hAnsi="Palatino Linotype"/>
          <w:sz w:val="20"/>
        </w:rPr>
        <w:t xml:space="preserve">, </w:t>
      </w:r>
      <w:r w:rsidRPr="00431018">
        <w:rPr>
          <w:rFonts w:ascii="Palatino Linotype" w:hAnsi="Palatino Linotype"/>
          <w:i/>
          <w:iCs/>
          <w:sz w:val="20"/>
        </w:rPr>
        <w:t>9</w:t>
      </w:r>
      <w:r w:rsidRPr="00431018">
        <w:rPr>
          <w:rFonts w:ascii="Palatino Linotype" w:hAnsi="Palatino Linotype"/>
          <w:sz w:val="20"/>
        </w:rPr>
        <w:t>, 2254. https://doi.org/10.3389/fmicb.2018.02254</w:t>
      </w:r>
    </w:p>
    <w:p w14:paraId="314F84B1"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Shammout</w:t>
      </w:r>
      <w:proofErr w:type="spellEnd"/>
      <w:r w:rsidRPr="00431018">
        <w:rPr>
          <w:rFonts w:ascii="Palatino Linotype" w:hAnsi="Palatino Linotype"/>
          <w:sz w:val="20"/>
        </w:rPr>
        <w:t xml:space="preserve">, M. (2020). The Effect of Cooperative Learning Activities on Enhancing the Writing Skills of Syrian EFL Learners at Arab International University. </w:t>
      </w:r>
      <w:r w:rsidRPr="00431018">
        <w:rPr>
          <w:rFonts w:ascii="Palatino Linotype" w:hAnsi="Palatino Linotype"/>
          <w:i/>
          <w:iCs/>
          <w:sz w:val="20"/>
        </w:rPr>
        <w:t>Theory and Practice in Language Studies</w:t>
      </w:r>
      <w:r w:rsidRPr="00431018">
        <w:rPr>
          <w:rFonts w:ascii="Palatino Linotype" w:hAnsi="Palatino Linotype"/>
          <w:sz w:val="20"/>
        </w:rPr>
        <w:t xml:space="preserve">, </w:t>
      </w:r>
      <w:r w:rsidRPr="00431018">
        <w:rPr>
          <w:rFonts w:ascii="Palatino Linotype" w:hAnsi="Palatino Linotype"/>
          <w:i/>
          <w:iCs/>
          <w:sz w:val="20"/>
        </w:rPr>
        <w:t>10</w:t>
      </w:r>
      <w:r w:rsidRPr="00431018">
        <w:rPr>
          <w:rFonts w:ascii="Palatino Linotype" w:hAnsi="Palatino Linotype"/>
          <w:sz w:val="20"/>
        </w:rPr>
        <w:t>(7), 791. https://doi.org/10.17507/tpls.1007.10</w:t>
      </w:r>
    </w:p>
    <w:p w14:paraId="52A235F1"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Sinaga, M., </w:t>
      </w:r>
      <w:proofErr w:type="spellStart"/>
      <w:r w:rsidRPr="00431018">
        <w:rPr>
          <w:rFonts w:ascii="Palatino Linotype" w:hAnsi="Palatino Linotype"/>
          <w:sz w:val="20"/>
        </w:rPr>
        <w:t>Mursid</w:t>
      </w:r>
      <w:proofErr w:type="spellEnd"/>
      <w:r w:rsidRPr="00431018">
        <w:rPr>
          <w:rFonts w:ascii="Palatino Linotype" w:hAnsi="Palatino Linotype"/>
          <w:sz w:val="20"/>
        </w:rPr>
        <w:t xml:space="preserve">, R., </w:t>
      </w:r>
      <w:proofErr w:type="gramStart"/>
      <w:r w:rsidRPr="00431018">
        <w:rPr>
          <w:rFonts w:ascii="Palatino Linotype" w:hAnsi="Palatino Linotype"/>
          <w:sz w:val="20"/>
        </w:rPr>
        <w:t>&amp; .</w:t>
      </w:r>
      <w:proofErr w:type="gramEnd"/>
      <w:r w:rsidRPr="00431018">
        <w:rPr>
          <w:rFonts w:ascii="Palatino Linotype" w:hAnsi="Palatino Linotype"/>
          <w:sz w:val="20"/>
        </w:rPr>
        <w:t xml:space="preserve"> S. (2023). Development of Student Worksheets Based on Problem-Based Learning Integrated HOTS Social Science Subjects. </w:t>
      </w:r>
      <w:r w:rsidRPr="00431018">
        <w:rPr>
          <w:rFonts w:ascii="Palatino Linotype" w:hAnsi="Palatino Linotype"/>
          <w:i/>
          <w:iCs/>
          <w:sz w:val="20"/>
        </w:rPr>
        <w:t>International Journal of Computer Applications Technology and Research</w:t>
      </w:r>
      <w:r w:rsidRPr="00431018">
        <w:rPr>
          <w:rFonts w:ascii="Palatino Linotype" w:hAnsi="Palatino Linotype"/>
          <w:sz w:val="20"/>
        </w:rPr>
        <w:t>, 13–18. https://doi.org/10.7753/IJCATR1201.1003</w:t>
      </w:r>
    </w:p>
    <w:p w14:paraId="33FC4EDF"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Ubaidillah</w:t>
      </w:r>
      <w:proofErr w:type="spellEnd"/>
      <w:r w:rsidRPr="00431018">
        <w:rPr>
          <w:rFonts w:ascii="Palatino Linotype" w:hAnsi="Palatino Linotype"/>
          <w:sz w:val="20"/>
        </w:rPr>
        <w:t xml:space="preserve">, M., </w:t>
      </w:r>
      <w:proofErr w:type="spellStart"/>
      <w:r w:rsidRPr="00431018">
        <w:rPr>
          <w:rFonts w:ascii="Palatino Linotype" w:hAnsi="Palatino Linotype"/>
          <w:sz w:val="20"/>
        </w:rPr>
        <w:t>Marwoto</w:t>
      </w:r>
      <w:proofErr w:type="spellEnd"/>
      <w:r w:rsidRPr="00431018">
        <w:rPr>
          <w:rFonts w:ascii="Palatino Linotype" w:hAnsi="Palatino Linotype"/>
          <w:sz w:val="20"/>
        </w:rPr>
        <w:t xml:space="preserve">, P., </w:t>
      </w:r>
      <w:proofErr w:type="spellStart"/>
      <w:r w:rsidRPr="00431018">
        <w:rPr>
          <w:rFonts w:ascii="Palatino Linotype" w:hAnsi="Palatino Linotype"/>
          <w:sz w:val="20"/>
        </w:rPr>
        <w:t>Wiyanto</w:t>
      </w:r>
      <w:proofErr w:type="spellEnd"/>
      <w:r w:rsidRPr="00431018">
        <w:rPr>
          <w:rFonts w:ascii="Palatino Linotype" w:hAnsi="Palatino Linotype"/>
          <w:sz w:val="20"/>
        </w:rPr>
        <w:t xml:space="preserve">, W., &amp; Subali, B. (2023). Problem Solving and Decision-Making Skills for ESD: A Bibliometric Analysis. </w:t>
      </w:r>
      <w:r w:rsidRPr="00431018">
        <w:rPr>
          <w:rFonts w:ascii="Palatino Linotype" w:hAnsi="Palatino Linotype"/>
          <w:i/>
          <w:iCs/>
          <w:sz w:val="20"/>
        </w:rPr>
        <w:t>International Journal of Cognitive Research in Science, Engineering and Education (IJCRSEE)</w:t>
      </w:r>
      <w:r w:rsidRPr="00431018">
        <w:rPr>
          <w:rFonts w:ascii="Palatino Linotype" w:hAnsi="Palatino Linotype"/>
          <w:sz w:val="20"/>
        </w:rPr>
        <w:t xml:space="preserve">, </w:t>
      </w:r>
      <w:r w:rsidRPr="00431018">
        <w:rPr>
          <w:rFonts w:ascii="Palatino Linotype" w:hAnsi="Palatino Linotype"/>
          <w:i/>
          <w:iCs/>
          <w:sz w:val="20"/>
        </w:rPr>
        <w:t>11</w:t>
      </w:r>
      <w:r w:rsidRPr="00431018">
        <w:rPr>
          <w:rFonts w:ascii="Palatino Linotype" w:hAnsi="Palatino Linotype"/>
          <w:sz w:val="20"/>
        </w:rPr>
        <w:t>(3), 401–415. https://doi.org/10.23947/2334-8496-2023-11-3-401-415</w:t>
      </w:r>
    </w:p>
    <w:p w14:paraId="716A7F33"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Wahono, B., Lin, P.-L., &amp; Chang, C.-Y. (2020). Evidence of STEM enactment effectiveness in Asian student learning outcomes. </w:t>
      </w:r>
      <w:r w:rsidRPr="00431018">
        <w:rPr>
          <w:rFonts w:ascii="Palatino Linotype" w:hAnsi="Palatino Linotype"/>
          <w:i/>
          <w:iCs/>
          <w:sz w:val="20"/>
        </w:rPr>
        <w:t>International Journal of STEM Education</w:t>
      </w:r>
      <w:r w:rsidRPr="00431018">
        <w:rPr>
          <w:rFonts w:ascii="Palatino Linotype" w:hAnsi="Palatino Linotype"/>
          <w:sz w:val="20"/>
        </w:rPr>
        <w:t xml:space="preserve">, </w:t>
      </w:r>
      <w:r w:rsidRPr="00431018">
        <w:rPr>
          <w:rFonts w:ascii="Palatino Linotype" w:hAnsi="Palatino Linotype"/>
          <w:i/>
          <w:iCs/>
          <w:sz w:val="20"/>
        </w:rPr>
        <w:t>7</w:t>
      </w:r>
      <w:r w:rsidRPr="00431018">
        <w:rPr>
          <w:rFonts w:ascii="Palatino Linotype" w:hAnsi="Palatino Linotype"/>
          <w:sz w:val="20"/>
        </w:rPr>
        <w:t>(1), 36. https://doi.org/10.1186/s40594-020-00236-1</w:t>
      </w:r>
    </w:p>
    <w:p w14:paraId="1D9EBE97"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t>Wartono</w:t>
      </w:r>
      <w:proofErr w:type="spellEnd"/>
      <w:r w:rsidRPr="00431018">
        <w:rPr>
          <w:rFonts w:ascii="Palatino Linotype" w:hAnsi="Palatino Linotype"/>
          <w:sz w:val="20"/>
        </w:rPr>
        <w:t xml:space="preserve">, W., Hudha, M. N., &amp; </w:t>
      </w:r>
      <w:proofErr w:type="spellStart"/>
      <w:r w:rsidRPr="00431018">
        <w:rPr>
          <w:rFonts w:ascii="Palatino Linotype" w:hAnsi="Palatino Linotype"/>
          <w:sz w:val="20"/>
        </w:rPr>
        <w:t>Batlolona</w:t>
      </w:r>
      <w:proofErr w:type="spellEnd"/>
      <w:r w:rsidRPr="00431018">
        <w:rPr>
          <w:rFonts w:ascii="Palatino Linotype" w:hAnsi="Palatino Linotype"/>
          <w:sz w:val="20"/>
        </w:rPr>
        <w:t xml:space="preserve">, J. R. (2017). How Are </w:t>
      </w:r>
      <w:proofErr w:type="gramStart"/>
      <w:r w:rsidRPr="00431018">
        <w:rPr>
          <w:rFonts w:ascii="Palatino Linotype" w:hAnsi="Palatino Linotype"/>
          <w:sz w:val="20"/>
        </w:rPr>
        <w:t>The</w:t>
      </w:r>
      <w:proofErr w:type="gramEnd"/>
      <w:r w:rsidRPr="00431018">
        <w:rPr>
          <w:rFonts w:ascii="Palatino Linotype" w:hAnsi="Palatino Linotype"/>
          <w:sz w:val="20"/>
        </w:rPr>
        <w:t xml:space="preserve"> Physics Critical Thinking Skills of The Students Taught by Using Inquiry-Discovery Through Empirical and </w:t>
      </w:r>
      <w:proofErr w:type="spellStart"/>
      <w:r w:rsidRPr="00431018">
        <w:rPr>
          <w:rFonts w:ascii="Palatino Linotype" w:hAnsi="Palatino Linotype"/>
          <w:sz w:val="20"/>
        </w:rPr>
        <w:t>Theorethical</w:t>
      </w:r>
      <w:proofErr w:type="spellEnd"/>
      <w:r w:rsidRPr="00431018">
        <w:rPr>
          <w:rFonts w:ascii="Palatino Linotype" w:hAnsi="Palatino Linotype"/>
          <w:sz w:val="20"/>
        </w:rPr>
        <w:t xml:space="preserve"> Overview? </w:t>
      </w:r>
      <w:r w:rsidRPr="00431018">
        <w:rPr>
          <w:rFonts w:ascii="Palatino Linotype" w:hAnsi="Palatino Linotype"/>
          <w:i/>
          <w:iCs/>
          <w:sz w:val="20"/>
        </w:rPr>
        <w:t>EURASIA Journal of Mathematics, Science and Technology Education</w:t>
      </w:r>
      <w:r w:rsidRPr="00431018">
        <w:rPr>
          <w:rFonts w:ascii="Palatino Linotype" w:hAnsi="Palatino Linotype"/>
          <w:sz w:val="20"/>
        </w:rPr>
        <w:t xml:space="preserve">, </w:t>
      </w:r>
      <w:r w:rsidRPr="00431018">
        <w:rPr>
          <w:rFonts w:ascii="Palatino Linotype" w:hAnsi="Palatino Linotype"/>
          <w:i/>
          <w:iCs/>
          <w:sz w:val="20"/>
        </w:rPr>
        <w:t>14</w:t>
      </w:r>
      <w:r w:rsidRPr="00431018">
        <w:rPr>
          <w:rFonts w:ascii="Palatino Linotype" w:hAnsi="Palatino Linotype"/>
          <w:sz w:val="20"/>
        </w:rPr>
        <w:t>(2). https://doi.org/10.12973/ejmste/80632</w:t>
      </w:r>
    </w:p>
    <w:p w14:paraId="6E027275" w14:textId="77777777" w:rsidR="00431018" w:rsidRPr="00431018" w:rsidRDefault="00431018" w:rsidP="00431018">
      <w:pPr>
        <w:pStyle w:val="Bibliography"/>
        <w:spacing w:line="240" w:lineRule="auto"/>
        <w:jc w:val="both"/>
        <w:rPr>
          <w:rFonts w:ascii="Palatino Linotype" w:hAnsi="Palatino Linotype"/>
          <w:sz w:val="20"/>
        </w:rPr>
      </w:pPr>
      <w:proofErr w:type="spellStart"/>
      <w:r w:rsidRPr="00431018">
        <w:rPr>
          <w:rFonts w:ascii="Palatino Linotype" w:hAnsi="Palatino Linotype"/>
          <w:sz w:val="20"/>
        </w:rPr>
        <w:lastRenderedPageBreak/>
        <w:t>Widiyatmoko</w:t>
      </w:r>
      <w:proofErr w:type="spellEnd"/>
      <w:r w:rsidRPr="00431018">
        <w:rPr>
          <w:rFonts w:ascii="Palatino Linotype" w:hAnsi="Palatino Linotype"/>
          <w:sz w:val="20"/>
        </w:rPr>
        <w:t xml:space="preserve">, A., &amp; Shimizu, K. (2018). An overview of conceptual understanding in science education curriculum in Indonesia. </w:t>
      </w:r>
      <w:r w:rsidRPr="00431018">
        <w:rPr>
          <w:rFonts w:ascii="Palatino Linotype" w:hAnsi="Palatino Linotype"/>
          <w:i/>
          <w:iCs/>
          <w:sz w:val="20"/>
        </w:rPr>
        <w:t>Journal of Physics: Conference Series</w:t>
      </w:r>
      <w:r w:rsidRPr="00431018">
        <w:rPr>
          <w:rFonts w:ascii="Palatino Linotype" w:hAnsi="Palatino Linotype"/>
          <w:sz w:val="20"/>
        </w:rPr>
        <w:t xml:space="preserve">, </w:t>
      </w:r>
      <w:r w:rsidRPr="00431018">
        <w:rPr>
          <w:rFonts w:ascii="Palatino Linotype" w:hAnsi="Palatino Linotype"/>
          <w:i/>
          <w:iCs/>
          <w:sz w:val="20"/>
        </w:rPr>
        <w:t>983</w:t>
      </w:r>
      <w:r w:rsidRPr="00431018">
        <w:rPr>
          <w:rFonts w:ascii="Palatino Linotype" w:hAnsi="Palatino Linotype"/>
          <w:sz w:val="20"/>
        </w:rPr>
        <w:t>, 012044. https://doi.org/10.1088/1742-6596/983/1/012044</w:t>
      </w:r>
    </w:p>
    <w:p w14:paraId="6EEDD6E8"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Wilson, D. M., &amp; A/l </w:t>
      </w:r>
      <w:proofErr w:type="spellStart"/>
      <w:r w:rsidRPr="00431018">
        <w:rPr>
          <w:rFonts w:ascii="Palatino Linotype" w:hAnsi="Palatino Linotype"/>
          <w:sz w:val="20"/>
        </w:rPr>
        <w:t>Narasuman</w:t>
      </w:r>
      <w:proofErr w:type="spellEnd"/>
      <w:r w:rsidRPr="00431018">
        <w:rPr>
          <w:rFonts w:ascii="Palatino Linotype" w:hAnsi="Palatino Linotype"/>
          <w:sz w:val="20"/>
        </w:rPr>
        <w:t xml:space="preserve">, S. (2020). Investigating Teachers’ Implementation and Strategies on Higher Order Thinking Skills in School Based Assessment Instruments. </w:t>
      </w:r>
      <w:r w:rsidRPr="00431018">
        <w:rPr>
          <w:rFonts w:ascii="Palatino Linotype" w:hAnsi="Palatino Linotype"/>
          <w:i/>
          <w:iCs/>
          <w:sz w:val="20"/>
        </w:rPr>
        <w:t>Asian Journal of University Education</w:t>
      </w:r>
      <w:r w:rsidRPr="00431018">
        <w:rPr>
          <w:rFonts w:ascii="Palatino Linotype" w:hAnsi="Palatino Linotype"/>
          <w:sz w:val="20"/>
        </w:rPr>
        <w:t xml:space="preserve">, </w:t>
      </w:r>
      <w:r w:rsidRPr="00431018">
        <w:rPr>
          <w:rFonts w:ascii="Palatino Linotype" w:hAnsi="Palatino Linotype"/>
          <w:i/>
          <w:iCs/>
          <w:sz w:val="20"/>
        </w:rPr>
        <w:t>16</w:t>
      </w:r>
      <w:r w:rsidRPr="00431018">
        <w:rPr>
          <w:rFonts w:ascii="Palatino Linotype" w:hAnsi="Palatino Linotype"/>
          <w:sz w:val="20"/>
        </w:rPr>
        <w:t>(1), 70. https://doi.org/10.24191/ajue.v16i1.8991</w:t>
      </w:r>
    </w:p>
    <w:p w14:paraId="355A6B68"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Wu, T.-T., Sari, N. A. R. M., &amp; Huang, Y.-M. (2024). Integrating extended formative assessment in flipped jigsaw learning: Promoting learning engagement and higher-order thinking skills in international business education context. </w:t>
      </w:r>
      <w:r w:rsidRPr="00431018">
        <w:rPr>
          <w:rFonts w:ascii="Palatino Linotype" w:hAnsi="Palatino Linotype"/>
          <w:i/>
          <w:iCs/>
          <w:sz w:val="20"/>
        </w:rPr>
        <w:t>The International Journal of Management Education</w:t>
      </w:r>
      <w:r w:rsidRPr="00431018">
        <w:rPr>
          <w:rFonts w:ascii="Palatino Linotype" w:hAnsi="Palatino Linotype"/>
          <w:sz w:val="20"/>
        </w:rPr>
        <w:t xml:space="preserve">, </w:t>
      </w:r>
      <w:r w:rsidRPr="00431018">
        <w:rPr>
          <w:rFonts w:ascii="Palatino Linotype" w:hAnsi="Palatino Linotype"/>
          <w:i/>
          <w:iCs/>
          <w:sz w:val="20"/>
        </w:rPr>
        <w:t>22</w:t>
      </w:r>
      <w:r w:rsidRPr="00431018">
        <w:rPr>
          <w:rFonts w:ascii="Palatino Linotype" w:hAnsi="Palatino Linotype"/>
          <w:sz w:val="20"/>
        </w:rPr>
        <w:t>(1), 100930. https://doi.org/10.1016/j.ijme.2024.100930</w:t>
      </w:r>
    </w:p>
    <w:p w14:paraId="68D748A0" w14:textId="77777777" w:rsidR="00431018" w:rsidRPr="00431018" w:rsidRDefault="00431018" w:rsidP="00431018">
      <w:pPr>
        <w:pStyle w:val="Bibliography"/>
        <w:spacing w:line="240" w:lineRule="auto"/>
        <w:jc w:val="both"/>
        <w:rPr>
          <w:rFonts w:ascii="Palatino Linotype" w:hAnsi="Palatino Linotype"/>
          <w:sz w:val="20"/>
        </w:rPr>
      </w:pPr>
      <w:r w:rsidRPr="00431018">
        <w:rPr>
          <w:rFonts w:ascii="Palatino Linotype" w:hAnsi="Palatino Linotype"/>
          <w:sz w:val="20"/>
        </w:rPr>
        <w:t xml:space="preserve">Yoshida, M. (2018). Communication Jigsaw: A Teaching Method that Promotes Scholarly Communication. </w:t>
      </w:r>
      <w:r w:rsidRPr="00431018">
        <w:rPr>
          <w:rFonts w:ascii="Palatino Linotype" w:hAnsi="Palatino Linotype"/>
          <w:i/>
          <w:iCs/>
          <w:sz w:val="20"/>
        </w:rPr>
        <w:t>International Journal of Emerging Technologies in Learning (</w:t>
      </w:r>
      <w:proofErr w:type="spellStart"/>
      <w:r w:rsidRPr="00431018">
        <w:rPr>
          <w:rFonts w:ascii="Palatino Linotype" w:hAnsi="Palatino Linotype"/>
          <w:i/>
          <w:iCs/>
          <w:sz w:val="20"/>
        </w:rPr>
        <w:t>iJET</w:t>
      </w:r>
      <w:proofErr w:type="spellEnd"/>
      <w:r w:rsidRPr="00431018">
        <w:rPr>
          <w:rFonts w:ascii="Palatino Linotype" w:hAnsi="Palatino Linotype"/>
          <w:i/>
          <w:iCs/>
          <w:sz w:val="20"/>
        </w:rPr>
        <w:t>)</w:t>
      </w:r>
      <w:r w:rsidRPr="00431018">
        <w:rPr>
          <w:rFonts w:ascii="Palatino Linotype" w:hAnsi="Palatino Linotype"/>
          <w:sz w:val="20"/>
        </w:rPr>
        <w:t xml:space="preserve">, </w:t>
      </w:r>
      <w:r w:rsidRPr="00431018">
        <w:rPr>
          <w:rFonts w:ascii="Palatino Linotype" w:hAnsi="Palatino Linotype"/>
          <w:i/>
          <w:iCs/>
          <w:sz w:val="20"/>
        </w:rPr>
        <w:t>13</w:t>
      </w:r>
      <w:r w:rsidRPr="00431018">
        <w:rPr>
          <w:rFonts w:ascii="Palatino Linotype" w:hAnsi="Palatino Linotype"/>
          <w:sz w:val="20"/>
        </w:rPr>
        <w:t>(10), 208. https://doi.org/10.3991/ijet.v13i10.8850</w:t>
      </w:r>
    </w:p>
    <w:p w14:paraId="5A30E1EE" w14:textId="5101EC7C" w:rsidR="00A0227A" w:rsidRDefault="00AE1C5B" w:rsidP="00431018">
      <w:pPr>
        <w:pStyle w:val="Alishlah71References"/>
        <w:spacing w:line="240" w:lineRule="auto"/>
      </w:pPr>
      <w:r>
        <w:fldChar w:fldCharType="end"/>
      </w:r>
    </w:p>
    <w:p w14:paraId="335C359E" w14:textId="77777777" w:rsidR="002B31FD" w:rsidRDefault="002B31FD" w:rsidP="002B31FD">
      <w:pPr>
        <w:rPr>
          <w:b/>
          <w:bCs/>
          <w:i/>
          <w:iCs/>
        </w:rPr>
      </w:pPr>
    </w:p>
    <w:p w14:paraId="6DE73917" w14:textId="7DDC8BEA" w:rsidR="00143989" w:rsidRPr="00723B12" w:rsidRDefault="00143989" w:rsidP="002B31FD">
      <w:pPr>
        <w:pStyle w:val="Alishlah71References"/>
      </w:pPr>
    </w:p>
    <w:sectPr w:rsidR="00143989" w:rsidRPr="00723B12" w:rsidSect="001914CF">
      <w:headerReference w:type="default" r:id="rId13"/>
      <w:footerReference w:type="default" r:id="rId14"/>
      <w:headerReference w:type="first" r:id="rId15"/>
      <w:footerReference w:type="first" r:id="rId1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D59B7" w14:textId="77777777" w:rsidR="004B51CB" w:rsidRDefault="004B51CB" w:rsidP="008E64A2">
      <w:pPr>
        <w:spacing w:after="0" w:line="240" w:lineRule="auto"/>
      </w:pPr>
      <w:r>
        <w:separator/>
      </w:r>
    </w:p>
    <w:p w14:paraId="13976B71" w14:textId="77777777" w:rsidR="004B51CB" w:rsidRDefault="004B51CB"/>
  </w:endnote>
  <w:endnote w:type="continuationSeparator" w:id="0">
    <w:p w14:paraId="5FF4BA1F" w14:textId="77777777" w:rsidR="004B51CB" w:rsidRDefault="004B51CB" w:rsidP="008E64A2">
      <w:pPr>
        <w:spacing w:after="0" w:line="240" w:lineRule="auto"/>
      </w:pPr>
      <w:r>
        <w:continuationSeparator/>
      </w:r>
    </w:p>
    <w:p w14:paraId="4A9522A2" w14:textId="77777777" w:rsidR="004B51CB" w:rsidRDefault="004B5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ABBF8" w14:textId="2AE1DADA" w:rsidR="001C18FA" w:rsidRPr="00727D5A" w:rsidRDefault="004C7916" w:rsidP="00727D5A">
    <w:pPr>
      <w:pStyle w:val="Footer"/>
    </w:pPr>
    <w:r>
      <w:rPr>
        <w:rFonts w:ascii="Palatino Linotype" w:hAnsi="Palatino Linotype"/>
        <w:i/>
        <w:sz w:val="16"/>
      </w:rPr>
      <w:t xml:space="preserve">Ferdi </w:t>
    </w:r>
    <w:proofErr w:type="spellStart"/>
    <w:r>
      <w:rPr>
        <w:rFonts w:ascii="Palatino Linotype" w:hAnsi="Palatino Linotype"/>
        <w:i/>
        <w:sz w:val="16"/>
      </w:rPr>
      <w:t>Yufriadi</w:t>
    </w:r>
    <w:proofErr w:type="spellEnd"/>
    <w:r>
      <w:rPr>
        <w:rFonts w:ascii="Palatino Linotype" w:hAnsi="Palatino Linotype"/>
        <w:i/>
        <w:sz w:val="16"/>
      </w:rPr>
      <w:t xml:space="preserve"> et al.</w:t>
    </w:r>
    <w:r w:rsidR="00727D5A" w:rsidRPr="00727D5A">
      <w:rPr>
        <w:rFonts w:ascii="Palatino Linotype" w:hAnsi="Palatino Linotype"/>
        <w:i/>
        <w:sz w:val="16"/>
      </w:rPr>
      <w:t xml:space="preserve"> /</w:t>
    </w:r>
    <w:r w:rsidR="008D2282" w:rsidRPr="008D2282">
      <w:t xml:space="preserve"> </w:t>
    </w:r>
    <w:r w:rsidR="008D2282" w:rsidRPr="008D2282">
      <w:rPr>
        <w:rFonts w:ascii="Palatino Linotype" w:hAnsi="Palatino Linotype"/>
        <w:i/>
        <w:sz w:val="16"/>
      </w:rPr>
      <w:t xml:space="preserve">Jigsaw Strategy on Learning Outcomes and Higher Order Thinking Skills of Students in Social Science at Madrasah </w:t>
    </w:r>
    <w:proofErr w:type="spellStart"/>
    <w:r w:rsidR="008D2282" w:rsidRPr="008D2282">
      <w:rPr>
        <w:rFonts w:ascii="Palatino Linotype" w:hAnsi="Palatino Linotype"/>
        <w:i/>
        <w:sz w:val="16"/>
      </w:rPr>
      <w:t>Tsanawiyah</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E011D"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4DEF6" w14:textId="77777777" w:rsidR="004B51CB" w:rsidRDefault="004B51CB" w:rsidP="008E64A2">
      <w:pPr>
        <w:spacing w:after="0" w:line="240" w:lineRule="auto"/>
      </w:pPr>
      <w:r>
        <w:separator/>
      </w:r>
    </w:p>
    <w:p w14:paraId="041A4A1A" w14:textId="77777777" w:rsidR="004B51CB" w:rsidRDefault="004B51CB"/>
  </w:footnote>
  <w:footnote w:type="continuationSeparator" w:id="0">
    <w:p w14:paraId="40BF625E" w14:textId="77777777" w:rsidR="004B51CB" w:rsidRDefault="004B51CB" w:rsidP="008E64A2">
      <w:pPr>
        <w:spacing w:after="0" w:line="240" w:lineRule="auto"/>
      </w:pPr>
      <w:r>
        <w:continuationSeparator/>
      </w:r>
    </w:p>
    <w:p w14:paraId="092D9215" w14:textId="77777777" w:rsidR="004B51CB" w:rsidRDefault="004B51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AEF6C"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4D6ADB3A" wp14:editId="17690FB9">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D78AB3"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14AFC29A" w14:textId="77777777" w:rsidR="006E7F16" w:rsidRDefault="006E7F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495C0" w14:textId="77777777" w:rsidR="001C18FA" w:rsidRPr="0048254D" w:rsidRDefault="001C18FA" w:rsidP="0048254D">
    <w:pPr>
      <w:pStyle w:val="Header"/>
      <w:ind w:right="45"/>
      <w:rPr>
        <w:rFonts w:ascii="Palatino Linotype" w:hAnsi="Palatino Linotype"/>
        <w:b/>
        <w:sz w:val="20"/>
      </w:rPr>
    </w:pPr>
    <w:bookmarkStart w:id="3"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69E1CA67"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161EC197"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3"/>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348CE2E8" wp14:editId="1BE9A8B0">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1FD9B"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492C810C"/>
    <w:lvl w:ilvl="0">
      <w:start w:val="1"/>
      <w:numFmt w:val="decimal"/>
      <w:pStyle w:val="Alishlah21heading1"/>
      <w:lvlText w:val="%1."/>
      <w:lvlJc w:val="left"/>
      <w:pPr>
        <w:ind w:left="720" w:hanging="360"/>
      </w:pPr>
    </w:lvl>
    <w:lvl w:ilvl="1">
      <w:start w:val="1"/>
      <w:numFmt w:val="decimal"/>
      <w:isLgl/>
      <w:lvlText w:val="%1.%2."/>
      <w:lvlJc w:val="left"/>
      <w:pPr>
        <w:ind w:left="36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42261132">
    <w:abstractNumId w:val="9"/>
  </w:num>
  <w:num w:numId="2" w16cid:durableId="442113312">
    <w:abstractNumId w:val="10"/>
  </w:num>
  <w:num w:numId="3" w16cid:durableId="1362517249">
    <w:abstractNumId w:val="6"/>
  </w:num>
  <w:num w:numId="4" w16cid:durableId="237179215">
    <w:abstractNumId w:val="5"/>
  </w:num>
  <w:num w:numId="5" w16cid:durableId="1714502402">
    <w:abstractNumId w:val="13"/>
  </w:num>
  <w:num w:numId="6" w16cid:durableId="1566454308">
    <w:abstractNumId w:val="16"/>
  </w:num>
  <w:num w:numId="7" w16cid:durableId="1062680325">
    <w:abstractNumId w:val="1"/>
  </w:num>
  <w:num w:numId="8" w16cid:durableId="1220937159">
    <w:abstractNumId w:val="15"/>
  </w:num>
  <w:num w:numId="9" w16cid:durableId="1358388952">
    <w:abstractNumId w:val="8"/>
  </w:num>
  <w:num w:numId="10" w16cid:durableId="1688865973">
    <w:abstractNumId w:val="14"/>
  </w:num>
  <w:num w:numId="11" w16cid:durableId="1850288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7383750">
    <w:abstractNumId w:val="17"/>
  </w:num>
  <w:num w:numId="13" w16cid:durableId="853037116">
    <w:abstractNumId w:val="2"/>
  </w:num>
  <w:num w:numId="14" w16cid:durableId="704019707">
    <w:abstractNumId w:val="11"/>
  </w:num>
  <w:num w:numId="15" w16cid:durableId="608393785">
    <w:abstractNumId w:val="12"/>
  </w:num>
  <w:num w:numId="16" w16cid:durableId="401830482">
    <w:abstractNumId w:val="0"/>
  </w:num>
  <w:num w:numId="17" w16cid:durableId="1555392338">
    <w:abstractNumId w:val="4"/>
  </w:num>
  <w:num w:numId="18" w16cid:durableId="1228611827">
    <w:abstractNumId w:val="7"/>
  </w:num>
  <w:num w:numId="19" w16cid:durableId="1184981842">
    <w:abstractNumId w:val="6"/>
    <w:lvlOverride w:ilvl="0">
      <w:startOverride w:val="3"/>
    </w:lvlOverride>
    <w:lvlOverride w:ilvl="1">
      <w:startOverride w:val="3"/>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A41F8C"/>
    <w:rsid w:val="000061CE"/>
    <w:rsid w:val="00031DD5"/>
    <w:rsid w:val="000333AC"/>
    <w:rsid w:val="000355EA"/>
    <w:rsid w:val="00035C67"/>
    <w:rsid w:val="00056E9C"/>
    <w:rsid w:val="000720F1"/>
    <w:rsid w:val="000735BB"/>
    <w:rsid w:val="00075197"/>
    <w:rsid w:val="0007770F"/>
    <w:rsid w:val="00081C72"/>
    <w:rsid w:val="000831BD"/>
    <w:rsid w:val="000A13A3"/>
    <w:rsid w:val="000A36F0"/>
    <w:rsid w:val="000B41BD"/>
    <w:rsid w:val="000D5EE8"/>
    <w:rsid w:val="000E2588"/>
    <w:rsid w:val="000E2C60"/>
    <w:rsid w:val="000E4332"/>
    <w:rsid w:val="000E7A05"/>
    <w:rsid w:val="000F1812"/>
    <w:rsid w:val="000F66B9"/>
    <w:rsid w:val="00100F3D"/>
    <w:rsid w:val="00114306"/>
    <w:rsid w:val="001358C8"/>
    <w:rsid w:val="00143989"/>
    <w:rsid w:val="00145F3A"/>
    <w:rsid w:val="00147524"/>
    <w:rsid w:val="00151740"/>
    <w:rsid w:val="001603B5"/>
    <w:rsid w:val="00175AF2"/>
    <w:rsid w:val="001763CE"/>
    <w:rsid w:val="00182EA2"/>
    <w:rsid w:val="001914CF"/>
    <w:rsid w:val="001A4292"/>
    <w:rsid w:val="001A581B"/>
    <w:rsid w:val="001C1084"/>
    <w:rsid w:val="001C125B"/>
    <w:rsid w:val="001C18FA"/>
    <w:rsid w:val="001C30E8"/>
    <w:rsid w:val="001C7B8C"/>
    <w:rsid w:val="001E42C1"/>
    <w:rsid w:val="001F4625"/>
    <w:rsid w:val="002001C5"/>
    <w:rsid w:val="00202D95"/>
    <w:rsid w:val="0022427B"/>
    <w:rsid w:val="002263FF"/>
    <w:rsid w:val="00226872"/>
    <w:rsid w:val="00226E30"/>
    <w:rsid w:val="0023514C"/>
    <w:rsid w:val="00245BDA"/>
    <w:rsid w:val="002663A1"/>
    <w:rsid w:val="002667AC"/>
    <w:rsid w:val="00270B5A"/>
    <w:rsid w:val="00287854"/>
    <w:rsid w:val="00290481"/>
    <w:rsid w:val="002A02C2"/>
    <w:rsid w:val="002A2BCB"/>
    <w:rsid w:val="002A7ABC"/>
    <w:rsid w:val="002B31FD"/>
    <w:rsid w:val="002B59BA"/>
    <w:rsid w:val="002C57D4"/>
    <w:rsid w:val="002D170E"/>
    <w:rsid w:val="002E2CD1"/>
    <w:rsid w:val="002F3871"/>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B06AC"/>
    <w:rsid w:val="003C3B3B"/>
    <w:rsid w:val="003D061C"/>
    <w:rsid w:val="003E5BB6"/>
    <w:rsid w:val="003F3A9E"/>
    <w:rsid w:val="003F3F5C"/>
    <w:rsid w:val="004258A8"/>
    <w:rsid w:val="00431018"/>
    <w:rsid w:val="00432323"/>
    <w:rsid w:val="004333C2"/>
    <w:rsid w:val="00434F97"/>
    <w:rsid w:val="00435996"/>
    <w:rsid w:val="00444B72"/>
    <w:rsid w:val="004521BE"/>
    <w:rsid w:val="00457015"/>
    <w:rsid w:val="00461028"/>
    <w:rsid w:val="00462B22"/>
    <w:rsid w:val="004642B9"/>
    <w:rsid w:val="004763B3"/>
    <w:rsid w:val="0048254D"/>
    <w:rsid w:val="004A39B9"/>
    <w:rsid w:val="004A4086"/>
    <w:rsid w:val="004B51CB"/>
    <w:rsid w:val="004C2768"/>
    <w:rsid w:val="004C2BBB"/>
    <w:rsid w:val="004C67A3"/>
    <w:rsid w:val="004C700A"/>
    <w:rsid w:val="004C7916"/>
    <w:rsid w:val="004D00C2"/>
    <w:rsid w:val="004D0C98"/>
    <w:rsid w:val="004E46F9"/>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5D610B"/>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E7F16"/>
    <w:rsid w:val="006F160B"/>
    <w:rsid w:val="00701A0F"/>
    <w:rsid w:val="0071335B"/>
    <w:rsid w:val="00716FCB"/>
    <w:rsid w:val="00717FE7"/>
    <w:rsid w:val="00721B39"/>
    <w:rsid w:val="00723972"/>
    <w:rsid w:val="00727D5A"/>
    <w:rsid w:val="0073613A"/>
    <w:rsid w:val="0074579B"/>
    <w:rsid w:val="00745AB5"/>
    <w:rsid w:val="00750180"/>
    <w:rsid w:val="00751F6C"/>
    <w:rsid w:val="007549C7"/>
    <w:rsid w:val="00763D48"/>
    <w:rsid w:val="007706D1"/>
    <w:rsid w:val="00776DFE"/>
    <w:rsid w:val="00784B9B"/>
    <w:rsid w:val="00787398"/>
    <w:rsid w:val="00795A17"/>
    <w:rsid w:val="007A2C38"/>
    <w:rsid w:val="007B2B7A"/>
    <w:rsid w:val="007B716C"/>
    <w:rsid w:val="007E0F04"/>
    <w:rsid w:val="007E5CEF"/>
    <w:rsid w:val="007E6AA6"/>
    <w:rsid w:val="007E6E1C"/>
    <w:rsid w:val="007F0542"/>
    <w:rsid w:val="007F2733"/>
    <w:rsid w:val="00802C6D"/>
    <w:rsid w:val="008036D9"/>
    <w:rsid w:val="008477FA"/>
    <w:rsid w:val="0085387F"/>
    <w:rsid w:val="00863036"/>
    <w:rsid w:val="00873823"/>
    <w:rsid w:val="00874DBD"/>
    <w:rsid w:val="00883EAA"/>
    <w:rsid w:val="008841DF"/>
    <w:rsid w:val="008858AA"/>
    <w:rsid w:val="00887B61"/>
    <w:rsid w:val="0089730B"/>
    <w:rsid w:val="008D0E8E"/>
    <w:rsid w:val="008D2282"/>
    <w:rsid w:val="008D272B"/>
    <w:rsid w:val="008D6030"/>
    <w:rsid w:val="008E27C5"/>
    <w:rsid w:val="008E64A2"/>
    <w:rsid w:val="008F618A"/>
    <w:rsid w:val="00917C32"/>
    <w:rsid w:val="00921BF0"/>
    <w:rsid w:val="00922701"/>
    <w:rsid w:val="00926A4F"/>
    <w:rsid w:val="00932941"/>
    <w:rsid w:val="00935589"/>
    <w:rsid w:val="0093774D"/>
    <w:rsid w:val="0093781E"/>
    <w:rsid w:val="00941210"/>
    <w:rsid w:val="009466DD"/>
    <w:rsid w:val="00947DB3"/>
    <w:rsid w:val="00961E09"/>
    <w:rsid w:val="00961F83"/>
    <w:rsid w:val="009636A4"/>
    <w:rsid w:val="00964447"/>
    <w:rsid w:val="00966B3D"/>
    <w:rsid w:val="00971961"/>
    <w:rsid w:val="00976BB0"/>
    <w:rsid w:val="0098303C"/>
    <w:rsid w:val="00984D8C"/>
    <w:rsid w:val="009B07D9"/>
    <w:rsid w:val="009B59E2"/>
    <w:rsid w:val="009C1B55"/>
    <w:rsid w:val="009C7544"/>
    <w:rsid w:val="009D09F2"/>
    <w:rsid w:val="009D3532"/>
    <w:rsid w:val="009E52F0"/>
    <w:rsid w:val="009F0C88"/>
    <w:rsid w:val="009F4CD2"/>
    <w:rsid w:val="009F71B3"/>
    <w:rsid w:val="00A00078"/>
    <w:rsid w:val="00A0227A"/>
    <w:rsid w:val="00A02BB2"/>
    <w:rsid w:val="00A10281"/>
    <w:rsid w:val="00A10E86"/>
    <w:rsid w:val="00A234A4"/>
    <w:rsid w:val="00A26463"/>
    <w:rsid w:val="00A36F58"/>
    <w:rsid w:val="00A414CC"/>
    <w:rsid w:val="00A41F8C"/>
    <w:rsid w:val="00A448B5"/>
    <w:rsid w:val="00A45E69"/>
    <w:rsid w:val="00A54BE9"/>
    <w:rsid w:val="00A66748"/>
    <w:rsid w:val="00A75CB1"/>
    <w:rsid w:val="00A80097"/>
    <w:rsid w:val="00A82864"/>
    <w:rsid w:val="00A91453"/>
    <w:rsid w:val="00A96285"/>
    <w:rsid w:val="00A9708A"/>
    <w:rsid w:val="00A97F4A"/>
    <w:rsid w:val="00AA580B"/>
    <w:rsid w:val="00AB2854"/>
    <w:rsid w:val="00AB4892"/>
    <w:rsid w:val="00AB6B7A"/>
    <w:rsid w:val="00AB7E44"/>
    <w:rsid w:val="00AC475D"/>
    <w:rsid w:val="00AC5858"/>
    <w:rsid w:val="00AD26B9"/>
    <w:rsid w:val="00AD7FAB"/>
    <w:rsid w:val="00AE1C5B"/>
    <w:rsid w:val="00AE2A82"/>
    <w:rsid w:val="00AE7180"/>
    <w:rsid w:val="00AF2F8D"/>
    <w:rsid w:val="00AF6218"/>
    <w:rsid w:val="00B00874"/>
    <w:rsid w:val="00B029BB"/>
    <w:rsid w:val="00B03D8F"/>
    <w:rsid w:val="00B03DCF"/>
    <w:rsid w:val="00B04201"/>
    <w:rsid w:val="00B11C1B"/>
    <w:rsid w:val="00B147E8"/>
    <w:rsid w:val="00B158C3"/>
    <w:rsid w:val="00B1769F"/>
    <w:rsid w:val="00B232F3"/>
    <w:rsid w:val="00B23D62"/>
    <w:rsid w:val="00B30D46"/>
    <w:rsid w:val="00B35AB9"/>
    <w:rsid w:val="00B449B4"/>
    <w:rsid w:val="00B5764F"/>
    <w:rsid w:val="00B67ED6"/>
    <w:rsid w:val="00B7027E"/>
    <w:rsid w:val="00B72F3D"/>
    <w:rsid w:val="00B74337"/>
    <w:rsid w:val="00BA123A"/>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063"/>
    <w:rsid w:val="00CF5425"/>
    <w:rsid w:val="00D13D39"/>
    <w:rsid w:val="00D2296B"/>
    <w:rsid w:val="00D25F1F"/>
    <w:rsid w:val="00D31547"/>
    <w:rsid w:val="00D37209"/>
    <w:rsid w:val="00D51A98"/>
    <w:rsid w:val="00D74358"/>
    <w:rsid w:val="00D75604"/>
    <w:rsid w:val="00D77FAD"/>
    <w:rsid w:val="00D81206"/>
    <w:rsid w:val="00D850D3"/>
    <w:rsid w:val="00D90DB0"/>
    <w:rsid w:val="00DA0836"/>
    <w:rsid w:val="00DA2631"/>
    <w:rsid w:val="00DD295B"/>
    <w:rsid w:val="00DE2B7D"/>
    <w:rsid w:val="00DE6AB7"/>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A8284"/>
  <w15:chartTrackingRefBased/>
  <w15:docId w15:val="{C97C819A-224F-4DED-93A2-FE3FCBD5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kepala 1,List Paragraph1,kepala,Heading 10,Body of text1,Medium Grid 1 - Accent 21,Body of text+1,Body of text+2,Body of text+3,List Paragraph11,Colorful List - Accent 11,HEADING 1,Body of text2,List Paragraph12,kepala 11"/>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kepala 1 Char,List Paragraph1 Char,kepala Char,Heading 10 Char,Body of text1 Char,Medium Grid 1 - Accent 21 Char,Body of text+1 Char,Body of text+2 Char,Body of text+3 Char,List Paragraph11 Char,HEADING 1 Char"/>
    <w:basedOn w:val="DefaultParagraphFont"/>
    <w:link w:val="ListParagraph"/>
    <w:uiPriority w:val="1"/>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customStyle="1" w:styleId="trt0xe">
    <w:name w:val="trt0xe"/>
    <w:basedOn w:val="Normal"/>
    <w:rsid w:val="00D850D3"/>
    <w:pPr>
      <w:spacing w:before="100" w:beforeAutospacing="1" w:after="100" w:afterAutospacing="1" w:line="240" w:lineRule="auto"/>
    </w:pPr>
    <w:rPr>
      <w:rFonts w:ascii="Times New Roman" w:eastAsia="Times New Roman" w:hAnsi="Times New Roman" w:cs="Times New Roman"/>
      <w:sz w:val="24"/>
      <w:szCs w:val="24"/>
      <w:lang w:val="id-ID" w:eastAsia="id-ID"/>
      <w14:ligatures w14:val="standardContextual"/>
    </w:rPr>
  </w:style>
  <w:style w:type="paragraph" w:styleId="Bibliography">
    <w:name w:val="Bibliography"/>
    <w:basedOn w:val="Normal"/>
    <w:next w:val="Normal"/>
    <w:uiPriority w:val="37"/>
    <w:unhideWhenUsed/>
    <w:rsid w:val="00A0227A"/>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dilasyahriani4631@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0LAPTOP\Downloads\Template-2022%20(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20LAPTOP\AppData\Roaming\Microsoft\Excel\Book2%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Sheet1!$G$5:$G$7</c:f>
              <c:strCache>
                <c:ptCount val="3"/>
                <c:pt idx="0">
                  <c:v>Pre</c:v>
                </c:pt>
                <c:pt idx="1">
                  <c:v>Test</c:v>
                </c:pt>
                <c:pt idx="2">
                  <c:v>Control Class</c:v>
                </c:pt>
              </c:strCache>
            </c:strRef>
          </c:tx>
          <c:spPr>
            <a:solidFill>
              <a:schemeClr val="accent1"/>
            </a:solidFill>
            <a:ln>
              <a:noFill/>
            </a:ln>
            <a:effectLst/>
          </c:spPr>
          <c:invertIfNegative val="0"/>
          <c:val>
            <c:numRef>
              <c:f>Sheet1!$G$8:$G$34</c:f>
              <c:numCache>
                <c:formatCode>General</c:formatCode>
                <c:ptCount val="27"/>
                <c:pt idx="0">
                  <c:v>48</c:v>
                </c:pt>
                <c:pt idx="1">
                  <c:v>72</c:v>
                </c:pt>
                <c:pt idx="2">
                  <c:v>68</c:v>
                </c:pt>
                <c:pt idx="3">
                  <c:v>64</c:v>
                </c:pt>
                <c:pt idx="4">
                  <c:v>80</c:v>
                </c:pt>
                <c:pt idx="5">
                  <c:v>72</c:v>
                </c:pt>
                <c:pt idx="6">
                  <c:v>72</c:v>
                </c:pt>
                <c:pt idx="7">
                  <c:v>52</c:v>
                </c:pt>
                <c:pt idx="8">
                  <c:v>40</c:v>
                </c:pt>
                <c:pt idx="9">
                  <c:v>84</c:v>
                </c:pt>
                <c:pt idx="10">
                  <c:v>56</c:v>
                </c:pt>
                <c:pt idx="11">
                  <c:v>80</c:v>
                </c:pt>
                <c:pt idx="12">
                  <c:v>72</c:v>
                </c:pt>
                <c:pt idx="13">
                  <c:v>72</c:v>
                </c:pt>
                <c:pt idx="14">
                  <c:v>56</c:v>
                </c:pt>
                <c:pt idx="15">
                  <c:v>52</c:v>
                </c:pt>
                <c:pt idx="16">
                  <c:v>60</c:v>
                </c:pt>
                <c:pt idx="17">
                  <c:v>56</c:v>
                </c:pt>
                <c:pt idx="18">
                  <c:v>80</c:v>
                </c:pt>
                <c:pt idx="19">
                  <c:v>56</c:v>
                </c:pt>
                <c:pt idx="20">
                  <c:v>48</c:v>
                </c:pt>
                <c:pt idx="21">
                  <c:v>44</c:v>
                </c:pt>
                <c:pt idx="22">
                  <c:v>52</c:v>
                </c:pt>
                <c:pt idx="23">
                  <c:v>68</c:v>
                </c:pt>
                <c:pt idx="24">
                  <c:v>68</c:v>
                </c:pt>
                <c:pt idx="25">
                  <c:v>84</c:v>
                </c:pt>
                <c:pt idx="26">
                  <c:v>52</c:v>
                </c:pt>
              </c:numCache>
            </c:numRef>
          </c:val>
          <c:extLst>
            <c:ext xmlns:c16="http://schemas.microsoft.com/office/drawing/2014/chart" uri="{C3380CC4-5D6E-409C-BE32-E72D297353CC}">
              <c16:uniqueId val="{00000000-7987-44C5-94C5-874FCE80E7AA}"/>
            </c:ext>
          </c:extLst>
        </c:ser>
        <c:ser>
          <c:idx val="1"/>
          <c:order val="1"/>
          <c:tx>
            <c:strRef>
              <c:f>Sheet1!$H$5:$H$7</c:f>
              <c:strCache>
                <c:ptCount val="3"/>
                <c:pt idx="0">
                  <c:v>Post</c:v>
                </c:pt>
                <c:pt idx="1">
                  <c:v>Test</c:v>
                </c:pt>
                <c:pt idx="2">
                  <c:v>Control Class</c:v>
                </c:pt>
              </c:strCache>
            </c:strRef>
          </c:tx>
          <c:spPr>
            <a:solidFill>
              <a:schemeClr val="accent2"/>
            </a:solidFill>
            <a:ln>
              <a:noFill/>
            </a:ln>
            <a:effectLst/>
          </c:spPr>
          <c:invertIfNegative val="0"/>
          <c:val>
            <c:numRef>
              <c:f>Sheet1!$H$8:$H$34</c:f>
              <c:numCache>
                <c:formatCode>General</c:formatCode>
                <c:ptCount val="27"/>
                <c:pt idx="0">
                  <c:v>80</c:v>
                </c:pt>
                <c:pt idx="1">
                  <c:v>92</c:v>
                </c:pt>
                <c:pt idx="2">
                  <c:v>92</c:v>
                </c:pt>
                <c:pt idx="3">
                  <c:v>92</c:v>
                </c:pt>
                <c:pt idx="4">
                  <c:v>96</c:v>
                </c:pt>
                <c:pt idx="5">
                  <c:v>96</c:v>
                </c:pt>
                <c:pt idx="6">
                  <c:v>80</c:v>
                </c:pt>
                <c:pt idx="7">
                  <c:v>84</c:v>
                </c:pt>
                <c:pt idx="8">
                  <c:v>76</c:v>
                </c:pt>
                <c:pt idx="9">
                  <c:v>92</c:v>
                </c:pt>
                <c:pt idx="10">
                  <c:v>80</c:v>
                </c:pt>
                <c:pt idx="11">
                  <c:v>96</c:v>
                </c:pt>
                <c:pt idx="12">
                  <c:v>96</c:v>
                </c:pt>
                <c:pt idx="13">
                  <c:v>96</c:v>
                </c:pt>
                <c:pt idx="14">
                  <c:v>84</c:v>
                </c:pt>
                <c:pt idx="15">
                  <c:v>84</c:v>
                </c:pt>
                <c:pt idx="16">
                  <c:v>80</c:v>
                </c:pt>
                <c:pt idx="17">
                  <c:v>80</c:v>
                </c:pt>
                <c:pt idx="18">
                  <c:v>96</c:v>
                </c:pt>
                <c:pt idx="19">
                  <c:v>84</c:v>
                </c:pt>
                <c:pt idx="20">
                  <c:v>80</c:v>
                </c:pt>
                <c:pt idx="21">
                  <c:v>88</c:v>
                </c:pt>
                <c:pt idx="22">
                  <c:v>88</c:v>
                </c:pt>
                <c:pt idx="23">
                  <c:v>80</c:v>
                </c:pt>
                <c:pt idx="24">
                  <c:v>88</c:v>
                </c:pt>
                <c:pt idx="25">
                  <c:v>92</c:v>
                </c:pt>
                <c:pt idx="26">
                  <c:v>80</c:v>
                </c:pt>
              </c:numCache>
            </c:numRef>
          </c:val>
          <c:extLst>
            <c:ext xmlns:c16="http://schemas.microsoft.com/office/drawing/2014/chart" uri="{C3380CC4-5D6E-409C-BE32-E72D297353CC}">
              <c16:uniqueId val="{00000001-7987-44C5-94C5-874FCE80E7AA}"/>
            </c:ext>
          </c:extLst>
        </c:ser>
        <c:ser>
          <c:idx val="2"/>
          <c:order val="2"/>
          <c:tx>
            <c:strRef>
              <c:f>Sheet1!$I$5:$I$7</c:f>
              <c:strCache>
                <c:ptCount val="3"/>
                <c:pt idx="0">
                  <c:v>Pre</c:v>
                </c:pt>
                <c:pt idx="1">
                  <c:v>Test</c:v>
                </c:pt>
                <c:pt idx="2">
                  <c:v>Experiment Class</c:v>
                </c:pt>
              </c:strCache>
            </c:strRef>
          </c:tx>
          <c:spPr>
            <a:solidFill>
              <a:schemeClr val="accent3"/>
            </a:solidFill>
            <a:ln>
              <a:noFill/>
            </a:ln>
            <a:effectLst/>
          </c:spPr>
          <c:invertIfNegative val="0"/>
          <c:val>
            <c:numRef>
              <c:f>Sheet1!$I$8:$I$34</c:f>
              <c:numCache>
                <c:formatCode>General</c:formatCode>
                <c:ptCount val="27"/>
                <c:pt idx="0">
                  <c:v>68</c:v>
                </c:pt>
                <c:pt idx="1">
                  <c:v>70</c:v>
                </c:pt>
                <c:pt idx="2">
                  <c:v>68</c:v>
                </c:pt>
                <c:pt idx="3">
                  <c:v>76</c:v>
                </c:pt>
                <c:pt idx="4">
                  <c:v>82</c:v>
                </c:pt>
                <c:pt idx="5">
                  <c:v>48</c:v>
                </c:pt>
                <c:pt idx="6">
                  <c:v>80</c:v>
                </c:pt>
                <c:pt idx="7">
                  <c:v>80</c:v>
                </c:pt>
                <c:pt idx="8">
                  <c:v>68</c:v>
                </c:pt>
                <c:pt idx="9">
                  <c:v>80</c:v>
                </c:pt>
                <c:pt idx="10">
                  <c:v>72</c:v>
                </c:pt>
                <c:pt idx="11">
                  <c:v>76</c:v>
                </c:pt>
                <c:pt idx="12">
                  <c:v>80</c:v>
                </c:pt>
                <c:pt idx="13">
                  <c:v>68</c:v>
                </c:pt>
                <c:pt idx="14">
                  <c:v>80</c:v>
                </c:pt>
                <c:pt idx="15">
                  <c:v>84</c:v>
                </c:pt>
                <c:pt idx="16">
                  <c:v>68</c:v>
                </c:pt>
                <c:pt idx="17">
                  <c:v>60</c:v>
                </c:pt>
                <c:pt idx="18">
                  <c:v>52</c:v>
                </c:pt>
                <c:pt idx="19">
                  <c:v>76</c:v>
                </c:pt>
                <c:pt idx="20">
                  <c:v>56</c:v>
                </c:pt>
                <c:pt idx="21">
                  <c:v>64</c:v>
                </c:pt>
                <c:pt idx="22">
                  <c:v>68</c:v>
                </c:pt>
                <c:pt idx="23">
                  <c:v>60</c:v>
                </c:pt>
                <c:pt idx="24">
                  <c:v>72</c:v>
                </c:pt>
                <c:pt idx="25">
                  <c:v>76</c:v>
                </c:pt>
                <c:pt idx="26">
                  <c:v>82</c:v>
                </c:pt>
              </c:numCache>
            </c:numRef>
          </c:val>
          <c:extLst>
            <c:ext xmlns:c16="http://schemas.microsoft.com/office/drawing/2014/chart" uri="{C3380CC4-5D6E-409C-BE32-E72D297353CC}">
              <c16:uniqueId val="{00000002-7987-44C5-94C5-874FCE80E7AA}"/>
            </c:ext>
          </c:extLst>
        </c:ser>
        <c:ser>
          <c:idx val="3"/>
          <c:order val="3"/>
          <c:tx>
            <c:strRef>
              <c:f>Sheet1!$J$5:$J$7</c:f>
              <c:strCache>
                <c:ptCount val="3"/>
                <c:pt idx="0">
                  <c:v>Post</c:v>
                </c:pt>
                <c:pt idx="1">
                  <c:v>Test</c:v>
                </c:pt>
                <c:pt idx="2">
                  <c:v>Experiment Class</c:v>
                </c:pt>
              </c:strCache>
            </c:strRef>
          </c:tx>
          <c:spPr>
            <a:solidFill>
              <a:schemeClr val="accent4"/>
            </a:solidFill>
            <a:ln>
              <a:noFill/>
            </a:ln>
            <a:effectLst/>
          </c:spPr>
          <c:invertIfNegative val="0"/>
          <c:val>
            <c:numRef>
              <c:f>Sheet1!$J$8:$J$34</c:f>
              <c:numCache>
                <c:formatCode>General</c:formatCode>
                <c:ptCount val="27"/>
                <c:pt idx="0">
                  <c:v>68</c:v>
                </c:pt>
                <c:pt idx="1">
                  <c:v>72</c:v>
                </c:pt>
                <c:pt idx="2">
                  <c:v>76</c:v>
                </c:pt>
                <c:pt idx="3">
                  <c:v>60</c:v>
                </c:pt>
                <c:pt idx="4">
                  <c:v>96</c:v>
                </c:pt>
                <c:pt idx="5">
                  <c:v>64</c:v>
                </c:pt>
                <c:pt idx="6">
                  <c:v>88</c:v>
                </c:pt>
                <c:pt idx="7">
                  <c:v>92</c:v>
                </c:pt>
                <c:pt idx="8">
                  <c:v>92</c:v>
                </c:pt>
                <c:pt idx="9">
                  <c:v>96</c:v>
                </c:pt>
                <c:pt idx="10">
                  <c:v>92</c:v>
                </c:pt>
                <c:pt idx="11">
                  <c:v>88</c:v>
                </c:pt>
                <c:pt idx="12">
                  <c:v>84</c:v>
                </c:pt>
                <c:pt idx="13">
                  <c:v>88</c:v>
                </c:pt>
                <c:pt idx="14">
                  <c:v>96</c:v>
                </c:pt>
                <c:pt idx="15">
                  <c:v>88</c:v>
                </c:pt>
                <c:pt idx="16">
                  <c:v>68</c:v>
                </c:pt>
                <c:pt idx="17">
                  <c:v>68</c:v>
                </c:pt>
                <c:pt idx="18">
                  <c:v>64</c:v>
                </c:pt>
                <c:pt idx="19">
                  <c:v>80</c:v>
                </c:pt>
                <c:pt idx="20">
                  <c:v>68</c:v>
                </c:pt>
                <c:pt idx="21">
                  <c:v>21</c:v>
                </c:pt>
                <c:pt idx="22">
                  <c:v>88</c:v>
                </c:pt>
                <c:pt idx="23">
                  <c:v>64</c:v>
                </c:pt>
                <c:pt idx="24">
                  <c:v>76</c:v>
                </c:pt>
                <c:pt idx="25">
                  <c:v>72</c:v>
                </c:pt>
                <c:pt idx="26">
                  <c:v>88</c:v>
                </c:pt>
              </c:numCache>
            </c:numRef>
          </c:val>
          <c:extLst>
            <c:ext xmlns:c16="http://schemas.microsoft.com/office/drawing/2014/chart" uri="{C3380CC4-5D6E-409C-BE32-E72D297353CC}">
              <c16:uniqueId val="{00000003-7987-44C5-94C5-874FCE80E7AA}"/>
            </c:ext>
          </c:extLst>
        </c:ser>
        <c:dLbls>
          <c:showLegendKey val="0"/>
          <c:showVal val="0"/>
          <c:showCatName val="0"/>
          <c:showSerName val="0"/>
          <c:showPercent val="0"/>
          <c:showBubbleSize val="0"/>
        </c:dLbls>
        <c:gapWidth val="219"/>
        <c:overlap val="-27"/>
        <c:axId val="44424960"/>
        <c:axId val="44428800"/>
      </c:barChart>
      <c:catAx>
        <c:axId val="444249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28800"/>
        <c:crosses val="autoZero"/>
        <c:auto val="1"/>
        <c:lblAlgn val="ctr"/>
        <c:lblOffset val="100"/>
        <c:noMultiLvlLbl val="0"/>
      </c:catAx>
      <c:valAx>
        <c:axId val="4442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2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Sheet1!$F$6</c:f>
              <c:strCache>
                <c:ptCount val="1"/>
                <c:pt idx="0">
                  <c:v>Experimental Class</c:v>
                </c:pt>
              </c:strCache>
            </c:strRef>
          </c:tx>
          <c:spPr>
            <a:solidFill>
              <a:schemeClr val="accent1"/>
            </a:solidFill>
            <a:ln>
              <a:noFill/>
            </a:ln>
            <a:effectLst/>
          </c:spPr>
          <c:invertIfNegative val="0"/>
          <c:cat>
            <c:strRef>
              <c:f>Sheet1!$E$7:$E$10</c:f>
              <c:strCache>
                <c:ptCount val="4"/>
                <c:pt idx="1">
                  <c:v>Pre Test</c:v>
                </c:pt>
                <c:pt idx="2">
                  <c:v>Post Test</c:v>
                </c:pt>
                <c:pt idx="3">
                  <c:v>Difference</c:v>
                </c:pt>
              </c:strCache>
            </c:strRef>
          </c:cat>
          <c:val>
            <c:numRef>
              <c:f>Sheet1!$F$7:$F$10</c:f>
              <c:numCache>
                <c:formatCode>General</c:formatCode>
                <c:ptCount val="4"/>
                <c:pt idx="1">
                  <c:v>60.44</c:v>
                </c:pt>
                <c:pt idx="2">
                  <c:v>84.89</c:v>
                </c:pt>
                <c:pt idx="3">
                  <c:v>19.850000000000001</c:v>
                </c:pt>
              </c:numCache>
            </c:numRef>
          </c:val>
          <c:extLst>
            <c:ext xmlns:c16="http://schemas.microsoft.com/office/drawing/2014/chart" uri="{C3380CC4-5D6E-409C-BE32-E72D297353CC}">
              <c16:uniqueId val="{00000000-EC62-443D-9138-1BA2346594CF}"/>
            </c:ext>
          </c:extLst>
        </c:ser>
        <c:ser>
          <c:idx val="1"/>
          <c:order val="1"/>
          <c:tx>
            <c:strRef>
              <c:f>Sheet1!$G$6</c:f>
              <c:strCache>
                <c:ptCount val="1"/>
                <c:pt idx="0">
                  <c:v>Control Class</c:v>
                </c:pt>
              </c:strCache>
            </c:strRef>
          </c:tx>
          <c:spPr>
            <a:solidFill>
              <a:schemeClr val="accent2"/>
            </a:solidFill>
            <a:ln>
              <a:noFill/>
            </a:ln>
            <a:effectLst/>
          </c:spPr>
          <c:invertIfNegative val="0"/>
          <c:cat>
            <c:strRef>
              <c:f>Sheet1!$E$7:$E$10</c:f>
              <c:strCache>
                <c:ptCount val="4"/>
                <c:pt idx="1">
                  <c:v>Pre Test</c:v>
                </c:pt>
                <c:pt idx="2">
                  <c:v>Post Test</c:v>
                </c:pt>
                <c:pt idx="3">
                  <c:v>Difference</c:v>
                </c:pt>
              </c:strCache>
            </c:strRef>
          </c:cat>
          <c:val>
            <c:numRef>
              <c:f>Sheet1!$G$7:$G$10</c:f>
              <c:numCache>
                <c:formatCode>General</c:formatCode>
                <c:ptCount val="4"/>
                <c:pt idx="1">
                  <c:v>68.260000000000005</c:v>
                </c:pt>
                <c:pt idx="2">
                  <c:v>71.069999999999993</c:v>
                </c:pt>
                <c:pt idx="3">
                  <c:v>4.4400000000000004</c:v>
                </c:pt>
              </c:numCache>
            </c:numRef>
          </c:val>
          <c:extLst>
            <c:ext xmlns:c16="http://schemas.microsoft.com/office/drawing/2014/chart" uri="{C3380CC4-5D6E-409C-BE32-E72D297353CC}">
              <c16:uniqueId val="{00000001-EC62-443D-9138-1BA2346594CF}"/>
            </c:ext>
          </c:extLst>
        </c:ser>
        <c:dLbls>
          <c:showLegendKey val="0"/>
          <c:showVal val="0"/>
          <c:showCatName val="0"/>
          <c:showSerName val="0"/>
          <c:showPercent val="0"/>
          <c:showBubbleSize val="0"/>
        </c:dLbls>
        <c:gapWidth val="219"/>
        <c:overlap val="-27"/>
        <c:axId val="1225329951"/>
        <c:axId val="1225330911"/>
      </c:barChart>
      <c:catAx>
        <c:axId val="122532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5330911"/>
        <c:crosses val="autoZero"/>
        <c:auto val="1"/>
        <c:lblAlgn val="ctr"/>
        <c:lblOffset val="100"/>
        <c:noMultiLvlLbl val="0"/>
      </c:catAx>
      <c:valAx>
        <c:axId val="1225330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5329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(2)</Template>
  <TotalTime>397</TotalTime>
  <Pages>14</Pages>
  <Words>17482</Words>
  <Characters>99649</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hplaptophp12r@outlook.com</cp:lastModifiedBy>
  <cp:revision>7</cp:revision>
  <cp:lastPrinted>2022-03-12T14:54:00Z</cp:lastPrinted>
  <dcterms:created xsi:type="dcterms:W3CDTF">2024-09-24T20:05:00Z</dcterms:created>
  <dcterms:modified xsi:type="dcterms:W3CDTF">2024-09-25T19:07:00Z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ZOTERO_PREF_1">
    <vt:lpwstr>&lt;data data-version="3" zotero-version="7.0.5"&gt;&lt;session id="hiqTCfwy"/&gt;&lt;style id="http://www.zotero.org/styles/apa" locale="en-US" hasBibliography="1" bibliographyStyleHasBeenSet="1"/&gt;&lt;prefs&gt;&lt;pref name="fieldType" value="Field"/&gt;&lt;pref name="automaticJourna</vt:lpwstr>
  </property>
  <property fmtid="{D5CDD505-2E9C-101B-9397-08002B2CF9AE}" pid="26" name="ZOTERO_PREF_2">
    <vt:lpwstr>lAbbreviations" value="true"/&gt;&lt;/prefs&gt;&lt;/data&gt;</vt:lpwstr>
  </property>
</Properties>
</file>