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0C0DF" w14:textId="77777777" w:rsidR="00A41F8C" w:rsidRDefault="00A41F8C" w:rsidP="00727D5A">
      <w:pPr>
        <w:pStyle w:val="Alishlah12title"/>
      </w:pPr>
      <w:r w:rsidRPr="00A41F8C">
        <w:t xml:space="preserve">Jigsaw Strategy on Learning Outcomes and Higher Order Thinking Skills of Students in Social Science at Madrasah </w:t>
      </w:r>
      <w:proofErr w:type="spellStart"/>
      <w:r w:rsidRPr="00A41F8C">
        <w:t>Tsanawiyah</w:t>
      </w:r>
      <w:proofErr w:type="spellEnd"/>
    </w:p>
    <w:p w14:paraId="01D8F122" w14:textId="5CA7044E" w:rsidR="00BE398A" w:rsidRPr="002E2CD1" w:rsidRDefault="002B31FD" w:rsidP="002C57D4">
      <w:pPr>
        <w:pStyle w:val="Alishlah13authornames"/>
        <w:rPr>
          <w:vertAlign w:val="superscript"/>
          <w:lang w:val="en-GB"/>
        </w:rPr>
      </w:pPr>
      <w:r w:rsidRPr="002B31FD">
        <w:rPr>
          <w:lang w:val="en-GB"/>
        </w:rPr>
        <w:t>F</w:t>
      </w:r>
      <w:r w:rsidR="004E46F9">
        <w:rPr>
          <w:lang w:val="en-GB"/>
        </w:rPr>
        <w:t>erdi Yufriadi</w:t>
      </w:r>
      <w:r w:rsidR="007E6AA6">
        <w:rPr>
          <w:vertAlign w:val="superscript"/>
          <w:lang w:val="en-GB"/>
        </w:rPr>
        <w:t>1</w:t>
      </w:r>
      <w:r w:rsidR="007E6AA6" w:rsidRPr="007E6AA6">
        <w:rPr>
          <w:lang w:val="en-GB"/>
        </w:rPr>
        <w:t xml:space="preserve">, </w:t>
      </w:r>
      <w:r w:rsidRPr="002B31FD">
        <w:rPr>
          <w:lang w:val="en-GB"/>
        </w:rPr>
        <w:t>F</w:t>
      </w:r>
      <w:r w:rsidR="004E46F9">
        <w:rPr>
          <w:lang w:val="en-GB"/>
        </w:rPr>
        <w:t>adilla Syahriani</w:t>
      </w:r>
      <w:r w:rsidR="007E6AA6">
        <w:rPr>
          <w:vertAlign w:val="superscript"/>
          <w:lang w:val="en-GB"/>
        </w:rPr>
        <w:t>2</w:t>
      </w:r>
      <w:r w:rsidR="004E46F9">
        <w:rPr>
          <w:lang w:val="en-GB"/>
        </w:rPr>
        <w:t>, Beni Firdaus</w:t>
      </w:r>
      <w:r w:rsidR="004E46F9">
        <w:rPr>
          <w:vertAlign w:val="superscript"/>
          <w:lang w:val="en-GB"/>
        </w:rPr>
        <w:t>3</w:t>
      </w:r>
      <w:r w:rsidR="004E46F9">
        <w:rPr>
          <w:lang w:val="en-GB"/>
        </w:rPr>
        <w:t xml:space="preserve">, </w:t>
      </w:r>
      <w:proofErr w:type="spellStart"/>
      <w:r w:rsidR="00A45E69">
        <w:rPr>
          <w:lang w:val="en-GB"/>
        </w:rPr>
        <w:t>Yernati</w:t>
      </w:r>
      <w:proofErr w:type="spellEnd"/>
      <w:r w:rsidR="00A45E69">
        <w:rPr>
          <w:lang w:val="en-GB"/>
        </w:rPr>
        <w:t xml:space="preserve"> Ulfazah</w:t>
      </w:r>
      <w:r w:rsidR="00A45E69">
        <w:rPr>
          <w:vertAlign w:val="superscript"/>
          <w:lang w:val="en-GB"/>
        </w:rPr>
        <w:t>4</w:t>
      </w:r>
      <w:r w:rsidR="00A45E69">
        <w:rPr>
          <w:lang w:val="en-GB"/>
        </w:rPr>
        <w:t>,</w:t>
      </w:r>
      <w:r w:rsidR="00A45E69" w:rsidRPr="00A45E69">
        <w:t xml:space="preserve"> </w:t>
      </w:r>
      <w:proofErr w:type="spellStart"/>
      <w:r w:rsidR="00A45E69" w:rsidRPr="00A45E69">
        <w:rPr>
          <w:lang w:val="en-GB"/>
        </w:rPr>
        <w:t>Meisya</w:t>
      </w:r>
      <w:proofErr w:type="spellEnd"/>
      <w:r w:rsidR="00A45E69" w:rsidRPr="00A45E69">
        <w:rPr>
          <w:lang w:val="en-GB"/>
        </w:rPr>
        <w:t xml:space="preserve"> </w:t>
      </w:r>
      <w:proofErr w:type="spellStart"/>
      <w:r w:rsidR="00A45E69" w:rsidRPr="00A45E69">
        <w:rPr>
          <w:lang w:val="en-GB"/>
        </w:rPr>
        <w:t>Anggraini</w:t>
      </w:r>
      <w:proofErr w:type="spellEnd"/>
      <w:r w:rsidR="00A45E69" w:rsidRPr="00A45E69">
        <w:rPr>
          <w:lang w:val="en-GB"/>
        </w:rPr>
        <w:t xml:space="preserve"> Rizki</w:t>
      </w:r>
      <w:r w:rsidR="00A45E69">
        <w:rPr>
          <w:vertAlign w:val="superscript"/>
          <w:lang w:val="en-GB"/>
        </w:rPr>
        <w:t>5</w:t>
      </w:r>
      <w:r w:rsidR="00A45E69">
        <w:rPr>
          <w:lang w:val="en-GB"/>
        </w:rPr>
        <w:t xml:space="preserve">, </w:t>
      </w:r>
      <w:proofErr w:type="spellStart"/>
      <w:r w:rsidR="00A45E69" w:rsidRPr="00A45E69">
        <w:rPr>
          <w:lang w:val="en-GB"/>
        </w:rPr>
        <w:t>Nadyya</w:t>
      </w:r>
      <w:proofErr w:type="spellEnd"/>
      <w:r w:rsidR="00A45E69" w:rsidRPr="00A45E69">
        <w:rPr>
          <w:lang w:val="en-GB"/>
        </w:rPr>
        <w:t xml:space="preserve"> </w:t>
      </w:r>
      <w:proofErr w:type="spellStart"/>
      <w:r w:rsidR="00A45E69" w:rsidRPr="00A45E69">
        <w:rPr>
          <w:lang w:val="en-GB"/>
        </w:rPr>
        <w:t>Zahratul</w:t>
      </w:r>
      <w:proofErr w:type="spellEnd"/>
      <w:r w:rsidR="00A45E69" w:rsidRPr="00A45E69">
        <w:rPr>
          <w:lang w:val="en-GB"/>
        </w:rPr>
        <w:t xml:space="preserve"> Janna</w:t>
      </w:r>
      <w:r w:rsidR="00A45E69">
        <w:rPr>
          <w:lang w:val="en-GB"/>
        </w:rPr>
        <w:t>h</w:t>
      </w:r>
      <w:r w:rsidR="00A45E69">
        <w:rPr>
          <w:vertAlign w:val="superscript"/>
          <w:lang w:val="en-GB"/>
        </w:rPr>
        <w:t>6</w:t>
      </w:r>
      <w:r w:rsidR="00A45E69">
        <w:rPr>
          <w:lang w:val="en-GB"/>
        </w:rPr>
        <w:t xml:space="preserve">, </w:t>
      </w:r>
      <w:proofErr w:type="spellStart"/>
      <w:r w:rsidR="00A45E69">
        <w:rPr>
          <w:lang w:val="en-GB"/>
        </w:rPr>
        <w:t>Valensius</w:t>
      </w:r>
      <w:proofErr w:type="spellEnd"/>
      <w:r w:rsidR="00A45E69">
        <w:rPr>
          <w:lang w:val="en-GB"/>
        </w:rPr>
        <w:t xml:space="preserve"> Ngardi</w:t>
      </w:r>
      <w:r w:rsidR="00A45E69">
        <w:rPr>
          <w:vertAlign w:val="superscript"/>
          <w:lang w:val="en-GB"/>
        </w:rPr>
        <w:t>7</w:t>
      </w:r>
      <w:r w:rsidR="002E2CD1">
        <w:rPr>
          <w:lang w:val="en-GB"/>
        </w:rPr>
        <w:t>,</w:t>
      </w:r>
      <w:r w:rsidR="002E2CD1" w:rsidRPr="002E2CD1">
        <w:t xml:space="preserve"> </w:t>
      </w:r>
      <w:r w:rsidR="002E2CD1" w:rsidRPr="002E2CD1">
        <w:rPr>
          <w:lang w:val="en-GB"/>
        </w:rPr>
        <w:t>Tri Wibowo</w:t>
      </w:r>
      <w:r w:rsidR="002E2CD1">
        <w:rPr>
          <w:vertAlign w:val="superscript"/>
          <w:lang w:val="en-GB"/>
        </w:rPr>
        <w:t>8</w:t>
      </w:r>
    </w:p>
    <w:p w14:paraId="7AA75F6B" w14:textId="19816D8E"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A45E69">
        <w:rPr>
          <w:color w:val="auto"/>
          <w:lang w:val="en-GB"/>
        </w:rPr>
        <w:t xml:space="preserve">Universitas Islam Negeri </w:t>
      </w:r>
      <w:proofErr w:type="spellStart"/>
      <w:r w:rsidR="00A45E69">
        <w:rPr>
          <w:color w:val="auto"/>
          <w:lang w:val="en-GB"/>
        </w:rPr>
        <w:t>Sjech</w:t>
      </w:r>
      <w:proofErr w:type="spellEnd"/>
      <w:r w:rsidR="00A45E69">
        <w:rPr>
          <w:color w:val="auto"/>
          <w:lang w:val="en-GB"/>
        </w:rPr>
        <w:t xml:space="preserve"> M. </w:t>
      </w:r>
      <w:proofErr w:type="spellStart"/>
      <w:r w:rsidR="00A45E69">
        <w:rPr>
          <w:color w:val="auto"/>
          <w:lang w:val="en-GB"/>
        </w:rPr>
        <w:t>Djamil</w:t>
      </w:r>
      <w:proofErr w:type="spellEnd"/>
      <w:r w:rsidR="00A45E69">
        <w:rPr>
          <w:color w:val="auto"/>
          <w:lang w:val="en-GB"/>
        </w:rPr>
        <w:t xml:space="preserve"> </w:t>
      </w:r>
      <w:proofErr w:type="spellStart"/>
      <w:r w:rsidR="00A45E69">
        <w:rPr>
          <w:color w:val="auto"/>
          <w:lang w:val="en-GB"/>
        </w:rPr>
        <w:t>Djambek</w:t>
      </w:r>
      <w:proofErr w:type="spellEnd"/>
      <w:r w:rsidR="00A45E69">
        <w:rPr>
          <w:color w:val="auto"/>
          <w:lang w:val="en-GB"/>
        </w:rPr>
        <w:t xml:space="preserve"> </w:t>
      </w:r>
      <w:proofErr w:type="spellStart"/>
      <w:r w:rsidR="00A45E69">
        <w:rPr>
          <w:color w:val="auto"/>
          <w:lang w:val="en-GB"/>
        </w:rPr>
        <w:t>Bukittinggi</w:t>
      </w:r>
      <w:proofErr w:type="spellEnd"/>
      <w:r w:rsidR="002B31FD" w:rsidRPr="002B31FD">
        <w:rPr>
          <w:color w:val="auto"/>
          <w:lang w:val="en-GB"/>
        </w:rPr>
        <w:t xml:space="preserve">; </w:t>
      </w:r>
      <w:r w:rsidR="002E2CD1">
        <w:rPr>
          <w:color w:val="auto"/>
          <w:lang w:val="en-GB"/>
        </w:rPr>
        <w:t>ferdiyufriadi07@g</w:t>
      </w:r>
      <w:r w:rsidR="002B31FD" w:rsidRPr="002B31FD">
        <w:rPr>
          <w:color w:val="auto"/>
          <w:lang w:val="en-GB"/>
        </w:rPr>
        <w:t>mail.com</w:t>
      </w:r>
    </w:p>
    <w:p w14:paraId="02048350" w14:textId="7CC8B792"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A45E69">
        <w:rPr>
          <w:color w:val="auto"/>
          <w:lang w:val="en-GB"/>
        </w:rPr>
        <w:t>Universitas Negeri Padang</w:t>
      </w:r>
      <w:r w:rsidR="002B31FD" w:rsidRPr="002B31FD">
        <w:rPr>
          <w:color w:val="auto"/>
          <w:lang w:val="en-GB"/>
        </w:rPr>
        <w:t xml:space="preserve">; </w:t>
      </w:r>
      <w:r w:rsidR="002E2CD1">
        <w:rPr>
          <w:color w:val="auto"/>
          <w:lang w:val="en-GB"/>
        </w:rPr>
        <w:t>fadilasyahriani4631@g</w:t>
      </w:r>
      <w:r w:rsidR="00A45E69">
        <w:rPr>
          <w:color w:val="auto"/>
          <w:lang w:val="en-GB"/>
        </w:rPr>
        <w:t>mail.com</w:t>
      </w:r>
    </w:p>
    <w:p w14:paraId="0276ACC4" w14:textId="11AB9158" w:rsidR="00A45E69" w:rsidRDefault="00A45E69" w:rsidP="00784B9B">
      <w:pPr>
        <w:pStyle w:val="Alishlah16affiliation"/>
        <w:rPr>
          <w:color w:val="auto"/>
          <w:lang w:val="en-GB"/>
        </w:rPr>
      </w:pPr>
      <w:r>
        <w:rPr>
          <w:color w:val="auto"/>
          <w:vertAlign w:val="superscript"/>
          <w:lang w:val="en-GB"/>
        </w:rPr>
        <w:t>3</w:t>
      </w:r>
      <w:r>
        <w:rPr>
          <w:color w:val="auto"/>
          <w:vertAlign w:val="superscript"/>
          <w:lang w:val="en-GB"/>
        </w:rPr>
        <w:tab/>
      </w:r>
      <w:r>
        <w:rPr>
          <w:color w:val="auto"/>
          <w:lang w:val="en-GB"/>
        </w:rPr>
        <w:t xml:space="preserve">Universitas Islam Negeri </w:t>
      </w:r>
      <w:proofErr w:type="spellStart"/>
      <w:r>
        <w:rPr>
          <w:color w:val="auto"/>
          <w:lang w:val="en-GB"/>
        </w:rPr>
        <w:t>Sjech</w:t>
      </w:r>
      <w:proofErr w:type="spellEnd"/>
      <w:r>
        <w:rPr>
          <w:color w:val="auto"/>
          <w:lang w:val="en-GB"/>
        </w:rPr>
        <w:t xml:space="preserve"> M. </w:t>
      </w:r>
      <w:proofErr w:type="spellStart"/>
      <w:r>
        <w:rPr>
          <w:color w:val="auto"/>
          <w:lang w:val="en-GB"/>
        </w:rPr>
        <w:t>Djamil</w:t>
      </w:r>
      <w:proofErr w:type="spellEnd"/>
      <w:r>
        <w:rPr>
          <w:color w:val="auto"/>
          <w:lang w:val="en-GB"/>
        </w:rPr>
        <w:t xml:space="preserve"> </w:t>
      </w:r>
      <w:proofErr w:type="spellStart"/>
      <w:r>
        <w:rPr>
          <w:color w:val="auto"/>
          <w:lang w:val="en-GB"/>
        </w:rPr>
        <w:t>Djambek</w:t>
      </w:r>
      <w:proofErr w:type="spellEnd"/>
      <w:r>
        <w:rPr>
          <w:color w:val="auto"/>
          <w:lang w:val="en-GB"/>
        </w:rPr>
        <w:t xml:space="preserve"> </w:t>
      </w:r>
      <w:proofErr w:type="spellStart"/>
      <w:r>
        <w:rPr>
          <w:color w:val="auto"/>
          <w:lang w:val="en-GB"/>
        </w:rPr>
        <w:t>Bukittinggi</w:t>
      </w:r>
      <w:proofErr w:type="spellEnd"/>
      <w:r w:rsidR="002F3871">
        <w:rPr>
          <w:color w:val="auto"/>
          <w:lang w:val="en-GB"/>
        </w:rPr>
        <w:t xml:space="preserve">; </w:t>
      </w:r>
      <w:r w:rsidR="008D2282" w:rsidRPr="008D2282">
        <w:rPr>
          <w:color w:val="auto"/>
          <w:lang w:val="en-GB"/>
        </w:rPr>
        <w:t>beni.firdaus1979@gmail.com</w:t>
      </w:r>
    </w:p>
    <w:p w14:paraId="7479F996" w14:textId="18FEAF8A" w:rsidR="002F3871" w:rsidRDefault="002F3871" w:rsidP="00784B9B">
      <w:pPr>
        <w:pStyle w:val="Alishlah16affiliation"/>
        <w:rPr>
          <w:color w:val="auto"/>
          <w:lang w:val="en-GB"/>
        </w:rPr>
      </w:pPr>
      <w:r>
        <w:rPr>
          <w:color w:val="auto"/>
          <w:vertAlign w:val="superscript"/>
          <w:lang w:val="en-GB"/>
        </w:rPr>
        <w:t>4</w:t>
      </w:r>
      <w:r>
        <w:rPr>
          <w:color w:val="auto"/>
          <w:vertAlign w:val="superscript"/>
          <w:lang w:val="en-GB"/>
        </w:rPr>
        <w:tab/>
      </w:r>
      <w:r>
        <w:rPr>
          <w:color w:val="auto"/>
          <w:lang w:val="en-GB"/>
        </w:rPr>
        <w:t xml:space="preserve">Universitas Islam Negeri Sunan </w:t>
      </w:r>
      <w:proofErr w:type="spellStart"/>
      <w:r>
        <w:rPr>
          <w:color w:val="auto"/>
          <w:lang w:val="en-GB"/>
        </w:rPr>
        <w:t>Kalijaga</w:t>
      </w:r>
      <w:proofErr w:type="spellEnd"/>
      <w:r>
        <w:rPr>
          <w:color w:val="auto"/>
          <w:lang w:val="en-GB"/>
        </w:rPr>
        <w:t xml:space="preserve"> Yogyakarta; </w:t>
      </w:r>
      <w:r w:rsidR="002E2CD1" w:rsidRPr="002E2CD1">
        <w:rPr>
          <w:color w:val="auto"/>
          <w:lang w:val="en-GB"/>
        </w:rPr>
        <w:t>yernatiulfa@gmail.com</w:t>
      </w:r>
    </w:p>
    <w:p w14:paraId="68BB3A10" w14:textId="71DC43F2" w:rsidR="002F3871" w:rsidRDefault="002F3871" w:rsidP="00784B9B">
      <w:pPr>
        <w:pStyle w:val="Alishlah16affiliation"/>
        <w:rPr>
          <w:color w:val="auto"/>
          <w:lang w:val="en-GB"/>
        </w:rPr>
      </w:pPr>
      <w:r>
        <w:rPr>
          <w:color w:val="auto"/>
          <w:vertAlign w:val="superscript"/>
          <w:lang w:val="en-GB"/>
        </w:rPr>
        <w:t>5</w:t>
      </w:r>
      <w:r>
        <w:rPr>
          <w:color w:val="auto"/>
          <w:vertAlign w:val="superscript"/>
          <w:lang w:val="en-GB"/>
        </w:rPr>
        <w:tab/>
      </w:r>
      <w:r>
        <w:rPr>
          <w:color w:val="auto"/>
          <w:lang w:val="en-GB"/>
        </w:rPr>
        <w:t xml:space="preserve">Universitas Gajah </w:t>
      </w:r>
      <w:proofErr w:type="spellStart"/>
      <w:r>
        <w:rPr>
          <w:color w:val="auto"/>
          <w:lang w:val="en-GB"/>
        </w:rPr>
        <w:t>Mada</w:t>
      </w:r>
      <w:proofErr w:type="spellEnd"/>
      <w:r>
        <w:rPr>
          <w:color w:val="auto"/>
          <w:lang w:val="en-GB"/>
        </w:rPr>
        <w:t xml:space="preserve">; </w:t>
      </w:r>
      <w:r w:rsidR="002E2CD1" w:rsidRPr="002E2CD1">
        <w:rPr>
          <w:color w:val="auto"/>
          <w:lang w:val="en-GB"/>
        </w:rPr>
        <w:t>meisyaanggrainirizki@mail.ugm.ac.id</w:t>
      </w:r>
    </w:p>
    <w:p w14:paraId="506ED661" w14:textId="70A61313" w:rsidR="002F3871" w:rsidRDefault="002F3871" w:rsidP="00784B9B">
      <w:pPr>
        <w:pStyle w:val="Alishlah16affiliation"/>
        <w:rPr>
          <w:color w:val="auto"/>
          <w:lang w:val="en-GB"/>
        </w:rPr>
      </w:pPr>
      <w:r>
        <w:rPr>
          <w:color w:val="auto"/>
          <w:vertAlign w:val="superscript"/>
          <w:lang w:val="en-GB"/>
        </w:rPr>
        <w:t>6</w:t>
      </w:r>
      <w:r>
        <w:rPr>
          <w:color w:val="auto"/>
          <w:vertAlign w:val="superscript"/>
          <w:lang w:val="en-GB"/>
        </w:rPr>
        <w:tab/>
      </w:r>
      <w:r>
        <w:rPr>
          <w:color w:val="auto"/>
          <w:lang w:val="en-GB"/>
        </w:rPr>
        <w:t xml:space="preserve">Universitas Islam Negeri </w:t>
      </w:r>
      <w:proofErr w:type="spellStart"/>
      <w:r>
        <w:rPr>
          <w:color w:val="auto"/>
          <w:lang w:val="en-GB"/>
        </w:rPr>
        <w:t>Sjech</w:t>
      </w:r>
      <w:proofErr w:type="spellEnd"/>
      <w:r>
        <w:rPr>
          <w:color w:val="auto"/>
          <w:lang w:val="en-GB"/>
        </w:rPr>
        <w:t xml:space="preserve"> M. </w:t>
      </w:r>
      <w:proofErr w:type="spellStart"/>
      <w:r>
        <w:rPr>
          <w:color w:val="auto"/>
          <w:lang w:val="en-GB"/>
        </w:rPr>
        <w:t>Djamil</w:t>
      </w:r>
      <w:proofErr w:type="spellEnd"/>
      <w:r>
        <w:rPr>
          <w:color w:val="auto"/>
          <w:lang w:val="en-GB"/>
        </w:rPr>
        <w:t xml:space="preserve"> </w:t>
      </w:r>
      <w:proofErr w:type="spellStart"/>
      <w:r>
        <w:rPr>
          <w:color w:val="auto"/>
          <w:lang w:val="en-GB"/>
        </w:rPr>
        <w:t>Djambek</w:t>
      </w:r>
      <w:proofErr w:type="spellEnd"/>
      <w:r>
        <w:rPr>
          <w:color w:val="auto"/>
          <w:lang w:val="en-GB"/>
        </w:rPr>
        <w:t xml:space="preserve"> </w:t>
      </w:r>
      <w:proofErr w:type="spellStart"/>
      <w:r>
        <w:rPr>
          <w:color w:val="auto"/>
          <w:lang w:val="en-GB"/>
        </w:rPr>
        <w:t>Bukittinggi</w:t>
      </w:r>
      <w:proofErr w:type="spellEnd"/>
      <w:r>
        <w:rPr>
          <w:color w:val="auto"/>
          <w:lang w:val="en-GB"/>
        </w:rPr>
        <w:t>;</w:t>
      </w:r>
      <w:r w:rsidR="002E2CD1" w:rsidRPr="002E2CD1">
        <w:t xml:space="preserve"> </w:t>
      </w:r>
      <w:r w:rsidR="002E2CD1" w:rsidRPr="002E2CD1">
        <w:rPr>
          <w:color w:val="auto"/>
          <w:lang w:val="en-GB"/>
        </w:rPr>
        <w:t>nadyyazahratulj@gmail.com</w:t>
      </w:r>
    </w:p>
    <w:p w14:paraId="7F2070D3" w14:textId="5856E368" w:rsidR="002F3871" w:rsidRDefault="002F3871" w:rsidP="00784B9B">
      <w:pPr>
        <w:pStyle w:val="Alishlah16affiliation"/>
        <w:rPr>
          <w:color w:val="auto"/>
          <w:lang w:val="en-GB"/>
        </w:rPr>
      </w:pPr>
      <w:r>
        <w:rPr>
          <w:color w:val="auto"/>
          <w:vertAlign w:val="superscript"/>
          <w:lang w:val="en-GB"/>
        </w:rPr>
        <w:t>7</w:t>
      </w:r>
      <w:r>
        <w:rPr>
          <w:color w:val="auto"/>
          <w:vertAlign w:val="superscript"/>
          <w:lang w:val="en-GB"/>
        </w:rPr>
        <w:tab/>
      </w:r>
      <w:r>
        <w:rPr>
          <w:color w:val="auto"/>
          <w:lang w:val="en-GB"/>
        </w:rPr>
        <w:t xml:space="preserve">Universitas Islam Negeri Sunan </w:t>
      </w:r>
      <w:proofErr w:type="spellStart"/>
      <w:r>
        <w:rPr>
          <w:color w:val="auto"/>
          <w:lang w:val="en-GB"/>
        </w:rPr>
        <w:t>Kalijaga</w:t>
      </w:r>
      <w:proofErr w:type="spellEnd"/>
      <w:r>
        <w:rPr>
          <w:color w:val="auto"/>
          <w:lang w:val="en-GB"/>
        </w:rPr>
        <w:t xml:space="preserve"> Yogyakarta</w:t>
      </w:r>
      <w:r>
        <w:rPr>
          <w:color w:val="auto"/>
          <w:lang w:val="en-GB"/>
        </w:rPr>
        <w:t>;</w:t>
      </w:r>
      <w:r w:rsidR="002E2CD1">
        <w:rPr>
          <w:color w:val="auto"/>
          <w:lang w:val="en-GB"/>
        </w:rPr>
        <w:t xml:space="preserve"> flavingardi@gmail.com</w:t>
      </w:r>
    </w:p>
    <w:p w14:paraId="04E20414" w14:textId="16ABDB1E" w:rsidR="002E2CD1" w:rsidRPr="002E2CD1" w:rsidRDefault="002E2CD1" w:rsidP="00784B9B">
      <w:pPr>
        <w:pStyle w:val="Alishlah16affiliation"/>
        <w:rPr>
          <w:color w:val="auto"/>
          <w:lang w:val="en-GB"/>
        </w:rPr>
      </w:pPr>
      <w:r>
        <w:rPr>
          <w:color w:val="auto"/>
          <w:vertAlign w:val="superscript"/>
          <w:lang w:val="en-GB"/>
        </w:rPr>
        <w:t>8</w:t>
      </w:r>
      <w:r>
        <w:rPr>
          <w:color w:val="auto"/>
          <w:vertAlign w:val="superscript"/>
          <w:lang w:val="en-GB"/>
        </w:rPr>
        <w:tab/>
      </w:r>
      <w:r w:rsidRPr="002E2CD1">
        <w:rPr>
          <w:color w:val="auto"/>
          <w:lang w:val="en-GB"/>
        </w:rPr>
        <w:t xml:space="preserve">Universitas Islam Negeri </w:t>
      </w:r>
      <w:proofErr w:type="spellStart"/>
      <w:r w:rsidRPr="002E2CD1">
        <w:rPr>
          <w:color w:val="auto"/>
          <w:lang w:val="en-GB"/>
        </w:rPr>
        <w:t>Profesor</w:t>
      </w:r>
      <w:proofErr w:type="spellEnd"/>
      <w:r w:rsidRPr="002E2CD1">
        <w:rPr>
          <w:color w:val="auto"/>
          <w:lang w:val="en-GB"/>
        </w:rPr>
        <w:t xml:space="preserve"> Kiai Haji Saifuddin Zuhri </w:t>
      </w:r>
      <w:proofErr w:type="spellStart"/>
      <w:r w:rsidRPr="002E2CD1">
        <w:rPr>
          <w:color w:val="auto"/>
          <w:lang w:val="en-GB"/>
        </w:rPr>
        <w:t>Purwokerto</w:t>
      </w:r>
      <w:proofErr w:type="spellEnd"/>
      <w:r>
        <w:rPr>
          <w:color w:val="auto"/>
          <w:lang w:val="en-GB"/>
        </w:rPr>
        <w:t xml:space="preserve">; </w:t>
      </w:r>
      <w:r w:rsidRPr="002E2CD1">
        <w:rPr>
          <w:color w:val="auto"/>
          <w:lang w:val="en-GB"/>
        </w:rPr>
        <w:t>triwibowo@uinsaizu.ac.id</w:t>
      </w:r>
    </w:p>
    <w:p w14:paraId="022E4CCA"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34AC2C1B" w14:textId="77777777" w:rsidTr="0048254D">
        <w:trPr>
          <w:jc w:val="center"/>
        </w:trPr>
        <w:tc>
          <w:tcPr>
            <w:tcW w:w="2787" w:type="dxa"/>
            <w:tcBorders>
              <w:top w:val="double" w:sz="4" w:space="0" w:color="auto"/>
              <w:left w:val="nil"/>
              <w:bottom w:val="single" w:sz="4" w:space="0" w:color="auto"/>
              <w:right w:val="nil"/>
            </w:tcBorders>
          </w:tcPr>
          <w:p w14:paraId="454481C1"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7032A591"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6206A9C7"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65DEC1FE" w14:textId="77777777" w:rsidTr="0048254D">
        <w:trPr>
          <w:trHeight w:val="1268"/>
          <w:jc w:val="center"/>
        </w:trPr>
        <w:tc>
          <w:tcPr>
            <w:tcW w:w="2787" w:type="dxa"/>
            <w:tcBorders>
              <w:top w:val="single" w:sz="4" w:space="0" w:color="auto"/>
              <w:left w:val="nil"/>
              <w:bottom w:val="single" w:sz="4" w:space="0" w:color="auto"/>
              <w:right w:val="nil"/>
            </w:tcBorders>
          </w:tcPr>
          <w:p w14:paraId="4C24E877" w14:textId="77777777" w:rsidR="0048254D" w:rsidRPr="0048254D" w:rsidRDefault="0048254D" w:rsidP="001C18FA">
            <w:pPr>
              <w:spacing w:before="120" w:after="120"/>
              <w:jc w:val="both"/>
              <w:rPr>
                <w:rFonts w:ascii="Palatino Linotype" w:hAnsi="Palatino Linotype"/>
                <w:b/>
                <w:i/>
                <w:sz w:val="18"/>
                <w:szCs w:val="18"/>
              </w:rPr>
            </w:pPr>
            <w:bookmarkStart w:id="0" w:name="_Hlk178182616"/>
            <w:r w:rsidRPr="0048254D">
              <w:rPr>
                <w:rFonts w:ascii="Palatino Linotype" w:hAnsi="Palatino Linotype"/>
                <w:b/>
                <w:i/>
                <w:sz w:val="18"/>
                <w:szCs w:val="18"/>
              </w:rPr>
              <w:t>Keywords:</w:t>
            </w:r>
          </w:p>
          <w:p w14:paraId="3EF70335" w14:textId="52349DAD" w:rsidR="002B31FD" w:rsidRDefault="00AE1C5B" w:rsidP="00290481">
            <w:pPr>
              <w:pStyle w:val="Alishlah18keywords"/>
            </w:pPr>
            <w:r>
              <w:t>Jigsaw Strategy</w:t>
            </w:r>
            <w:r w:rsidR="002B31FD" w:rsidRPr="002B31FD">
              <w:t xml:space="preserve">; </w:t>
            </w:r>
          </w:p>
          <w:p w14:paraId="2542EA43" w14:textId="03D9B160" w:rsidR="002B31FD" w:rsidRDefault="00AE1C5B" w:rsidP="00290481">
            <w:pPr>
              <w:pStyle w:val="Alishlah18keywords"/>
            </w:pPr>
            <w:r>
              <w:t>Social Science</w:t>
            </w:r>
            <w:r w:rsidR="002B31FD" w:rsidRPr="002B31FD">
              <w:t xml:space="preserve">; </w:t>
            </w:r>
          </w:p>
          <w:p w14:paraId="1321D64C" w14:textId="2820DA38" w:rsidR="002B31FD" w:rsidRDefault="00AE1C5B" w:rsidP="00290481">
            <w:pPr>
              <w:pStyle w:val="Alishlah18keywords"/>
            </w:pPr>
            <w:r>
              <w:t xml:space="preserve">Madrasah </w:t>
            </w:r>
            <w:proofErr w:type="spellStart"/>
            <w:r>
              <w:t>Tsanawiyah</w:t>
            </w:r>
            <w:proofErr w:type="spellEnd"/>
            <w:r w:rsidR="002B31FD" w:rsidRPr="002B31FD">
              <w:t xml:space="preserve"> </w:t>
            </w:r>
          </w:p>
          <w:p w14:paraId="56623F83"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122B6207"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5E38B6AF" w14:textId="314F10A3" w:rsidR="00745AB5" w:rsidRDefault="00226872" w:rsidP="00745AB5">
            <w:pPr>
              <w:pStyle w:val="Alishlah17abstract"/>
            </w:pPr>
            <w:r w:rsidRPr="00226872">
              <w:t xml:space="preserve">This study investigates the impact of the Jigsaw learning strategy on student learning outcomes and Higher Order Thinking Skills (HOTS) in Social Science at </w:t>
            </w:r>
            <w:proofErr w:type="spellStart"/>
            <w:r w:rsidRPr="00226872">
              <w:t>MTsS</w:t>
            </w:r>
            <w:proofErr w:type="spellEnd"/>
            <w:r w:rsidRPr="00226872">
              <w:t xml:space="preserve"> </w:t>
            </w:r>
            <w:proofErr w:type="spellStart"/>
            <w:r w:rsidRPr="00226872">
              <w:t>Ashhabul</w:t>
            </w:r>
            <w:proofErr w:type="spellEnd"/>
            <w:r w:rsidRPr="00226872">
              <w:t xml:space="preserve"> Yamin </w:t>
            </w:r>
            <w:proofErr w:type="spellStart"/>
            <w:r w:rsidRPr="00226872">
              <w:t>Lasi</w:t>
            </w:r>
            <w:proofErr w:type="spellEnd"/>
            <w:r w:rsidRPr="00226872">
              <w:t xml:space="preserve">. A quasi-experimental design was employed, involving two groups of students: an experimental group that utilized the Jigsaw strategy and a control group that adhered to conventional learning methods. Data were collected through pretests and posttests, utilizing a combination of multiple-choice questions and descriptive tests to measure learning outcomes and HOTS. Correlation techniques and simple regression analysis were used for data analysis, processed using SPSS version 2.6. The study population comprised all VIII grade students at </w:t>
            </w:r>
            <w:proofErr w:type="spellStart"/>
            <w:r w:rsidRPr="00226872">
              <w:t>MTsS</w:t>
            </w:r>
            <w:proofErr w:type="spellEnd"/>
            <w:r w:rsidRPr="00226872">
              <w:t xml:space="preserve"> </w:t>
            </w:r>
            <w:proofErr w:type="spellStart"/>
            <w:r w:rsidRPr="00226872">
              <w:t>Ashhabul</w:t>
            </w:r>
            <w:proofErr w:type="spellEnd"/>
            <w:r w:rsidRPr="00226872">
              <w:t xml:space="preserve"> Yamin </w:t>
            </w:r>
            <w:proofErr w:type="spellStart"/>
            <w:r w:rsidRPr="00226872">
              <w:t>Lasi</w:t>
            </w:r>
            <w:proofErr w:type="spellEnd"/>
            <w:r w:rsidRPr="00226872">
              <w:t>, with specific samples drawn from experimental and control classes. The research was conducted in three stages: pretest, Jigsaw strategy implementation, and posttest. The findings are anticipated to offer valuable insights into the effectiveness of the Jigsaw strategy in enhancing students' ability to think critically, analyze, and solve problems in Social Science subjects. This research aims to contribute significantly to the development of innovative teaching methods in secondary education. By highlighting the positive impact of collaborative learning strategies like Jigsaw, the study supports efforts to implement more dynamic and student-centered approaches in the classroom. These findings could also inform broader pedagogical practices, offering practical solutions for improving learning outcomes and cognitive skills in various educational contexts globally.</w:t>
            </w:r>
          </w:p>
          <w:p w14:paraId="255C6D6D" w14:textId="5DE2F7C4" w:rsidR="00226872" w:rsidRPr="00226872" w:rsidRDefault="00226872" w:rsidP="00226872">
            <w:pPr>
              <w:pStyle w:val="Alishlah18keywords"/>
            </w:pPr>
          </w:p>
        </w:tc>
      </w:tr>
      <w:bookmarkEnd w:id="0"/>
      <w:tr w:rsidR="0048254D" w:rsidRPr="0048254D" w14:paraId="6C6B775A"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2DC50D7C"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7BA30A36" w14:textId="5F8E9F7E" w:rsidR="0048254D" w:rsidRPr="006A6719" w:rsidRDefault="0048254D" w:rsidP="00E45249">
            <w:pPr>
              <w:pStyle w:val="Alishlah14history"/>
            </w:pPr>
            <w:r w:rsidRPr="006A6719">
              <w:t xml:space="preserve">Received </w:t>
            </w:r>
            <w:r w:rsidR="00FA43FF" w:rsidRPr="00FA43FF">
              <w:t>202</w:t>
            </w:r>
            <w:r w:rsidR="008D2282">
              <w:t>4</w:t>
            </w:r>
            <w:r w:rsidR="00FA43FF" w:rsidRPr="00FA43FF">
              <w:t>-0</w:t>
            </w:r>
            <w:r w:rsidR="008D2282">
              <w:t>9</w:t>
            </w:r>
            <w:r w:rsidR="00FA43FF" w:rsidRPr="00FA43FF">
              <w:t>-</w:t>
            </w:r>
            <w:r w:rsidR="008D2282">
              <w:t>25</w:t>
            </w:r>
          </w:p>
          <w:p w14:paraId="38CBB45A"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79D2A88C"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21990A7B"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0733E1D6"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5A3B7782" w14:textId="77777777" w:rsidTr="0048254D">
        <w:trPr>
          <w:trHeight w:val="70"/>
          <w:jc w:val="center"/>
        </w:trPr>
        <w:tc>
          <w:tcPr>
            <w:tcW w:w="2787" w:type="dxa"/>
            <w:vMerge/>
            <w:tcBorders>
              <w:top w:val="single" w:sz="4" w:space="0" w:color="auto"/>
              <w:left w:val="nil"/>
              <w:bottom w:val="single" w:sz="4" w:space="0" w:color="auto"/>
              <w:right w:val="nil"/>
            </w:tcBorders>
          </w:tcPr>
          <w:p w14:paraId="71CEA2C4"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1F4728C6"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07F3F93E"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35AD73AD"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lastRenderedPageBreak/>
              <w:drawing>
                <wp:inline distT="0" distB="0" distL="0" distR="0" wp14:anchorId="5A8628C1" wp14:editId="67D668A0">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24FBC62A" w14:textId="77777777" w:rsidTr="0048254D">
        <w:trPr>
          <w:jc w:val="center"/>
        </w:trPr>
        <w:tc>
          <w:tcPr>
            <w:tcW w:w="8845" w:type="dxa"/>
            <w:gridSpan w:val="3"/>
            <w:tcBorders>
              <w:top w:val="nil"/>
              <w:left w:val="nil"/>
              <w:bottom w:val="double" w:sz="4" w:space="0" w:color="auto"/>
              <w:right w:val="nil"/>
            </w:tcBorders>
          </w:tcPr>
          <w:p w14:paraId="366490E4" w14:textId="77777777" w:rsidR="0048254D" w:rsidRPr="00E45249" w:rsidRDefault="0048254D" w:rsidP="00E45249">
            <w:pPr>
              <w:pStyle w:val="Alishlah16affiliation"/>
              <w:ind w:left="0" w:firstLine="10"/>
              <w:rPr>
                <w:b/>
                <w:bCs/>
              </w:rPr>
            </w:pPr>
            <w:bookmarkStart w:id="1" w:name="_Hlk97159440"/>
            <w:r w:rsidRPr="00E45249">
              <w:rPr>
                <w:b/>
                <w:bCs/>
              </w:rPr>
              <w:lastRenderedPageBreak/>
              <w:t>Corresponding Author</w:t>
            </w:r>
            <w:bookmarkEnd w:id="1"/>
            <w:r w:rsidRPr="00E45249">
              <w:rPr>
                <w:b/>
                <w:bCs/>
              </w:rPr>
              <w:t>:</w:t>
            </w:r>
          </w:p>
          <w:p w14:paraId="4B174C6D" w14:textId="377F99F4" w:rsidR="00457015" w:rsidRDefault="002B31FD" w:rsidP="00E45249">
            <w:pPr>
              <w:pStyle w:val="Alishlah2authorcorrespondence"/>
            </w:pPr>
            <w:r w:rsidRPr="002B31FD">
              <w:t>F</w:t>
            </w:r>
            <w:r w:rsidR="008D2282">
              <w:t xml:space="preserve">adilla </w:t>
            </w:r>
            <w:proofErr w:type="spellStart"/>
            <w:r w:rsidR="008D2282">
              <w:t>Syahriani</w:t>
            </w:r>
            <w:proofErr w:type="spellEnd"/>
            <w:r w:rsidR="00457015" w:rsidRPr="00457015">
              <w:t xml:space="preserve"> </w:t>
            </w:r>
          </w:p>
          <w:p w14:paraId="57DBC405" w14:textId="12E38B42" w:rsidR="0048254D" w:rsidRPr="008D2282" w:rsidRDefault="008D2282" w:rsidP="008D2282">
            <w:pPr>
              <w:pStyle w:val="Alishlah16affiliation"/>
              <w:rPr>
                <w:color w:val="auto"/>
                <w:lang w:val="en-GB"/>
              </w:rPr>
            </w:pPr>
            <w:r>
              <w:rPr>
                <w:color w:val="auto"/>
                <w:lang w:val="en-GB"/>
              </w:rPr>
              <w:t>Universitas Negeri Padang</w:t>
            </w:r>
            <w:r w:rsidRPr="002B31FD">
              <w:rPr>
                <w:color w:val="auto"/>
                <w:lang w:val="en-GB"/>
              </w:rPr>
              <w:t xml:space="preserve">; </w:t>
            </w:r>
            <w:hyperlink r:id="rId10" w:history="1">
              <w:r w:rsidRPr="000112D0">
                <w:rPr>
                  <w:rStyle w:val="Hyperlink"/>
                  <w:lang w:val="en-GB"/>
                </w:rPr>
                <w:t>fadilasyahriani4631@gmail.com</w:t>
              </w:r>
            </w:hyperlink>
          </w:p>
        </w:tc>
      </w:tr>
    </w:tbl>
    <w:p w14:paraId="0294CD77" w14:textId="77777777" w:rsidR="00226872" w:rsidRDefault="00226872" w:rsidP="00226872">
      <w:pPr>
        <w:pStyle w:val="Alishlah21heading1"/>
        <w:numPr>
          <w:ilvl w:val="0"/>
          <w:numId w:val="0"/>
        </w:numPr>
        <w:ind w:left="426"/>
        <w:rPr>
          <w:lang w:val="en-GB"/>
        </w:rPr>
      </w:pPr>
    </w:p>
    <w:p w14:paraId="69EE04A2" w14:textId="413E000D" w:rsidR="008E64A2" w:rsidRPr="00A75CB1" w:rsidRDefault="0048254D" w:rsidP="00A10E86">
      <w:pPr>
        <w:pStyle w:val="Alishlah21heading1"/>
        <w:rPr>
          <w:lang w:val="en-GB"/>
        </w:rPr>
      </w:pPr>
      <w:r w:rsidRPr="00A75CB1">
        <w:rPr>
          <w:lang w:val="en-GB"/>
        </w:rPr>
        <w:t>INTRODUCTION</w:t>
      </w:r>
    </w:p>
    <w:p w14:paraId="02B00EF7" w14:textId="5454746B" w:rsidR="00A41F8C" w:rsidRPr="00A41F8C" w:rsidRDefault="00A41F8C" w:rsidP="00A82864">
      <w:pPr>
        <w:spacing w:after="0" w:line="240" w:lineRule="auto"/>
        <w:ind w:firstLine="425"/>
        <w:jc w:val="both"/>
        <w:rPr>
          <w:rFonts w:ascii="Palatino Linotype" w:hAnsi="Palatino Linotype" w:cstheme="majorBidi"/>
          <w:sz w:val="20"/>
          <w:szCs w:val="20"/>
          <w:lang w:val="en-US"/>
        </w:rPr>
      </w:pPr>
      <w:r w:rsidRPr="00A41F8C">
        <w:rPr>
          <w:rFonts w:ascii="Palatino Linotype" w:hAnsi="Palatino Linotype" w:cstheme="majorBidi"/>
          <w:sz w:val="20"/>
          <w:szCs w:val="20"/>
        </w:rPr>
        <w:t xml:space="preserve">MTSS </w:t>
      </w:r>
      <w:r w:rsidRPr="00A41F8C">
        <w:rPr>
          <w:rFonts w:ascii="Palatino Linotype" w:hAnsi="Palatino Linotype" w:cstheme="majorBidi"/>
          <w:sz w:val="20"/>
          <w:szCs w:val="20"/>
          <w:lang w:val="id-ID"/>
        </w:rPr>
        <w:t>Ashhabul Yamin is an educational institution that follows the 2013 Curriculum as a guideline for implementing learning activities. The 2013 Curriculum is a national curriculum introduced by the Ministry of Education and Culture of the Republic of Indonesia in 2013. Teachers are expected to train students to enhance high-order thinking skills, encouraging them to become critical learners. In the 21st century, teachers play the role of guides assisting students in constructing their knowledge and skills. Teachers need to strengthen students' intellectual interests, identification, problem-solving skills, and their ability to build knowledge collectively. Systematic teacher readiness is required to fulfill their duties.</w:t>
      </w:r>
      <w:r w:rsidR="00A82864">
        <w:rPr>
          <w:rFonts w:ascii="Palatino Linotype" w:hAnsi="Palatino Linotype" w:cstheme="majorBidi"/>
          <w:sz w:val="20"/>
          <w:szCs w:val="20"/>
          <w:lang w:val="en-US"/>
        </w:rPr>
        <w:t xml:space="preserve"> </w:t>
      </w:r>
      <w:r w:rsidRPr="00A41F8C">
        <w:rPr>
          <w:rFonts w:ascii="Palatino Linotype" w:hAnsi="Palatino Linotype" w:cstheme="majorBidi"/>
          <w:sz w:val="20"/>
          <w:szCs w:val="20"/>
          <w:lang w:val="id-ID"/>
        </w:rPr>
        <w:t>The goal of the 2013 Curriculum is to develop learners holistically, covering aspects of knowledge, skills, attitudes, and values needed for life in the continually evolving society. MTSS Ashhabul Yamin, as an institution implementing the 2013 Curriculum, acknowledges the importance of a learner-centered approach, activating students' roles in the learning process. In the eighth-grade Social Science learning, this approach is manifested through the use of various methods and learning models suitable for students' needs and characteristics. The Jigsaw learning model, emphasizing cooperation and interdependence among students in studying Social Science material, is chosen to enhance students' engagement and active participation in learning.</w:t>
      </w:r>
    </w:p>
    <w:p w14:paraId="67A2879F" w14:textId="4CB83972" w:rsidR="00A41F8C" w:rsidRPr="00A41F8C" w:rsidRDefault="00A41F8C" w:rsidP="00A82864">
      <w:pPr>
        <w:spacing w:after="0" w:line="240" w:lineRule="auto"/>
        <w:ind w:firstLine="425"/>
        <w:jc w:val="both"/>
        <w:rPr>
          <w:rFonts w:ascii="Palatino Linotype" w:hAnsi="Palatino Linotype" w:cstheme="majorBidi"/>
          <w:sz w:val="20"/>
          <w:szCs w:val="20"/>
          <w:lang w:val="en-US"/>
        </w:rPr>
      </w:pPr>
      <w:r w:rsidRPr="00A41F8C">
        <w:rPr>
          <w:rFonts w:ascii="Palatino Linotype" w:hAnsi="Palatino Linotype" w:cstheme="majorBidi"/>
          <w:sz w:val="20"/>
          <w:szCs w:val="20"/>
          <w:lang w:val="id-ID"/>
        </w:rPr>
        <w:t>In eighth-grade Social Science learning, it is crucial to adopt teaching methods and models that align with students' needs and characteristics. One applicable learning model is the Jigsaw model, emphasizing cooperation and interdependence among students in studying Social Science material. Students work in small groups with different roles and responsibilities, depending on each other to understand and convey information to other group members. The selection of the Jigsaw learning model at MTSS Ashhabul Yamin for eighth-grade S</w:t>
      </w:r>
      <w:proofErr w:type="spellStart"/>
      <w:r w:rsidRPr="00A41F8C">
        <w:rPr>
          <w:rFonts w:ascii="Palatino Linotype" w:hAnsi="Palatino Linotype" w:cstheme="majorBidi"/>
          <w:sz w:val="20"/>
          <w:szCs w:val="20"/>
          <w:lang w:val="en-US"/>
        </w:rPr>
        <w:t>ocial</w:t>
      </w:r>
      <w:proofErr w:type="spellEnd"/>
      <w:r w:rsidRPr="00A41F8C">
        <w:rPr>
          <w:rFonts w:ascii="Palatino Linotype" w:hAnsi="Palatino Linotype" w:cstheme="majorBidi"/>
          <w:sz w:val="20"/>
          <w:szCs w:val="20"/>
          <w:lang w:val="id-ID"/>
        </w:rPr>
        <w:t xml:space="preserve"> S</w:t>
      </w:r>
      <w:proofErr w:type="spellStart"/>
      <w:r w:rsidRPr="00A41F8C">
        <w:rPr>
          <w:rFonts w:ascii="Palatino Linotype" w:hAnsi="Palatino Linotype" w:cstheme="majorBidi"/>
          <w:sz w:val="20"/>
          <w:szCs w:val="20"/>
          <w:lang w:val="en-US"/>
        </w:rPr>
        <w:t>ceience</w:t>
      </w:r>
      <w:proofErr w:type="spellEnd"/>
      <w:r w:rsidRPr="00A41F8C">
        <w:rPr>
          <w:rFonts w:ascii="Palatino Linotype" w:hAnsi="Palatino Linotype" w:cstheme="majorBidi"/>
          <w:sz w:val="20"/>
          <w:szCs w:val="20"/>
          <w:lang w:val="id-ID"/>
        </w:rPr>
        <w:t xml:space="preserve"> learning is based on the effort to enhance student engagement and active participation in the learning process.</w:t>
      </w:r>
      <w:r w:rsidR="00A82864">
        <w:rPr>
          <w:rFonts w:ascii="Palatino Linotype" w:hAnsi="Palatino Linotype" w:cstheme="majorBidi"/>
          <w:sz w:val="20"/>
          <w:szCs w:val="20"/>
          <w:lang w:val="en-US"/>
        </w:rPr>
        <w:t xml:space="preserve"> </w:t>
      </w:r>
      <w:r w:rsidRPr="00A41F8C">
        <w:rPr>
          <w:rFonts w:ascii="Palatino Linotype" w:hAnsi="Palatino Linotype" w:cstheme="majorBidi"/>
          <w:sz w:val="20"/>
          <w:szCs w:val="20"/>
          <w:lang w:val="id-ID"/>
        </w:rPr>
        <w:t>In the 2013 Curriculum Social Science learning in eighth grade plays a significant role in equipping learners with an understanding of various social, economic, and political aspects of daily life</w:t>
      </w:r>
      <w:r w:rsidR="00B11C1B">
        <w:rPr>
          <w:rFonts w:ascii="Palatino Linotype" w:hAnsi="Palatino Linotype" w:cstheme="majorBidi"/>
          <w:sz w:val="20"/>
          <w:szCs w:val="20"/>
          <w:lang w:val="id-ID"/>
        </w:rPr>
        <w:t xml:space="preserve">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{"citationID":"CQ8RUBg1","properties":{"formattedCitation":"(Ubaidillah et al., 2023)","plainCitation":"(Ubaidillah et al., 2023)","noteIndex":0},"citationItems":[{"id":"hiqTCfwy/bUUWD62f","uris":["http://zotero.org/users/local/Pjdjlz4D/items/GBVAFXUB"],"itemData":{"id":1178,"type":"article-journal","abstract":"Problem-solving and decision-making skills are essential for individuals across various fields. These skills emphasize the importance of preparing a generation capable of solving problems and making informed decisions. Therefore, this study aimed to learn the publication trends related to problem-solving and decision-making skills for ESD (Education for Sustainable Development) from 2013 to 2022 through Bibliometric analysis. In line with the analysis, a VOSviewer software was used to graphically analyze the obtained bibliographic data. A total of 1519 documents were also analytically acquired from the Scopus database. The results showed a fluctuating trend in the number of publications, with the Journal of Chemical Education and Social Sciences being the highest contributor and the most prevalent field of study at 147 and 689 documents, respectively. The United States was also ranked first in the documents emphasizing problem-solving and decision-making skills, at 512 documents. Moreover, the University of Toronto was the most prolific affiliation, contributing the most publications at 17 documents. The representatives from Indonesia were also grouped into two institutions in the global top twenty affiliates, namely (1) the Indonesian University of Education and (2) the State University of Malang. In line with the results, 159 study experts from Indonesia contributed to the analyzed theme, as the top author originated from the United States having 7 documents. The top document excerpts were also published 240 times in the journal Expert Systems with Applications. The trend of the study visualization subsequently produced 9 clusters, problem-solving and decision-making skills, human, psychology, clinical competencies, education, curriculum, support systems, creativity, and content analysis. These results were helpful to relevant experts, regarding the analytical trend in problem-solving and decision-making skills, recommending directions for future analyses.","container-title":"International Journal of Cognitive Research in Science, Engineering and Education (IJCRSEE)","DOI":"10.23947/2334-8496-2023-11-3-401-415","ISSN":"2334-8496","issue":"3","journalAbbreviation":"IJCRSEE","page":"401-415","source":"DOI.org (Crossref)","title":"Problem Solving and Decision-Making Skills for ESD: A Bibliometric Analysis","title-short":"Problem Solving and Decision-Making Skills for ESD","volume":"11","author":[{"family":"Ubaidillah","given":"Mujib"},{"family":"Marwoto","given":"Putut"},{"family":"Wiyanto","given":"Wiyanto"},{"family":"Subali","given":"Bambang"}],"issued":{"date-parts":[["2023",12,20]]}}}],"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rPr>
        <w:t>(</w:t>
      </w:r>
      <w:proofErr w:type="spellStart"/>
      <w:r w:rsidRPr="00A41F8C">
        <w:rPr>
          <w:rFonts w:ascii="Palatino Linotype" w:hAnsi="Palatino Linotype"/>
          <w:sz w:val="20"/>
          <w:szCs w:val="20"/>
        </w:rPr>
        <w:t>Ubaidillah</w:t>
      </w:r>
      <w:proofErr w:type="spellEnd"/>
      <w:r w:rsidRPr="00A41F8C">
        <w:rPr>
          <w:rFonts w:ascii="Palatino Linotype" w:hAnsi="Palatino Linotype"/>
          <w:sz w:val="20"/>
          <w:szCs w:val="20"/>
        </w:rPr>
        <w:t xml:space="preserve"> et al., 2023)</w:t>
      </w:r>
      <w:r w:rsidRPr="00A41F8C">
        <w:rPr>
          <w:rFonts w:ascii="Palatino Linotype" w:hAnsi="Palatino Linotype" w:cstheme="majorBidi"/>
          <w:sz w:val="20"/>
          <w:szCs w:val="20"/>
          <w:lang w:val="id-ID"/>
        </w:rPr>
        <w:fldChar w:fldCharType="end"/>
      </w:r>
      <w:r w:rsidR="00B11C1B">
        <w:rPr>
          <w:rFonts w:ascii="Palatino Linotype" w:hAnsi="Palatino Linotype" w:cstheme="majorBidi"/>
          <w:sz w:val="20"/>
          <w:szCs w:val="20"/>
          <w:lang w:val="id-ID"/>
        </w:rPr>
        <w:t>.</w:t>
      </w:r>
      <w:r w:rsidRPr="00A41F8C">
        <w:rPr>
          <w:rFonts w:ascii="Palatino Linotype" w:hAnsi="Palatino Linotype" w:cstheme="majorBidi"/>
          <w:sz w:val="20"/>
          <w:szCs w:val="20"/>
          <w:lang w:val="id-ID"/>
        </w:rPr>
        <w:t xml:space="preserve"> Through the 2013 Curriculum, Social Science learning at MTSS Ashhabul Yamin aims to provide a comprehensive understanding of society, culture, geography, history, and relevant global issues. By adopting the 2013 Curriculum, MTSS Ashhabul Yamin is committed to providing education in line with national standards and keeping up with the latest developments in the education sector. The use of the 2013 Curriculum provides a clear framework for teachers and students to plan, implement, and evaluate the eighth-grade S</w:t>
      </w:r>
      <w:proofErr w:type="spellStart"/>
      <w:r w:rsidRPr="00A41F8C">
        <w:rPr>
          <w:rFonts w:ascii="Palatino Linotype" w:hAnsi="Palatino Linotype" w:cstheme="majorBidi"/>
          <w:sz w:val="20"/>
          <w:szCs w:val="20"/>
          <w:lang w:val="en-US"/>
        </w:rPr>
        <w:t>cience</w:t>
      </w:r>
      <w:proofErr w:type="spellEnd"/>
      <w:r w:rsidRPr="00A41F8C">
        <w:rPr>
          <w:rFonts w:ascii="Palatino Linotype" w:hAnsi="Palatino Linotype" w:cstheme="majorBidi"/>
          <w:sz w:val="20"/>
          <w:szCs w:val="20"/>
          <w:lang w:val="id-ID"/>
        </w:rPr>
        <w:t xml:space="preserve"> S</w:t>
      </w:r>
      <w:proofErr w:type="spellStart"/>
      <w:r w:rsidRPr="00A41F8C">
        <w:rPr>
          <w:rFonts w:ascii="Palatino Linotype" w:hAnsi="Palatino Linotype" w:cstheme="majorBidi"/>
          <w:sz w:val="20"/>
          <w:szCs w:val="20"/>
          <w:lang w:val="en-US"/>
        </w:rPr>
        <w:t>cience</w:t>
      </w:r>
      <w:proofErr w:type="spellEnd"/>
      <w:r w:rsidRPr="00A41F8C">
        <w:rPr>
          <w:rFonts w:ascii="Palatino Linotype" w:hAnsi="Palatino Linotype" w:cstheme="majorBidi"/>
          <w:sz w:val="20"/>
          <w:szCs w:val="20"/>
          <w:lang w:val="id-ID"/>
        </w:rPr>
        <w:t xml:space="preserve"> learning process, with the expectation of improving students' learning outcomes and high-order thinking skills (HOTS).</w:t>
      </w:r>
    </w:p>
    <w:p w14:paraId="21D3251D" w14:textId="10BF95FF" w:rsidR="00A82864" w:rsidRDefault="00A41F8C" w:rsidP="00A82864">
      <w:pPr>
        <w:spacing w:after="0" w:line="240" w:lineRule="auto"/>
        <w:ind w:firstLine="425"/>
        <w:jc w:val="both"/>
        <w:rPr>
          <w:rFonts w:ascii="Palatino Linotype" w:hAnsi="Palatino Linotype" w:cstheme="majorBidi"/>
          <w:sz w:val="20"/>
          <w:szCs w:val="20"/>
          <w:lang w:val="id-ID"/>
        </w:rPr>
      </w:pPr>
      <w:r w:rsidRPr="00A41F8C">
        <w:rPr>
          <w:rFonts w:ascii="Palatino Linotype" w:hAnsi="Palatino Linotype" w:cstheme="majorBidi"/>
          <w:sz w:val="20"/>
          <w:szCs w:val="20"/>
          <w:lang w:val="id-ID"/>
        </w:rPr>
        <w:t>Social Science learning plays a crucial role in providing learners with an understanding of social, economic, and political aspects of daily life. The 2013 Curriculum aims to provide a comprehensive understanding of society, culture, geography, history, and relevant global issues</w:t>
      </w:r>
      <w:r w:rsidR="00B11C1B">
        <w:rPr>
          <w:rFonts w:ascii="Palatino Linotype" w:hAnsi="Palatino Linotype" w:cstheme="majorBidi"/>
          <w:sz w:val="20"/>
          <w:szCs w:val="20"/>
          <w:lang w:val="id-ID"/>
        </w:rPr>
        <w:t xml:space="preserve">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{"citationID":"M1oDcwbT","properties":{"formattedCitation":"(Widiyatmoko &amp; Shimizu, 2018)","plainCitation":"(Widiyatmoko &amp; Shimizu, 2018)","noteIndex":0},"citationItems":[{"id":"hiqTCfwy/YlWGTC6K","uris":["http://zotero.org/users/local/Pjdjlz4D/items/T444IDRF"],"itemData":{"id":1179,"type":"article-journal","container-title":"Journal of Physics: Conference Series","DOI":"10.1088/1742-6596/983/1/012044","ISSN":"1742-6588, 1742-6596","journalAbbreviation":"J. Phys.: Conf. Ser.","page":"012044","source":"DOI.org (Crossref)","title":"An overview of conceptual understanding in science education curriculum in Indonesia","volume":"983","author":[{"family":"Widiyatmoko","given":"A"},{"family":"Shimizu","given":"K"}],"issued":{"date-parts":[["2018",3]]}}}],"schema":"https://github.com/citation-style-language/schema/raw/master/csl-citation.json"}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rPr>
        <w:t>(</w:t>
      </w:r>
      <w:proofErr w:type="spellStart"/>
      <w:r w:rsidRPr="00A41F8C">
        <w:rPr>
          <w:rFonts w:ascii="Palatino Linotype" w:hAnsi="Palatino Linotype"/>
          <w:sz w:val="20"/>
          <w:szCs w:val="20"/>
        </w:rPr>
        <w:t>Widiyatmoko</w:t>
      </w:r>
      <w:proofErr w:type="spellEnd"/>
      <w:r w:rsidRPr="00A41F8C">
        <w:rPr>
          <w:rFonts w:ascii="Palatino Linotype" w:hAnsi="Palatino Linotype"/>
          <w:sz w:val="20"/>
          <w:szCs w:val="20"/>
        </w:rPr>
        <w:t xml:space="preserve"> &amp; Shimizu, 2018)</w:t>
      </w:r>
      <w:r w:rsidRPr="00A41F8C">
        <w:rPr>
          <w:rFonts w:ascii="Palatino Linotype" w:hAnsi="Palatino Linotype" w:cstheme="majorBidi"/>
          <w:sz w:val="20"/>
          <w:szCs w:val="20"/>
          <w:lang w:val="id-ID"/>
        </w:rPr>
        <w:fldChar w:fldCharType="end"/>
      </w:r>
      <w:r w:rsidR="00B11C1B">
        <w:rPr>
          <w:rFonts w:ascii="Palatino Linotype" w:hAnsi="Palatino Linotype" w:cstheme="majorBidi"/>
          <w:sz w:val="20"/>
          <w:szCs w:val="20"/>
          <w:lang w:val="id-ID"/>
        </w:rPr>
        <w:t>.</w:t>
      </w:r>
      <w:r w:rsidRPr="00A41F8C">
        <w:rPr>
          <w:rFonts w:ascii="Palatino Linotype" w:hAnsi="Palatino Linotype" w:cstheme="majorBidi"/>
          <w:sz w:val="20"/>
          <w:szCs w:val="20"/>
          <w:lang w:val="id-ID"/>
        </w:rPr>
        <w:t xml:space="preserve"> MTSS Ashhabul Yamin is committed to providing education in line with national standards and keeping up with the latest developments in the education sector by adopting the 2013 Curriculum. The use of the 2013 Curriculum provides a clear framework for teachers and students to plan, implement, and evaluate the eighth-grade Social Science learning process to enhance understanding and students' learning outcomes.</w:t>
      </w:r>
      <w:r w:rsidR="00A82864">
        <w:rPr>
          <w:rFonts w:ascii="Palatino Linotype" w:hAnsi="Palatino Linotype" w:cstheme="majorBidi"/>
          <w:sz w:val="20"/>
          <w:szCs w:val="20"/>
          <w:lang w:val="en-US"/>
        </w:rPr>
        <w:t xml:space="preserve"> </w:t>
      </w:r>
      <w:r w:rsidRPr="00A41F8C">
        <w:rPr>
          <w:rFonts w:ascii="Palatino Linotype" w:hAnsi="Palatino Linotype" w:cstheme="majorBidi"/>
          <w:sz w:val="20"/>
          <w:szCs w:val="20"/>
          <w:lang w:val="id-ID"/>
        </w:rPr>
        <w:t>The implementation of the 2013 Curriculum trains students to enhance high-order thinking skills (HOTS)</w:t>
      </w:r>
      <w:r w:rsidR="00B11C1B">
        <w:rPr>
          <w:rFonts w:ascii="Palatino Linotype" w:hAnsi="Palatino Linotype" w:cstheme="majorBidi"/>
          <w:sz w:val="20"/>
          <w:szCs w:val="20"/>
          <w:lang w:val="id-ID"/>
        </w:rPr>
        <w:t xml:space="preserve">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{"citationID":"Ny1VzJNc","properties":{"formattedCitation":"(Wahono et al., 2020)","plainCitation":"(Wahono et al., 2020)","noteIndex":0},"citationItems":[{"id":"hiqTCfwy/JJ2h41k0","uris":["http://zotero.org/users/local/Pjdjlz4D/items/ZBV6CLPL"],"itemData":{"id":1134,"type":"article-journal","abstract":"Abstract\n            This study used a systematic review and meta-analysis as a method to investigate whether STEM enactment in Asia effectively enhances students’ learning outcomes. Verifiable examples of science, technology, engineering, and mathematics (STEM) education, effectively being applied in Asia, are presented in this study. The study involved 4768 students from 54 studies. Learning outcomes focused on the students’ academic learning achievement, higher-order thinking skills (HOTS), and motivation. The analysis results of effect sizes showed that the STEM enactments in Asia were effective at a moderate level (0.69 [0.58, 0.81 of 95% CI]) of improving students’ learning outcomes. Sequentially, the effectiveness of STEM enactment starts from students’ higher-order thinking skills, moves to students’ academic learning achievement, and ends with the motivation. In addition, STEM enactments in Asia were carried out with several variations where STEM integrated with project-based learning was preferred. The recommendations of this study include a combination of the learning approach, learning orientation, and duration of instruction, all of which contribute to the STEM enactment effectiveness and maximize results in STEM education. Some practical implications, such as the central role of the teacher during the STEM enactment, are extensively discussed. This study supports that STEM education is a universally crucial tool which effectively prepares students from various national and cultural backgrounds, across Asia, toward improved learning outcomes.","container-title":"International Journal of STEM Education","DOI":"10.1186/s40594-020-00236-1","ISSN":"2196-7822","issue":"1","journalAbbreviation":"IJ STEM Ed","language":"en","page":"36","source":"DOI.org (Crossref)","title":"Evidence of STEM enactment effectiveness in Asian student learning outcomes","volume":"7","author":[{"family":"Wahono","given":"Bevo"},{"family":"Lin","given":"Pei-Ling"},{"family":"Chang","given":"Chun-Yen"}],"issued":{"date-parts":[["2020",12]]}}}],"schema":"https://github.com/citation-style-language/schema/raw/master/csl-citation.json"}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rPr>
        <w:t>(Wahono et al., 2020)</w:t>
      </w:r>
      <w:r w:rsidRPr="00A41F8C">
        <w:rPr>
          <w:rFonts w:ascii="Palatino Linotype" w:hAnsi="Palatino Linotype" w:cstheme="majorBidi"/>
          <w:sz w:val="20"/>
          <w:szCs w:val="20"/>
          <w:lang w:val="id-ID"/>
        </w:rPr>
        <w:fldChar w:fldCharType="end"/>
      </w:r>
      <w:r w:rsidR="00B11C1B">
        <w:rPr>
          <w:rFonts w:ascii="Palatino Linotype" w:hAnsi="Palatino Linotype" w:cstheme="majorBidi"/>
          <w:sz w:val="20"/>
          <w:szCs w:val="20"/>
          <w:lang w:val="id-ID"/>
        </w:rPr>
        <w:t>.</w:t>
      </w:r>
      <w:r w:rsidRPr="00A41F8C">
        <w:rPr>
          <w:rFonts w:ascii="Palatino Linotype" w:hAnsi="Palatino Linotype" w:cstheme="majorBidi"/>
          <w:sz w:val="20"/>
          <w:szCs w:val="20"/>
          <w:lang w:val="id-ID"/>
        </w:rPr>
        <w:t xml:space="preserve"> Learning activities in the </w:t>
      </w:r>
      <w:r w:rsidRPr="00A41F8C">
        <w:rPr>
          <w:rFonts w:ascii="Palatino Linotype" w:hAnsi="Palatino Linotype" w:cstheme="majorBidi"/>
          <w:sz w:val="20"/>
          <w:szCs w:val="20"/>
          <w:lang w:val="id-ID"/>
        </w:rPr>
        <w:lastRenderedPageBreak/>
        <w:t>2013 Curriculum play a crucial role in developing students' thinking skills. During the learning process, students' thinking skills can be developed through meaningful experiences involving decision-making and problem-solving, which includes analysis, evaluation, and creation. Teachers are expected to train students to enhance high-order thinking skills, encouraging them to become critical learners. In this context, learning activities will be designed to make students actively connect the concepts they learn by linking the taught learning material to real-world situations in their environment.</w:t>
      </w:r>
      <w:r w:rsidR="00A82864">
        <w:rPr>
          <w:rFonts w:ascii="Palatino Linotype" w:hAnsi="Palatino Linotype" w:cstheme="majorBidi"/>
          <w:sz w:val="20"/>
          <w:szCs w:val="20"/>
          <w:lang w:val="en-US"/>
        </w:rPr>
        <w:t xml:space="preserve"> </w:t>
      </w:r>
      <w:r w:rsidRPr="00A41F8C">
        <w:rPr>
          <w:rFonts w:ascii="Palatino Linotype" w:hAnsi="Palatino Linotype" w:cstheme="majorBidi"/>
          <w:sz w:val="20"/>
          <w:szCs w:val="20"/>
          <w:lang w:val="id-ID"/>
        </w:rPr>
        <w:t xml:space="preserve">In this context, the presence of teachers with creativity is necessary to create engaging and enjoyable learning for students. Planning and creating a classroom atmosphere using the right teaching model is crucial so that students have the opportunity to interact with each other, ultimately leading to optimal learning outcomes. </w:t>
      </w:r>
    </w:p>
    <w:p w14:paraId="77C011A1" w14:textId="7EE5F4AA" w:rsidR="00A41F8C" w:rsidRPr="00A41F8C" w:rsidRDefault="00A41F8C" w:rsidP="00A82864">
      <w:pPr>
        <w:spacing w:after="0" w:line="240" w:lineRule="auto"/>
        <w:ind w:firstLine="425"/>
        <w:jc w:val="both"/>
        <w:rPr>
          <w:rFonts w:ascii="Palatino Linotype" w:hAnsi="Palatino Linotype" w:cstheme="majorBidi"/>
          <w:sz w:val="20"/>
          <w:szCs w:val="20"/>
          <w:lang w:val="en-US"/>
        </w:rPr>
      </w:pPr>
      <w:r w:rsidRPr="00A41F8C">
        <w:rPr>
          <w:rFonts w:ascii="Palatino Linotype" w:hAnsi="Palatino Linotype" w:cstheme="majorBidi"/>
          <w:sz w:val="20"/>
          <w:szCs w:val="20"/>
          <w:lang w:val="id-ID"/>
        </w:rPr>
        <w:t>Cooperative learning is a method to teach students in the context of everyday life and provide relevant training. Cooperative learning, also known as Cooperative Learning, can be explained as a group learning activity that is directed, integrated, effective, and efficient, aiming to explore or investigate something through collaboration and mutual assistance, thus achieving productive learning processes and outcomes</w:t>
      </w:r>
      <w:r w:rsidRPr="00A41F8C">
        <w:rPr>
          <w:rFonts w:ascii="Palatino Linotype" w:hAnsi="Palatino Linotype" w:cstheme="majorBidi"/>
          <w:sz w:val="20"/>
          <w:szCs w:val="20"/>
          <w:lang w:val="en-US"/>
        </w:rPr>
        <w:t>.</w:t>
      </w:r>
      <w:r w:rsidR="00A82864">
        <w:rPr>
          <w:rFonts w:ascii="Palatino Linotype" w:hAnsi="Palatino Linotype" w:cstheme="majorBidi"/>
          <w:sz w:val="20"/>
          <w:szCs w:val="20"/>
          <w:lang w:val="en-US"/>
        </w:rPr>
        <w:t xml:space="preserve"> </w:t>
      </w:r>
      <w:r w:rsidRPr="00A41F8C">
        <w:rPr>
          <w:rFonts w:ascii="Palatino Linotype" w:hAnsi="Palatino Linotype" w:cstheme="majorBidi"/>
          <w:sz w:val="20"/>
          <w:szCs w:val="20"/>
          <w:lang w:val="id-ID"/>
        </w:rPr>
        <w:t>In addition to academic aspects, Social Sciencelearning also aims to develop students' understanding of social, political, and economic issues</w:t>
      </w:r>
      <w:r w:rsidR="00B11C1B">
        <w:rPr>
          <w:rFonts w:ascii="Palatino Linotype" w:hAnsi="Palatino Linotype" w:cstheme="majorBidi"/>
          <w:sz w:val="20"/>
          <w:szCs w:val="20"/>
          <w:lang w:val="id-ID"/>
        </w:rPr>
        <w:t xml:space="preserve">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{"citationID":"jValNyav","properties":{"formattedCitation":"(Dharmawan et al., 2022)","plainCitation":"(Dharmawan et al., 2022)","noteIndex":0},"citationItems":[{"id":"hiqTCfwy/YDaWLBmC","uris":["http://zotero.org/users/local/Pjdjlz4D/items/BU99AICB"],"itemData":{"id":889,"type":"article-journal","abstract":"In the Law on the National Education System, Government Regulations, and the Strategic Plan of the Directorate General of Secondary Education (Renstra Dirjen Dikmen) 2010-2014, it is explained that education does not only form intelligent Indonesian people, but also has personality/character (cognitive aspects, affective, and psychomotor) must be met. Strengthening the character of students from an early age will make students not only smart, but also tough and have a good attitude as the capital of life. The good and strong character of students will form a strong character and national identity so that they can compete on the global stage. Demoralization problems such as the tradition of Punk children who are far from religious norms, promiscuity, free sex and acts that deviate from religious morals are part of the lives of today's teenagers. With some of these problems, there needs to be a rescue effort in order to save the morality of teenagers, especially students who are still studying in high school / vocational school. This study aims to determine: 1) the concept of character education development, 2) character values developed, and 3) the implementation of character education development in learning activities at SMKN Bandung. The philosophical foundation used is the philosophy of constructivism education. The theoretical basis used is the management theory of George R. Terry. This study uses a qualitative research method with a case study design. Data was collected by means of in-depth interviews, participant observation and documentation. After the data is obtained then it is organized, interpreted, analyzed and then concluded. The findings in this study are: 1) the concept of national spirit character education is carried out by involving at least three main elements of education, namely: a) the existence of educational support devices which include policies, guidelines, resources, environment, facilities and infrastructure, togetherness and commitment of stakeholders. b) the intervention of the values of the character of the national spirit into the three components of education in schools which include the learning process, management, and extracurricular activities. c) there is a culture of character education in schools. 2) The values of the character of the national spirit developed at SMKN Bandung include nationalist values and respect for diversity. 3) The implementation of national character education is carried out by incorporating the values of national character into the syllabus and learning device plans. Then the syllabus and lesson plans based on Islamic and national character are implemented in the classroom learning process using the CTL (Contectual Teaching ang Learning) principle, and through extracurricular activities.","container-title":"International Journal of Educational Research &amp; Social Sciences","DOI":"10.51601/ijersc.v3i1.271","ISSN":"2774-5406","issue":"1","journalAbbreviation":"IJERSC","page":"351-359","source":"DOI.org (Crossref)","title":"Management Of Character Education Strengthening Program In Building The National Soul Of Vocational School Students In Bandung City (Case Study at SMKN 9 and SMKN 13 Bandung)","volume":"3","author":[{"family":"Dharmawan","given":"Dedy"},{"family":"Trisnamansyah","given":"Sutaryat"},{"family":"Mulyasana","given":"Dedi"},{"family":"Fiah","given":"Hana"}],"issued":{"date-parts":[["2022",2,20]]}}}],"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rPr>
        <w:t>(</w:t>
      </w:r>
      <w:proofErr w:type="spellStart"/>
      <w:r w:rsidRPr="00A41F8C">
        <w:rPr>
          <w:rFonts w:ascii="Palatino Linotype" w:hAnsi="Palatino Linotype"/>
          <w:sz w:val="20"/>
          <w:szCs w:val="20"/>
        </w:rPr>
        <w:t>Dharmawan</w:t>
      </w:r>
      <w:proofErr w:type="spellEnd"/>
      <w:r w:rsidRPr="00A41F8C">
        <w:rPr>
          <w:rFonts w:ascii="Palatino Linotype" w:hAnsi="Palatino Linotype"/>
          <w:sz w:val="20"/>
          <w:szCs w:val="20"/>
        </w:rPr>
        <w:t xml:space="preserve"> et al., 2022)</w:t>
      </w:r>
      <w:r w:rsidRPr="00A41F8C">
        <w:rPr>
          <w:rFonts w:ascii="Palatino Linotype" w:hAnsi="Palatino Linotype" w:cstheme="majorBidi"/>
          <w:sz w:val="20"/>
          <w:szCs w:val="20"/>
          <w:lang w:val="id-ID"/>
        </w:rPr>
        <w:fldChar w:fldCharType="end"/>
      </w:r>
      <w:r w:rsidR="00B11C1B">
        <w:rPr>
          <w:rFonts w:ascii="Palatino Linotype" w:hAnsi="Palatino Linotype" w:cstheme="majorBidi"/>
          <w:sz w:val="20"/>
          <w:szCs w:val="20"/>
          <w:lang w:val="id-ID"/>
        </w:rPr>
        <w:t>.</w:t>
      </w:r>
      <w:r w:rsidRPr="00A41F8C">
        <w:rPr>
          <w:rFonts w:ascii="Palatino Linotype" w:hAnsi="Palatino Linotype" w:cstheme="majorBidi"/>
          <w:sz w:val="20"/>
          <w:szCs w:val="20"/>
          <w:lang w:val="id-ID"/>
        </w:rPr>
        <w:t xml:space="preserve"> The Jigsaw learning model, with its emphasis on collaboration and mutual teaching among students, can help enhance their understanding of complex Social Science content and broaden their insights into social realities around them</w:t>
      </w:r>
      <w:r w:rsidR="00081C72">
        <w:rPr>
          <w:rFonts w:ascii="Palatino Linotype" w:hAnsi="Palatino Linotype" w:cstheme="majorBidi"/>
          <w:sz w:val="20"/>
          <w:szCs w:val="20"/>
          <w:lang w:val="id-ID"/>
        </w:rPr>
        <w:t xml:space="preserve"> </w:t>
      </w:r>
      <w:r w:rsidR="00081C72">
        <w:rPr>
          <w:rFonts w:ascii="Palatino Linotype" w:hAnsi="Palatino Linotype" w:cstheme="majorBidi"/>
          <w:sz w:val="20"/>
          <w:szCs w:val="20"/>
          <w:lang w:val="id-ID"/>
        </w:rPr>
        <w:fldChar w:fldCharType="begin"/>
      </w:r>
      <w:r w:rsidR="00081C72">
        <w:rPr>
          <w:rFonts w:ascii="Palatino Linotype" w:hAnsi="Palatino Linotype" w:cstheme="majorBidi"/>
          <w:sz w:val="20"/>
          <w:szCs w:val="20"/>
          <w:lang w:val="id-ID"/>
        </w:rPr>
        <w:instrText xml:space="preserve"> ADDIN ZOTERO_ITEM CSL_CITATION {"citationID":"M4MW0qs5","properties":{"formattedCitation":"(Klerkx et al., 2019)","plainCitation":"(Klerkx et al., 2019)","noteIndex":0},"citationItems":[{"id":797,"uris":["http://zotero.org/users/local/Wqqix2jN/items/MZYN6K6M"],"itemData":{"id":797,"type":"article-journal","container-title":"NJAS: Wageningen Journal of Life Sciences","DOI":"10.1016/j.njas.2019.100315","ISSN":"1573-5214, 2212-1307","issue":"1","journalAbbreviation":"NJAS: Wageningen Journal of Life Sciences","language":"en","page":"1-16","source":"DOI.org (Crossref)","title":"A review of social science on digital agriculture, smart farming and agriculture 4.0: New contributions and a future research agenda","title-short":"A review of social science on digital agriculture, smart farming and agriculture 4.0","volume":"90-91","author":[{"family":"Klerkx","given":"Laurens"},{"family":"Jakku","given":"Emma"},{"family":"Labarthe","given":"Pierre"}],"issued":{"date-parts":[["2019",12,1]]}}}],"schema":"https://github.com/citation-style-language/schema/raw/master/csl-citation.json"} </w:instrText>
      </w:r>
      <w:r w:rsidR="00081C72">
        <w:rPr>
          <w:rFonts w:ascii="Palatino Linotype" w:hAnsi="Palatino Linotype" w:cstheme="majorBidi"/>
          <w:sz w:val="20"/>
          <w:szCs w:val="20"/>
          <w:lang w:val="id-ID"/>
        </w:rPr>
        <w:fldChar w:fldCharType="separate"/>
      </w:r>
      <w:r w:rsidR="00081C72" w:rsidRPr="00081C72">
        <w:rPr>
          <w:rFonts w:ascii="Palatino Linotype" w:hAnsi="Palatino Linotype"/>
          <w:sz w:val="20"/>
        </w:rPr>
        <w:t>(Klerkx et al., 2019)</w:t>
      </w:r>
      <w:r w:rsidR="00081C72">
        <w:rPr>
          <w:rFonts w:ascii="Palatino Linotype" w:hAnsi="Palatino Linotype" w:cstheme="majorBidi"/>
          <w:sz w:val="20"/>
          <w:szCs w:val="20"/>
          <w:lang w:val="id-ID"/>
        </w:rPr>
        <w:fldChar w:fldCharType="end"/>
      </w:r>
      <w:r w:rsidRPr="00A41F8C">
        <w:rPr>
          <w:rFonts w:ascii="Palatino Linotype" w:hAnsi="Palatino Linotype" w:cstheme="majorBidi"/>
          <w:sz w:val="20"/>
          <w:szCs w:val="20"/>
          <w:lang w:val="id-ID"/>
        </w:rPr>
        <w:t>. On the other hand, conventional learning may tend to provide shallow and limited understanding of theoretical aspects without expanding students' perspectives on real-world issues. MTSS Ashhabul Yamin Lasi, as an educational institution, aims to create an inclusive learning environment that empowers students. In this context, selecting the appropriate teaching model can promote the inclusion and active participation of all students, regardless of their social background or abilities.</w:t>
      </w:r>
    </w:p>
    <w:p w14:paraId="1E7157F5" w14:textId="1E4DF97B" w:rsidR="00A41F8C" w:rsidRPr="00A41F8C" w:rsidRDefault="00A41F8C" w:rsidP="00A82864">
      <w:pPr>
        <w:spacing w:after="0" w:line="240" w:lineRule="auto"/>
        <w:ind w:firstLine="425"/>
        <w:jc w:val="both"/>
        <w:rPr>
          <w:rFonts w:ascii="Palatino Linotype" w:hAnsi="Palatino Linotype" w:cstheme="majorBidi"/>
          <w:sz w:val="20"/>
          <w:szCs w:val="20"/>
          <w:lang w:val="id-ID"/>
        </w:rPr>
      </w:pPr>
      <w:r w:rsidRPr="00A41F8C">
        <w:rPr>
          <w:rFonts w:ascii="Palatino Linotype" w:hAnsi="Palatino Linotype" w:cstheme="majorBidi"/>
          <w:sz w:val="20"/>
          <w:szCs w:val="20"/>
          <w:lang w:val="id-ID"/>
        </w:rPr>
        <w:t>The Jigsaw learning model, with its emphasis on collaboration and mutual understanding, can create an inclusive environment and provide opportunities for each student to contribute to learnin</w:t>
      </w:r>
      <w:r w:rsidRPr="00A41F8C">
        <w:rPr>
          <w:rFonts w:ascii="Palatino Linotype" w:hAnsi="Palatino Linotype" w:cstheme="majorBidi"/>
          <w:sz w:val="20"/>
          <w:szCs w:val="20"/>
          <w:lang w:val="en-US"/>
        </w:rPr>
        <w:t>g</w:t>
      </w:r>
      <w:r w:rsidR="00B11C1B">
        <w:rPr>
          <w:rFonts w:ascii="Palatino Linotype" w:hAnsi="Palatino Linotype" w:cstheme="majorBidi"/>
          <w:sz w:val="20"/>
          <w:szCs w:val="20"/>
          <w:lang w:val="id-ID"/>
        </w:rPr>
        <w:t xml:space="preserve">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{"citationID":"MNf0xa4a","properties":{"formattedCitation":"(Shammout, 2020)","plainCitation":"(Shammout, 2020)","noteIndex":0},"citationItems":[{"id":"hiqTCfwy/yhneJQzR","uris":["http://zotero.org/users/local/Pjdjlz4D/items/VSFREULV"],"itemData":{"id":1176,"type":"article-journal","abstract":"This paper aims at enhancing writing skills by using cooperative learning strategies since recent methodologies in foreign language teaching have deviated the shift of focus from traditional teacher-oriented classes to more learner-centered contexts. Among the methods endorsed in teaching writing is the application of Cooperative Learning (CL). The use of CL has become an increasingly popular method to improve the learner’s linguistic, social and communicative competence. This research investigated the effects of CL to improve the writing skill of AIU students. A questionnaire was done to spot their problems and weak points. The quasi experimental design was used, with pre-test and post-test of two different kinds of essay as an instrument. Two different kinds of studies were employed qualitatively and quantitatively to analyze the data. The students’ writing was scored on the five writing components which were content, vocabulary, organization, grammar and mechanics see (Yusuf, Jusoh, &amp; Yusuf, 2019). After analyzing the results of the post test, it was noted that there was a significant increase in the scores of students’ writing in comparison with their marks of the pretest as a result of implementing cooperative learning. Subsequently, the results lent credence to the positive effects of cooperative learning in enhancing writing performance and teachers were able to involve more students to participate and the class environment was very encouraging and intriguing. EFL participants in a cooperative learning ambience managed to foster the linguistic competence that they need to acquire which was also tackled in the paper.","container-title":"Theory and Practice in Language Studies","DOI":"10.17507/tpls.1007.10","ISSN":"1799-2591","issue":"7","journalAbbreviation":"TPLS","page":"791","source":"DOI.org (Crossref)","title":"The Effect of Cooperative Learning Activities on Enhancing the Writing Skills of Syrian EFL Learners at Arab International University","volume":"10","author":[{"family":"Shammout","given":"Manal"}],"issued":{"date-parts":[["2020",7,1]]}}}],"schema":"https://github.com/citation-style-language/schema/raw/master/csl-citation.json"}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rPr>
        <w:t>(</w:t>
      </w:r>
      <w:proofErr w:type="spellStart"/>
      <w:r w:rsidRPr="00A41F8C">
        <w:rPr>
          <w:rFonts w:ascii="Palatino Linotype" w:hAnsi="Palatino Linotype"/>
          <w:sz w:val="20"/>
          <w:szCs w:val="20"/>
        </w:rPr>
        <w:t>Shammout</w:t>
      </w:r>
      <w:proofErr w:type="spellEnd"/>
      <w:r w:rsidRPr="00A41F8C">
        <w:rPr>
          <w:rFonts w:ascii="Palatino Linotype" w:hAnsi="Palatino Linotype"/>
          <w:sz w:val="20"/>
          <w:szCs w:val="20"/>
        </w:rPr>
        <w:t>, 2020)</w:t>
      </w:r>
      <w:r w:rsidRPr="00A41F8C">
        <w:rPr>
          <w:rFonts w:ascii="Palatino Linotype" w:hAnsi="Palatino Linotype" w:cstheme="majorBidi"/>
          <w:sz w:val="20"/>
          <w:szCs w:val="20"/>
          <w:lang w:val="id-ID"/>
        </w:rPr>
        <w:fldChar w:fldCharType="end"/>
      </w:r>
      <w:r w:rsidR="00B11C1B">
        <w:rPr>
          <w:rFonts w:ascii="Palatino Linotype" w:hAnsi="Palatino Linotype" w:cstheme="majorBidi"/>
          <w:sz w:val="20"/>
          <w:szCs w:val="20"/>
          <w:lang w:val="id-ID"/>
        </w:rPr>
        <w:t>.</w:t>
      </w:r>
      <w:r w:rsidRPr="00A41F8C">
        <w:rPr>
          <w:rFonts w:ascii="Palatino Linotype" w:hAnsi="Palatino Linotype" w:cstheme="majorBidi"/>
          <w:sz w:val="20"/>
          <w:szCs w:val="20"/>
          <w:lang w:val="id-ID"/>
        </w:rPr>
        <w:t xml:space="preserve"> The Jigsaw learning model is a learning approach that guides students to present their ideas/opinions to their peers</w:t>
      </w:r>
      <w:r w:rsidR="00081C72">
        <w:rPr>
          <w:rFonts w:ascii="Palatino Linotype" w:hAnsi="Palatino Linotype" w:cstheme="majorBidi"/>
          <w:sz w:val="20"/>
          <w:szCs w:val="20"/>
          <w:lang w:val="id-ID"/>
        </w:rPr>
        <w:t xml:space="preserve"> </w:t>
      </w:r>
      <w:r w:rsidR="00081C72">
        <w:rPr>
          <w:rFonts w:ascii="Palatino Linotype" w:hAnsi="Palatino Linotype" w:cstheme="majorBidi"/>
          <w:sz w:val="20"/>
          <w:szCs w:val="20"/>
          <w:lang w:val="id-ID"/>
        </w:rPr>
        <w:fldChar w:fldCharType="begin"/>
      </w:r>
      <w:r w:rsidR="00081C72">
        <w:rPr>
          <w:rFonts w:ascii="Palatino Linotype" w:hAnsi="Palatino Linotype" w:cstheme="majorBidi"/>
          <w:sz w:val="20"/>
          <w:szCs w:val="20"/>
          <w:lang w:val="id-ID"/>
        </w:rPr>
        <w:instrText xml:space="preserve"> ADDIN ZOTERO_ITEM CSL_CITATION {"citationID":"M80jrHtW","properties":{"formattedCitation":"(Bhebhe et al., 2018)","plainCitation":"(Bhebhe et al., 2018)","noteIndex":0},"citationItems":[{"id":794,"uris":["http://zotero.org/users/local/Wqqix2jN/items/MX7F3D49"],"itemData":{"id":794,"type":"article-journal","abstract":"Abstract\n            The invention of optical tweezers almost forty years ago has triggered applications spanning multiple disciplines and has also found its way into commercial products. A major breakthrough came with the invention of holographic optical tweezers (HOTs), allowing simultaneous manipulation of many particles, traditionally done with arrays of scalar beams. Here we demonstrate a vector HOT with arrays of digitally controlled Higher-Order Poincaré Sphere (HOPS) beams. We employ a simple set-up using a spatial light modulator and show that each beam in the array can be manipulated independently and set to an arbitrary HOPS state, including replicating traditional scalar beam HOTs. We demonstrate trapping and tweezing with customized arrays of HOPS beams comprising scalar orbital angular momentum and cylindrical vector beams, including radially and azimuthally polarized beams simultaneously in the same trap. Our approach is general enough to be easily extended to arbitrary vector beams, could be implemented with fast refresh rates and will be of interest to the structured light and optical manipulation communities alike.","container-title":"Scientific Reports","DOI":"10.1038/s41598-018-35889-0","ISSN":"2045-2322","issue":"1","journalAbbreviation":"Sci Rep","language":"en","page":"17387","source":"DOI.org (Crossref)","title":"A vector holographic optical trap","volume":"8","author":[{"family":"Bhebhe","given":"Nkosiphile"},{"family":"Williams","given":"Peter A. C."},{"family":"Rosales-Guzmán","given":"Carmelo"},{"family":"Rodriguez-Fajardo","given":"Valeria"},{"family":"Forbes","given":"Andrew"}],"issued":{"date-parts":[["2018",11,26]]}}}],"schema":"https://github.com/citation-style-language/schema/raw/master/csl-citation.json"} </w:instrText>
      </w:r>
      <w:r w:rsidR="00081C72">
        <w:rPr>
          <w:rFonts w:ascii="Palatino Linotype" w:hAnsi="Palatino Linotype" w:cstheme="majorBidi"/>
          <w:sz w:val="20"/>
          <w:szCs w:val="20"/>
          <w:lang w:val="id-ID"/>
        </w:rPr>
        <w:fldChar w:fldCharType="separate"/>
      </w:r>
      <w:r w:rsidR="00081C72" w:rsidRPr="00081C72">
        <w:rPr>
          <w:rFonts w:ascii="Palatino Linotype" w:hAnsi="Palatino Linotype"/>
          <w:sz w:val="20"/>
        </w:rPr>
        <w:t>(Bhebhe et al., 2018)</w:t>
      </w:r>
      <w:r w:rsidR="00081C72">
        <w:rPr>
          <w:rFonts w:ascii="Palatino Linotype" w:hAnsi="Palatino Linotype" w:cstheme="majorBidi"/>
          <w:sz w:val="20"/>
          <w:szCs w:val="20"/>
          <w:lang w:val="id-ID"/>
        </w:rPr>
        <w:fldChar w:fldCharType="end"/>
      </w:r>
      <w:r w:rsidRPr="00A41F8C">
        <w:rPr>
          <w:rFonts w:ascii="Palatino Linotype" w:hAnsi="Palatino Linotype" w:cstheme="majorBidi"/>
          <w:sz w:val="20"/>
          <w:szCs w:val="20"/>
          <w:lang w:val="id-ID"/>
        </w:rPr>
        <w:t>. This learning model is effective in training students to express their own thoughts/ideas and opinions. Related to this expression, it is evident how the Jigsaw learning model can support active student involvement in the learning process. These learning activities take place in group activities, allowing participants to learn from each other through the exchange of thoughts, experiences, and ideas</w:t>
      </w:r>
      <w:r w:rsidR="00B11C1B">
        <w:rPr>
          <w:rFonts w:ascii="Palatino Linotype" w:hAnsi="Palatino Linotype" w:cstheme="majorBidi"/>
          <w:sz w:val="20"/>
          <w:szCs w:val="20"/>
          <w:lang w:val="id-ID"/>
        </w:rPr>
        <w:t xml:space="preserve">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{"citationID":"Wufd1LB6","properties":{"formattedCitation":"(Lestari et al., 2019)","plainCitation":"(Lestari et al., 2019)","noteIndex":0},"citationItems":[{"id":"hiqTCfwy/cGUhSZoo","uris":["http://zotero.org/users/local/Pjdjlz4D/items/MI84WH3C"],"itemData":{"id":1191,"type":"article-journal","abstract":"Almost\nall countries pay full attention to the education system, especially countries\nwith smaller populations have an advantage in this field. Relatively small\ncountries and regions, including Hong Kong, Singapore, South Korea, Taiwan,\nEstonia and Finland, were at the top of the results of the 2015 Program for\nInternational Student Assessment (PISA) test. This test was carried out by\nevaluating academic achievement for 15 years around the world. The results of\nthe last evaluation, Shanghai took the overall top position. Japan is one\ncountry that has a good learning concept, with 4th to 7th positions in various\nfields of competition. The application of cooperative learning with the\ndevelopment of learning methods is very important to improve the achievement of\nstudent learning outcomes. The purpose of this study is to observe the\nunderstanding of concepts, and how to think critically in analyzing exam\nquestions. Cooperative learning application with a combination of the\n\"Network Tree Concept Map\" method as a depiction to increase students'\ninterest and thinking power.","container-title":"Journal for the Education of Gifted Young Scientists","DOI":"10.17478/jegys.471466","ISSN":"2149-360X","issue":"1","page":"15-32","source":"DOI.org (Crossref)","title":"Cooperative Learning Application with the Method of \"Network Tree Concept Map\" : Based on Japanese Learning System Approach","title-short":"Cooperative Learning Application with the Method of \"Network Tree Concept Map\"","volume":"7","author":[{"family":"Lestari","given":"Fitria"},{"family":"Saryantono","given":"Buang"},{"family":"Syazali","given":"Muhamad"},{"family":"Saregar","given":"Antomi"},{"family":"Madiyo","given":"Madiyo"},{"family":"Jauhariyah","given":"Durrul"},{"family":"Umam","given":"Rofiqul"}],"issued":{"date-parts":[["2019",3,15]]}}}],"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rPr>
        <w:t>(Lestari et al., 2019)</w:t>
      </w:r>
      <w:r w:rsidRPr="00A41F8C">
        <w:rPr>
          <w:rFonts w:ascii="Palatino Linotype" w:hAnsi="Palatino Linotype" w:cstheme="majorBidi"/>
          <w:sz w:val="20"/>
          <w:szCs w:val="20"/>
          <w:lang w:val="id-ID"/>
        </w:rPr>
        <w:fldChar w:fldCharType="end"/>
      </w:r>
      <w:r w:rsidR="00B11C1B">
        <w:rPr>
          <w:rFonts w:ascii="Palatino Linotype" w:hAnsi="Palatino Linotype" w:cstheme="majorBidi"/>
          <w:sz w:val="20"/>
          <w:szCs w:val="20"/>
          <w:lang w:val="id-ID"/>
        </w:rPr>
        <w:t>.</w:t>
      </w:r>
      <w:r w:rsidRPr="00A41F8C">
        <w:rPr>
          <w:rFonts w:ascii="Palatino Linotype" w:hAnsi="Palatino Linotype" w:cstheme="majorBidi"/>
          <w:sz w:val="20"/>
          <w:szCs w:val="20"/>
          <w:lang w:val="id-ID"/>
        </w:rPr>
        <w:t xml:space="preserve"> One of the group learning model strategies is cooperative learning. Cooperative learning emphasizes collaboration among students in groups. This is based on the idea that students find it easier to discover and understand a concept if they discuss the problem with their peers</w:t>
      </w:r>
      <w:r w:rsidR="00081C72">
        <w:rPr>
          <w:rFonts w:ascii="Palatino Linotype" w:hAnsi="Palatino Linotype" w:cstheme="majorBidi"/>
          <w:sz w:val="20"/>
          <w:szCs w:val="20"/>
          <w:lang w:val="id-ID"/>
        </w:rPr>
        <w:t xml:space="preserve"> </w:t>
      </w:r>
      <w:r w:rsidR="00081C72">
        <w:rPr>
          <w:rFonts w:ascii="Palatino Linotype" w:hAnsi="Palatino Linotype" w:cstheme="majorBidi"/>
          <w:sz w:val="20"/>
          <w:szCs w:val="20"/>
          <w:lang w:val="id-ID"/>
        </w:rPr>
        <w:fldChar w:fldCharType="begin"/>
      </w:r>
      <w:r w:rsidR="00081C72">
        <w:rPr>
          <w:rFonts w:ascii="Palatino Linotype" w:hAnsi="Palatino Linotype" w:cstheme="majorBidi"/>
          <w:sz w:val="20"/>
          <w:szCs w:val="20"/>
          <w:lang w:val="id-ID"/>
        </w:rPr>
        <w:instrText xml:space="preserve"> ADDIN ZOTERO_ITEM CSL_CITATION {"citationID":"QYhf6Gvb","properties":{"formattedCitation":"(Binti Misrom et al., 2020)","plainCitation":"(Binti Misrom et al., 2020)","noteIndex":0},"citationItems":[{"id":796,"uris":["http://zotero.org/users/local/Wqqix2jN/items/TH3TD577"],"itemData":{"id":796,"type":"article-journal","abstract":"The concept of Higher-Order Thinking Skills (HOTS) is one of the highlighted aspects in producing human capital of high quality. However, the level of HOTS among students in Malaysia is still at a lower stage. Among the causes of this problem is the learning strategy used in classroom, which is less effective in creating and enhancing HOTS optimally. Therefore, the main focus in this study was to investigate the potential role of an inductive reasoning strategy using Geogebra in increasing the students’ level of HOTS. Besides, it also aimed to identify the relationship between HOTS and students’ inductive reasoning for the topic of Graphs of Functions II. The design of study was quasi-experimental which involved 94 form-four students from a secondary school in Johor. The sample of this study was divided into three groups: (1) Treatment Group 1 (inductive reasoning strategy using Geogebra); Treatment Group 2 (inductive reasoning strategy); and (3) a control group (conventional). The instrument of the study comprised a set of HOTS questions and a worksheet based on an inductive reasoning strategy using Geogebra. Using the Multivariate Analysis of Variance (MANOVA), it was found that the overall HOTS level of the students, which included applying, analysing, evaluating and creating skills, could be enhanced through this strategy. The findings also show that there was a positive relationship between HOTS and inductive reasoning. In conclusion, an inductive reasoning strategy can provide positive impacts on students’ HOTS in the topic of Graphs of Functions II","container-title":"International Journal of Emerging Technologies in Learning (iJET)","DOI":"10.3991/ijet.v15i03.9839","ISSN":"1863-0383","issue":"03","journalAbbreviation":"Int. J. Emerg. Technol. Learn.","page":"156","source":"DOI.org (Crossref)","title":"Enhancing Students’ Higher-Order Thinking Skills (HOTS) Through an Inductive Reasoning Strategy Using Geogebra","volume":"15","author":[{"family":"Binti Misrom","given":"Noor Suhaily"},{"family":"Muhammad","given":"Abdurrahman Sani"},{"family":"Abdullah","given":"Abdul Halim"},{"family":"Osman","given":"Sharifah"},{"family":"Hamzah","given":"Mohd Hilmi"},{"family":"Fauzan","given":"Ahmad"}],"issued":{"date-parts":[["2020",2,18]]}}}],"schema":"https://github.com/citation-style-language/schema/raw/master/csl-citation.json"} </w:instrText>
      </w:r>
      <w:r w:rsidR="00081C72">
        <w:rPr>
          <w:rFonts w:ascii="Palatino Linotype" w:hAnsi="Palatino Linotype" w:cstheme="majorBidi"/>
          <w:sz w:val="20"/>
          <w:szCs w:val="20"/>
          <w:lang w:val="id-ID"/>
        </w:rPr>
        <w:fldChar w:fldCharType="separate"/>
      </w:r>
      <w:r w:rsidR="00081C72" w:rsidRPr="00081C72">
        <w:rPr>
          <w:rFonts w:ascii="Palatino Linotype" w:hAnsi="Palatino Linotype"/>
          <w:sz w:val="20"/>
        </w:rPr>
        <w:t xml:space="preserve">(Binti </w:t>
      </w:r>
      <w:proofErr w:type="spellStart"/>
      <w:r w:rsidR="00081C72" w:rsidRPr="00081C72">
        <w:rPr>
          <w:rFonts w:ascii="Palatino Linotype" w:hAnsi="Palatino Linotype"/>
          <w:sz w:val="20"/>
        </w:rPr>
        <w:t>Misrom</w:t>
      </w:r>
      <w:proofErr w:type="spellEnd"/>
      <w:r w:rsidR="00081C72" w:rsidRPr="00081C72">
        <w:rPr>
          <w:rFonts w:ascii="Palatino Linotype" w:hAnsi="Palatino Linotype"/>
          <w:sz w:val="20"/>
        </w:rPr>
        <w:t xml:space="preserve"> et al., 2020)</w:t>
      </w:r>
      <w:r w:rsidR="00081C72">
        <w:rPr>
          <w:rFonts w:ascii="Palatino Linotype" w:hAnsi="Palatino Linotype" w:cstheme="majorBidi"/>
          <w:sz w:val="20"/>
          <w:szCs w:val="20"/>
          <w:lang w:val="id-ID"/>
        </w:rPr>
        <w:fldChar w:fldCharType="end"/>
      </w:r>
      <w:r w:rsidRPr="00A41F8C">
        <w:rPr>
          <w:rFonts w:ascii="Palatino Linotype" w:hAnsi="Palatino Linotype" w:cstheme="majorBidi"/>
          <w:sz w:val="20"/>
          <w:szCs w:val="20"/>
          <w:lang w:val="id-ID"/>
        </w:rPr>
        <w:t>. In group learning activities, cooperative learning strategies like the Jigsaw learning model can be used. The Jigsaw model involves students working in groups, where each group member is responsible for mastering a part of the learning material and can teach that material to other group members</w:t>
      </w:r>
      <w:r w:rsidR="00081C72">
        <w:rPr>
          <w:rFonts w:ascii="Palatino Linotype" w:hAnsi="Palatino Linotype" w:cstheme="majorBidi"/>
          <w:sz w:val="20"/>
          <w:szCs w:val="20"/>
          <w:lang w:val="id-ID"/>
        </w:rPr>
        <w:t xml:space="preserve"> </w:t>
      </w:r>
      <w:r w:rsidR="00081C72">
        <w:rPr>
          <w:rFonts w:ascii="Palatino Linotype" w:hAnsi="Palatino Linotype" w:cstheme="majorBidi"/>
          <w:sz w:val="20"/>
          <w:szCs w:val="20"/>
          <w:lang w:val="id-ID"/>
        </w:rPr>
        <w:fldChar w:fldCharType="begin"/>
      </w:r>
      <w:r w:rsidR="00081C72">
        <w:rPr>
          <w:rFonts w:ascii="Palatino Linotype" w:hAnsi="Palatino Linotype" w:cstheme="majorBidi"/>
          <w:sz w:val="20"/>
          <w:szCs w:val="20"/>
          <w:lang w:val="id-ID"/>
        </w:rPr>
        <w:instrText xml:space="preserve"> ADDIN ZOTERO_ITEM CSL_CITATION {"citationID":"QOWpZuS2","properties":{"formattedCitation":"(Lu et al., 2021)","plainCitation":"(Lu et al., 2021)","noteIndex":0},"citationItems":[{"id":803,"uris":["http://zotero.org/users/local/Wqqix2jN/items/3QN25CXS"],"itemData":{"id":803,"type":"article-journal","abstract":"Abstract\n            To understand the development of students’ higher-order thinking skills (HOTS) in the smart classroom environment, a structural equation modeling analysis was used to examine the relationships between key factors that influence students’ learning and their HOTS within a smart classroom environment. A sample of 217 first-year Chinese college students, who studied in a smart classroom environment for one semester, completed a survey that measures their smart classroom preferences, learning motivation, learning strategy, peer interaction, and HOTS. The results indicated that peer interaction and learning motivation had a direct impact on students’ HOTS. Furthermore, indirect effects were found between students’ learning strategy and HOTS through the mediator peer interaction, and between smart classroom preferences and HOTS through the following: learning motivation, the combination of learning strategy and peer interaction, and the combination of learning motivation, learning strategy and peer interaction. Based on these findings, this study recommends that instructors teaching in a smart learning environment should focus on improving peer interaction and learning motivation, as well as smart classroom preferences and learning strategy, to hone students’ HOTS.","container-title":"International Journal of Educational Technology in Higher Education","DOI":"10.1186/s41239-020-00238-7","ISSN":"2365-9440","issue":"1","journalAbbreviation":"Int J Educ Technol High Educ","language":"en","page":"1","source":"DOI.org (Crossref)","title":"Examining the key influencing factors on college students’ higher-order thinking skills in the smart classroom environment","volume":"18","author":[{"family":"Lu","given":"Kaili"},{"family":"Yang","given":"Harrison H."},{"family":"Shi","given":"Yinghui"},{"family":"Wang","given":"Xuan"}],"issued":{"date-parts":[["2021",12]]}}}],"schema":"https://github.com/citation-style-language/schema/raw/master/csl-citation.json"} </w:instrText>
      </w:r>
      <w:r w:rsidR="00081C72">
        <w:rPr>
          <w:rFonts w:ascii="Palatino Linotype" w:hAnsi="Palatino Linotype" w:cstheme="majorBidi"/>
          <w:sz w:val="20"/>
          <w:szCs w:val="20"/>
          <w:lang w:val="id-ID"/>
        </w:rPr>
        <w:fldChar w:fldCharType="separate"/>
      </w:r>
      <w:r w:rsidR="00081C72" w:rsidRPr="00081C72">
        <w:rPr>
          <w:rFonts w:ascii="Palatino Linotype" w:hAnsi="Palatino Linotype"/>
          <w:sz w:val="20"/>
        </w:rPr>
        <w:t>(Lu et al., 2021)</w:t>
      </w:r>
      <w:r w:rsidR="00081C72">
        <w:rPr>
          <w:rFonts w:ascii="Palatino Linotype" w:hAnsi="Palatino Linotype" w:cstheme="majorBidi"/>
          <w:sz w:val="20"/>
          <w:szCs w:val="20"/>
          <w:lang w:val="id-ID"/>
        </w:rPr>
        <w:fldChar w:fldCharType="end"/>
      </w:r>
      <w:r w:rsidRPr="00A41F8C">
        <w:rPr>
          <w:rFonts w:ascii="Palatino Linotype" w:hAnsi="Palatino Linotype" w:cstheme="majorBidi"/>
          <w:sz w:val="20"/>
          <w:szCs w:val="20"/>
          <w:lang w:val="id-ID"/>
        </w:rPr>
        <w:t>. The Jigsaw learning model is one of the collaborative approaches that involve active student participation in creating a deeper understanding through group work. In Social Science learning, this model can enhance higher-order thinking skills (HOTS) and facilitate social interaction among students, allowing them to be more active and engaged in the learning process</w:t>
      </w:r>
      <w:r w:rsidR="00B11C1B">
        <w:rPr>
          <w:rFonts w:ascii="Palatino Linotype" w:hAnsi="Palatino Linotype" w:cstheme="majorBidi"/>
          <w:sz w:val="20"/>
          <w:szCs w:val="20"/>
          <w:lang w:val="id-ID"/>
        </w:rPr>
        <w:t xml:space="preserve">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{"citationID":"QKgBmYNl","properties":{"formattedCitation":"(Lazer et al., 2020)","plainCitation":"(Lazer et al., 2020)","noteIndex":0},"citationItems":[{"id":"hiqTCfwy/kh6uhfQZ","uris":["http://zotero.org/users/local/Pjdjlz4D/items/MF9SWQD3"],"itemData":{"id":1015,"type":"article-journal","abstract":"Data sharing, research ethics, and incentives must improve\n          , \n            The field of computational social science (CSS) has exploded in prominence over the past decade, with thousands of papers published using observational data, experimental designs, and large-scale simulations that were once unfeasible or unavailable to researchers. These studies have greatly improved our understanding of important phenomena, ranging from social inequality to the spread of infectious diseases. The institutions supporting CSS in the academy have also grown substantially, as evidenced by the proliferation of conferences, workshops, and summer schools across the globe, across disciplines, and across sources of data. But the field has also fallen short in important ways. Many institutional structures around the field—including research ethics, pedagogy, and data infrastructure—are still nascent. We suggest opportunities to address these issues, especially in improving the alignment between the organization of the 20th-century university and the intellectual requirements of the field.","container-title":"Science","DOI":"10.1126/science.aaz8170","ISSN":"0036-8075, 1095-9203","issue":"6507","journalAbbreviation":"Science","language":"en","page":"1060-1062","source":"DOI.org (Crossref)","title":"Computational social science: Obstacles and opportunities","title-short":"Computational social science","volume":"369","author":[{"family":"Lazer","given":"David M. J."},{"family":"Pentland","given":"Alex"},{"family":"Watts","given":"Duncan J."},{"family":"Aral","given":"Sinan"},{"family":"Athey","given":"Susan"},{"family":"Contractor","given":"Noshir"},{"family":"Freelon","given":"Deen"},{"family":"Gonzalez-Bailon","given":"Sandra"},{"family":"King","given":"Gary"},{"family":"Margetts","given":"Helen"},{"family":"Nelson","given":"Alondra"},{"family":"Salganik","given":"Matthew J."},{"family":"Strohmaier","given":"Markus"},{"family":"Vespignani","given":"Alessandro"},{"family":"Wagner","given":"Claudia"}],"issued":{"date-parts":[["2020",8,28]]}}}],"schema":"https://github.com/citation-style-language/schema/raw/master/csl-citation.json"}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lang w:val="id-ID"/>
        </w:rPr>
        <w:t>(Lazer et al., 2020)</w:t>
      </w:r>
      <w:r w:rsidRPr="00A41F8C">
        <w:rPr>
          <w:rFonts w:ascii="Palatino Linotype" w:hAnsi="Palatino Linotype" w:cstheme="majorBidi"/>
          <w:sz w:val="20"/>
          <w:szCs w:val="20"/>
          <w:lang w:val="id-ID"/>
        </w:rPr>
        <w:fldChar w:fldCharType="end"/>
      </w:r>
      <w:r w:rsidR="00B11C1B">
        <w:rPr>
          <w:rFonts w:ascii="Palatino Linotype" w:hAnsi="Palatino Linotype" w:cstheme="majorBidi"/>
          <w:sz w:val="20"/>
          <w:szCs w:val="20"/>
          <w:lang w:val="id-ID"/>
        </w:rPr>
        <w:t>.</w:t>
      </w:r>
    </w:p>
    <w:p w14:paraId="52E3E4DE" w14:textId="380F93EF" w:rsidR="00A41F8C" w:rsidRPr="00A41F8C" w:rsidRDefault="00A41F8C" w:rsidP="00A82864">
      <w:pPr>
        <w:spacing w:after="0" w:line="240" w:lineRule="auto"/>
        <w:ind w:firstLine="425"/>
        <w:jc w:val="both"/>
        <w:rPr>
          <w:rFonts w:ascii="Palatino Linotype" w:hAnsi="Palatino Linotype" w:cstheme="majorBidi"/>
          <w:sz w:val="20"/>
          <w:szCs w:val="20"/>
          <w:lang w:val="en-US"/>
        </w:rPr>
      </w:pPr>
      <w:r w:rsidRPr="00A41F8C">
        <w:rPr>
          <w:rFonts w:ascii="Palatino Linotype" w:hAnsi="Palatino Linotype" w:cstheme="majorBidi"/>
          <w:sz w:val="20"/>
          <w:szCs w:val="20"/>
          <w:lang w:val="id-ID"/>
        </w:rPr>
        <w:tab/>
        <w:t xml:space="preserve">The Jigsaw learning model has advantages in engaging all students in learning and providing them with opportunities to teach and learn from each other. This can enhance students' understanding, critical thinking skills, and broaden their perspectives on social, political, and economic issues. The strength of this strategy lies in its ability to involve all students in learning while simultaneously teaching others. The identified challenges indicate the need for more innovative and participatory teaching models, such as the Jigsaw learning model. The Jigsaw learning model is an appealing strategy to use when the material to be learned can be divided into several parts and does not require a specific sequence of delivery. The Jigsaw learning model is one of the collaborative approaches that involve </w:t>
      </w:r>
      <w:r w:rsidRPr="00A41F8C">
        <w:rPr>
          <w:rFonts w:ascii="Palatino Linotype" w:hAnsi="Palatino Linotype" w:cstheme="majorBidi"/>
          <w:sz w:val="20"/>
          <w:szCs w:val="20"/>
          <w:lang w:val="id-ID"/>
        </w:rPr>
        <w:lastRenderedPageBreak/>
        <w:t>active student participation in creating a deeper understanding through group work. Therefore, one  model that can enhance higher-order thinking skills is the Jigsaw learning model</w:t>
      </w:r>
      <w:r w:rsidR="00B11C1B">
        <w:rPr>
          <w:rFonts w:ascii="Palatino Linotype" w:hAnsi="Palatino Linotype" w:cstheme="majorBidi"/>
          <w:sz w:val="20"/>
          <w:szCs w:val="20"/>
          <w:lang w:val="id-ID"/>
        </w:rPr>
        <w:t xml:space="preserve">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{"citationID":"LS55gYcI","properties":{"formattedCitation":"(Li &amp; Li, 2019)","plainCitation":"(Li &amp; Li, 2019)","noteIndex":0},"citationItems":[{"id":"hiqTCfwy/jqM1EvXy","uris":["http://zotero.org/users/local/Pjdjlz4D/items/CWA7C8RF"],"itemData":{"id":1189,"type":"article-journal","abstract":"Recently China has miraculously transformed itself from a learner in the 20th century to a re-rising leader of educational excellence. The enduring policy endeavors over the past few decades have largely enabled China as the largest educational system in the world move to a recently emerging status as a global leader of educational improvement, recognized and appreciated with admiration by many traditionally advanced countries. The two authors intend to offer a snapshot of the China miracle of educational development in terms of public policies since the turn of the 21st century. With a Multi-Flows Approach constructed from Csikszentmihalyi’s idea of “flow”, this paper investigates the complexity and dynamism of three policy streams, i.e., basic education, teacher education and higher education. It is concluded from the literature review that central to China’s key policy actions in recent decades are four core themes, i.e., equality in terms of a democratic mission of education for every citizen, quality in terms of individual and social productivity, efficiency as a national priority based on practicality, and rejuvenation of the state for nation-building and global status. Educational policy development in China since the new century is thus examined with economic, political, cultural and international flows, each presenting a colorful jigsaw puzzle that is not easily tessellated by other flows. The authors argue that the different focus of flows and beyond can benefit policy communities in the world with varied directions for educational change resulting in significant improvement while none of them should be seen as a single force in solely shaping educational policy development without the convergence of other forces. This implies that for any public policy in education policymakers, implementers and other stakeholders must ensure a comprehensive consideration of the interdependent, converging effects of these forces to prioritize and maximize their outcomes, which may be easily missed by any single force of them. The implications from this paper sheds new light on policy studies in education in China and globally, and the learner-provider dynamism of educational development in a post-colonial context.","container-title":"Beijing International Review of Education","DOI":"10.1163/25902547-00101014","ISSN":"2590-2547, 2590-2539","issue":"1","journalAbbreviation":"Beijing International Review of Education","page":"196-220","source":"DOI.org (Crossref)","title":"Educational Policy Development in China in the 21st Century: A Multi-Flows Approach","title-short":"Educational Policy Development in China in the 21st Century","volume":"1","author":[{"family":"Li","given":"Jun"},{"family":"Li","given":"Jian"}],"issued":{"date-parts":[["2019",3,22]]}}}],"schema":"https://github.com/citation-style-language/schema/raw/master/csl-citation.json"}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rPr>
        <w:t>(Li &amp; Li, 2019)</w:t>
      </w:r>
      <w:r w:rsidRPr="00A41F8C">
        <w:rPr>
          <w:rFonts w:ascii="Palatino Linotype" w:hAnsi="Palatino Linotype" w:cstheme="majorBidi"/>
          <w:sz w:val="20"/>
          <w:szCs w:val="20"/>
          <w:lang w:val="id-ID"/>
        </w:rPr>
        <w:fldChar w:fldCharType="end"/>
      </w:r>
      <w:r w:rsidR="00B11C1B">
        <w:rPr>
          <w:rFonts w:ascii="Palatino Linotype" w:hAnsi="Palatino Linotype" w:cstheme="majorBidi"/>
          <w:sz w:val="20"/>
          <w:szCs w:val="20"/>
          <w:lang w:val="id-ID"/>
        </w:rPr>
        <w:t>.</w:t>
      </w:r>
      <w:r w:rsidRPr="00A41F8C">
        <w:rPr>
          <w:rFonts w:ascii="Palatino Linotype" w:hAnsi="Palatino Linotype" w:cstheme="majorBidi"/>
          <w:sz w:val="20"/>
          <w:szCs w:val="20"/>
          <w:lang w:val="id-ID"/>
        </w:rPr>
        <w:t xml:space="preserve"> By actively involving students in Social Science learning, it is expected to improve Social Science learning outcomes and high-order thinking skills (HOTS).</w:t>
      </w:r>
      <w:r w:rsidR="00A82864">
        <w:rPr>
          <w:rFonts w:ascii="Palatino Linotype" w:hAnsi="Palatino Linotype" w:cstheme="majorBidi"/>
          <w:sz w:val="20"/>
          <w:szCs w:val="20"/>
          <w:lang w:val="en-US"/>
        </w:rPr>
        <w:t xml:space="preserve"> </w:t>
      </w:r>
      <w:r w:rsidRPr="00A41F8C">
        <w:rPr>
          <w:rFonts w:ascii="Palatino Linotype" w:hAnsi="Palatino Linotype" w:cstheme="majorBidi"/>
          <w:sz w:val="20"/>
          <w:szCs w:val="20"/>
          <w:lang w:val="id-ID"/>
        </w:rPr>
        <w:t>Considering the initial issues mentioned above, the Jigsaw Cooperative method is implemented as a way to improve student learning outcomes. The Jigsaw Cooperative learning model involves working together and discussing with students in groups. Research results show that the Jigsaw method enhances students' knowledge and is effective in reading without getting bored with the text itself. The Jigsaw Cooperative learning type is a cooperative learning type consisting of several members in one group who are responsible for mastering a portion of the learning material and can teach that material to other members</w:t>
      </w:r>
      <w:r w:rsidRPr="00A41F8C">
        <w:rPr>
          <w:rFonts w:ascii="Palatino Linotype" w:hAnsi="Palatino Linotype" w:cstheme="majorBidi"/>
          <w:sz w:val="20"/>
          <w:szCs w:val="20"/>
          <w:lang w:val="en-US"/>
        </w:rPr>
        <w:t>.</w:t>
      </w:r>
    </w:p>
    <w:p w14:paraId="5F6C2B9A" w14:textId="724D1255" w:rsidR="00727D5A" w:rsidRPr="00A82864" w:rsidRDefault="00A41F8C" w:rsidP="00A82864">
      <w:pPr>
        <w:spacing w:after="0" w:line="240" w:lineRule="auto"/>
        <w:ind w:firstLine="425"/>
        <w:jc w:val="both"/>
        <w:rPr>
          <w:rFonts w:ascii="Palatino Linotype" w:hAnsi="Palatino Linotype" w:cstheme="majorBidi"/>
          <w:sz w:val="20"/>
          <w:szCs w:val="20"/>
          <w:lang w:val="en-US"/>
        </w:rPr>
      </w:pPr>
      <w:r w:rsidRPr="00A41F8C">
        <w:rPr>
          <w:rFonts w:ascii="Palatino Linotype" w:hAnsi="Palatino Linotype" w:cstheme="majorBidi"/>
          <w:sz w:val="20"/>
          <w:szCs w:val="20"/>
          <w:lang w:val="en-US"/>
        </w:rPr>
        <w:tab/>
      </w:r>
      <w:r w:rsidRPr="00A41F8C">
        <w:rPr>
          <w:rFonts w:ascii="Palatino Linotype" w:hAnsi="Palatino Linotype" w:cstheme="majorBidi"/>
          <w:sz w:val="20"/>
          <w:szCs w:val="20"/>
          <w:lang w:val="id-ID"/>
        </w:rPr>
        <w:t>Previous research on Jigsaw and HOTS</w:t>
      </w:r>
      <w:r w:rsidRPr="00A41F8C">
        <w:rPr>
          <w:rFonts w:ascii="Palatino Linotype" w:hAnsi="Palatino Linotype" w:cstheme="majorBidi"/>
          <w:sz w:val="20"/>
          <w:szCs w:val="20"/>
          <w:lang w:val="en-US"/>
        </w:rPr>
        <w:t xml:space="preserve">. </w:t>
      </w:r>
      <w:r w:rsidRPr="00A41F8C">
        <w:rPr>
          <w:rFonts w:ascii="Palatino Linotype" w:hAnsi="Palatino Linotype" w:cstheme="majorBidi"/>
          <w:i/>
          <w:iCs/>
          <w:sz w:val="20"/>
          <w:szCs w:val="20"/>
          <w:lang w:val="en-US"/>
        </w:rPr>
        <w:t>First,</w:t>
      </w:r>
      <w:r>
        <w:rPr>
          <w:rFonts w:ascii="Palatino Linotype" w:hAnsi="Palatino Linotype" w:cstheme="majorBidi"/>
          <w:sz w:val="20"/>
          <w:szCs w:val="20"/>
          <w:lang w:val="en-US"/>
        </w:rPr>
        <w:t xml:space="preserve"> </w:t>
      </w:r>
      <w:r w:rsidRPr="00A41F8C">
        <w:rPr>
          <w:rFonts w:ascii="Palatino Linotype" w:hAnsi="Palatino Linotype" w:cstheme="majorBidi"/>
          <w:sz w:val="20"/>
          <w:szCs w:val="20"/>
          <w:lang w:val="en-US"/>
        </w:rPr>
        <w:t xml:space="preserve">the </w:t>
      </w:r>
      <w:r w:rsidR="004E46F9">
        <w:rPr>
          <w:rFonts w:ascii="Palatino Linotype" w:hAnsi="Palatino Linotype" w:cstheme="majorBidi"/>
          <w:sz w:val="20"/>
          <w:szCs w:val="20"/>
          <w:lang w:val="en-US"/>
        </w:rPr>
        <w:t>finding</w:t>
      </w:r>
      <w:r w:rsidRPr="00A41F8C">
        <w:rPr>
          <w:rFonts w:ascii="Palatino Linotype" w:hAnsi="Palatino Linotype" w:cstheme="majorBidi"/>
          <w:sz w:val="20"/>
          <w:szCs w:val="20"/>
          <w:lang w:val="en-US"/>
        </w:rPr>
        <w:t xml:space="preserve"> indicated the following: (1) the material expert test received a rating of very good and is deemed suitable for use, (2) the learning design expert test received a rating of very good and is considered suitable for use, (3) the learning media expert test received a rating of very good and is deemed suitable for use, (4) individual trials achieved very good criteria, (5) small group trials obtained very good criteria, and (6) field trials demonstrated very good criteria. The effectiveness of the developed product suggests that students' social studies learning outcomes are more effective when utilizing the HOTS-integrated PBL-based LKPD compared to the regular LKPD</w:t>
      </w:r>
      <w:r>
        <w:rPr>
          <w:rFonts w:ascii="Palatino Linotype" w:hAnsi="Palatino Linotype" w:cstheme="majorBidi"/>
          <w:sz w:val="20"/>
          <w:szCs w:val="20"/>
          <w:lang w:val="en-US"/>
        </w:rPr>
        <w:t xml:space="preserve"> </w:t>
      </w:r>
      <w:r w:rsidRPr="00A41F8C">
        <w:rPr>
          <w:rFonts w:ascii="Palatino Linotype" w:hAnsi="Palatino Linotype" w:cstheme="majorBidi"/>
          <w:sz w:val="20"/>
          <w:szCs w:val="20"/>
          <w:lang w:val="en-US"/>
        </w:rPr>
        <w:fldChar w:fldCharType="begin"/>
      </w:r>
      <w:r w:rsidR="00A0227A">
        <w:rPr>
          <w:rFonts w:ascii="Palatino Linotype" w:hAnsi="Palatino Linotype" w:cstheme="majorBidi"/>
          <w:sz w:val="20"/>
          <w:szCs w:val="20"/>
          <w:lang w:val="en-US"/>
        </w:rPr>
        <w:instrText xml:space="preserve"> ADDIN ZOTERO_ITEM CSL_CITATION {"citationID":"q5i8cQaM","properties":{"formattedCitation":"(Sinaga et al., 2023)","plainCitation":"(Sinaga et al., 2023)","noteIndex":0},"citationItems":[{"id":"hiqTCfwy/HFhUL2Cc","uris":["http://zotero.org/users/local/Pjdjlz4D/items/5NWXMQH8"],"itemData":{"id":1181,"type":"article-journal","abstract":"This research and development aim to (1) Assess the feasibility of PBL-based LKPD integrated HOTS social studies material; and (2) Assess the effectiveness of the PBL-based LKPD integrated HOTS for IPS material. This research method is research and development (R&amp;D) in class VIII SMPN 1 Sei Suka, Batubara. The test results prove that there is a significant difference between student learning outcomes who are taught using the HOTS-integrated PBL-based LKPD and the results of the regular LKPD. The development is carried out through expert validation tests: material, learning design, graphic design experts, and trials: individuals, small groups, and the field. The data on the quality of this development product was collected using a questionnaire and analyzed using qualitative descriptive analysis techniques. The results showed; (1) the material expert test is on very good criteria and is suitable for use, (2) the learning design expert test is on the very good criteria and is suitable for use, (3) the learning media expert test is on the very good criteria and is suitable for use, (4) individual trials are on very good criteria, (5) small group trials are on very good criteria, and (6) field trials are on very good criteria. The effectiveness of the developed product shows that students' social studies learning outcomes are more effective using the HOTS-integrated PBL-based LKPD than the regular LKPD.","container-title":"International Journal of Computer Applications Technology and Research","DOI":"10.7753/IJCATR1201.1003","ISSN":"23198656","journalAbbreviation":"IJCATR","language":"en","page":"13-18","source":"DOI.org (Crossref)","title":"Development of Student Worksheets Based on Problem-Based Learning Integrated HOTS Social Science Subjects","author":[{"family":"Sinaga","given":"Maslina"},{"family":"Mursid","given":"R."},{"family":".","given":"Sugiharto"}],"issued":{"date-parts":[["2023",1,4]]}}}],"schema":"https://github.com/citation-style-language/schema/raw/master/csl-citation.json"} </w:instrText>
      </w:r>
      <w:r w:rsidRPr="00A41F8C">
        <w:rPr>
          <w:rFonts w:ascii="Palatino Linotype" w:hAnsi="Palatino Linotype" w:cstheme="majorBidi"/>
          <w:sz w:val="20"/>
          <w:szCs w:val="20"/>
          <w:lang w:val="en-US"/>
        </w:rPr>
        <w:fldChar w:fldCharType="separate"/>
      </w:r>
      <w:r w:rsidRPr="00A41F8C">
        <w:rPr>
          <w:rFonts w:ascii="Palatino Linotype" w:hAnsi="Palatino Linotype"/>
          <w:sz w:val="20"/>
          <w:szCs w:val="20"/>
        </w:rPr>
        <w:t>(Sinaga et al., 2023)</w:t>
      </w:r>
      <w:r w:rsidRPr="00A41F8C">
        <w:rPr>
          <w:rFonts w:ascii="Palatino Linotype" w:hAnsi="Palatino Linotype" w:cstheme="majorBidi"/>
          <w:sz w:val="20"/>
          <w:szCs w:val="20"/>
          <w:lang w:val="en-US"/>
        </w:rPr>
        <w:fldChar w:fldCharType="end"/>
      </w:r>
      <w:r>
        <w:rPr>
          <w:rFonts w:ascii="Palatino Linotype" w:hAnsi="Palatino Linotype" w:cstheme="majorBidi"/>
          <w:sz w:val="20"/>
          <w:szCs w:val="20"/>
          <w:lang w:val="en-US"/>
        </w:rPr>
        <w:t xml:space="preserve">. </w:t>
      </w:r>
      <w:r>
        <w:rPr>
          <w:rFonts w:ascii="Palatino Linotype" w:hAnsi="Palatino Linotype" w:cstheme="majorBidi"/>
          <w:i/>
          <w:iCs/>
          <w:sz w:val="20"/>
          <w:szCs w:val="20"/>
          <w:lang w:val="id-ID"/>
        </w:rPr>
        <w:t>Second,</w:t>
      </w:r>
      <w:r w:rsidRPr="00A41F8C">
        <w:rPr>
          <w:rFonts w:ascii="Palatino Linotype" w:hAnsi="Palatino Linotype" w:cstheme="majorBidi"/>
          <w:sz w:val="20"/>
          <w:szCs w:val="20"/>
          <w:lang w:val="id-ID"/>
        </w:rPr>
        <w:t xml:space="preserve"> the findings revealed that 88% of all students successfully completed the HOTS material related to the composition function after the implementation of the jigsaw model and Numbered Heads Together (NHT). The average percentage of student activities during the learning process was high, reaching 81.75%, indicating an active engagement in the category.</w:t>
      </w:r>
      <w:r w:rsidR="008D2282">
        <w:rPr>
          <w:rFonts w:ascii="Palatino Linotype" w:hAnsi="Palatino Linotype" w:cstheme="majorBidi"/>
          <w:sz w:val="20"/>
          <w:szCs w:val="20"/>
          <w:lang w:val="id-ID"/>
        </w:rPr>
        <w:t xml:space="preserve"> T</w:t>
      </w:r>
      <w:r w:rsidRPr="00A41F8C">
        <w:rPr>
          <w:rFonts w:ascii="Palatino Linotype" w:hAnsi="Palatino Linotype" w:cstheme="majorBidi"/>
          <w:sz w:val="20"/>
          <w:szCs w:val="20"/>
          <w:lang w:val="id-ID"/>
        </w:rPr>
        <w:t xml:space="preserve">eacher activity received a good rating with an average score of 4.0, falling within the good criteria. </w:t>
      </w:r>
      <w:r w:rsidR="008D2282">
        <w:rPr>
          <w:rFonts w:ascii="Palatino Linotype" w:hAnsi="Palatino Linotype" w:cstheme="majorBidi"/>
          <w:sz w:val="20"/>
          <w:szCs w:val="20"/>
          <w:lang w:val="id-ID"/>
        </w:rPr>
        <w:t>S</w:t>
      </w:r>
      <w:r w:rsidRPr="00A41F8C">
        <w:rPr>
          <w:rFonts w:ascii="Palatino Linotype" w:hAnsi="Palatino Linotype" w:cstheme="majorBidi"/>
          <w:sz w:val="20"/>
          <w:szCs w:val="20"/>
          <w:lang w:val="id-ID"/>
        </w:rPr>
        <w:t xml:space="preserve">tudents' responses after learning showed an average percentage of 77.6%, indicating a positive reception of the applied learning model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{"citationID":"z1QU0K79","properties":{"formattedCitation":"(Ritonga et al., 2022)","plainCitation":"(Ritonga et al., 2022)","noteIndex":0},"citationItems":[{"id":"hiqTCfwy/GESiGwiv","uris":["http://zotero.org/users/local/Pjdjlz4D/items/P5M93UR3"],"itemData":{"id":1183,"type":"article-journal","abstract":"The study was intended to learn the effectiveness of jigsaw's and Numbered Heads Together (NHT) learning models in breaking the matter of HOTS composition function in Muhammadiyah high school Langsa from; The results of student learning after using the jigsaw model and Numbered Heads Together (NHT), student activity and teacher activity during the learning process, and student response to the learning model. This type of research is qualitative. The subject of this study was the Langsa Muhammadiyah high school student at X MIPA class with a total of 25 students. The data collection techniques used are tests, observations, and angkets. As for the data analysis used by the study results test analysis, the student activity and teacher activity data analysis, and the student response analysis. The results of the study were 88% of all students completed after the application of the jigsaw model and Numbered Heads Together (NHT) to complete the HOTS matter composition function. On student activities in the learning process the average percentage is 81.75% high in category, then on teacher activity gets an average of each category (RTK) rated within good criteria with an average score of 4.0. And finally, students response after learning shows an average percentage of 77.6%, it shows that students respond favorably to the applied learning model. We can then conclude that the jigsaw and other competing heads together learning models are effectively used to solve the HOTS matter of composition function.","container-title":"Jurnal Ilmiah Pendidikan Matematika Al Qalasadi","DOI":"10.32505/qalasadi.v6i2.4982","ISSN":"2656-0852, 2579-9185","issue":"2","journalAbbreviation":"JAQ","page":"185-194","source":"DOI.org (Crossref)","title":"Efektivitas Model Pembelajaran Jigsaw dan Numbered Head Together (NHT) dalam Pemecahan Soal-Soal HOTS Materi Pokok Fungsi Komposisi","volume":"6","author":[{"family":"Ritonga","given":"Debi Cinta Marito"},{"family":"Faisal","given":"Faisal"},{"family":"Husna","given":"Raudhatul"}],"issued":{"date-parts":[["2022",12,31]]}}}],"schema":"https://github.com/citation-style-language/schema/raw/master/csl-citation.json"}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rPr>
        <w:t>(</w:t>
      </w:r>
      <w:proofErr w:type="spellStart"/>
      <w:r w:rsidRPr="00A41F8C">
        <w:rPr>
          <w:rFonts w:ascii="Palatino Linotype" w:hAnsi="Palatino Linotype"/>
          <w:sz w:val="20"/>
          <w:szCs w:val="20"/>
        </w:rPr>
        <w:t>Ritonga</w:t>
      </w:r>
      <w:proofErr w:type="spellEnd"/>
      <w:r w:rsidRPr="00A41F8C">
        <w:rPr>
          <w:rFonts w:ascii="Palatino Linotype" w:hAnsi="Palatino Linotype"/>
          <w:sz w:val="20"/>
          <w:szCs w:val="20"/>
        </w:rPr>
        <w:t xml:space="preserve"> et al., 2022)</w:t>
      </w:r>
      <w:r w:rsidRPr="00A41F8C">
        <w:rPr>
          <w:rFonts w:ascii="Palatino Linotype" w:hAnsi="Palatino Linotype" w:cstheme="majorBidi"/>
          <w:sz w:val="20"/>
          <w:szCs w:val="20"/>
          <w:lang w:val="id-ID"/>
        </w:rPr>
        <w:fldChar w:fldCharType="end"/>
      </w:r>
      <w:r>
        <w:rPr>
          <w:rFonts w:ascii="Palatino Linotype" w:hAnsi="Palatino Linotype" w:cstheme="majorBidi"/>
          <w:sz w:val="20"/>
          <w:szCs w:val="20"/>
          <w:lang w:val="id-ID"/>
        </w:rPr>
        <w:t>.</w:t>
      </w:r>
      <w:r w:rsidRPr="00A41F8C">
        <w:rPr>
          <w:rFonts w:ascii="Palatino Linotype" w:hAnsi="Palatino Linotype"/>
          <w:sz w:val="20"/>
          <w:szCs w:val="20"/>
        </w:rPr>
        <w:t xml:space="preserve"> </w:t>
      </w:r>
      <w:r w:rsidRPr="00A41F8C">
        <w:rPr>
          <w:rFonts w:ascii="Palatino Linotype" w:hAnsi="Palatino Linotype"/>
          <w:i/>
          <w:iCs/>
          <w:sz w:val="20"/>
          <w:szCs w:val="20"/>
        </w:rPr>
        <w:t>Third,</w:t>
      </w:r>
      <w:r>
        <w:rPr>
          <w:rFonts w:ascii="Palatino Linotype" w:hAnsi="Palatino Linotype"/>
          <w:sz w:val="20"/>
          <w:szCs w:val="20"/>
        </w:rPr>
        <w:t xml:space="preserve"> </w:t>
      </w:r>
      <w:r w:rsidRPr="00A41F8C">
        <w:rPr>
          <w:rFonts w:ascii="Palatino Linotype" w:hAnsi="Palatino Linotype" w:cstheme="majorBidi"/>
          <w:sz w:val="20"/>
          <w:szCs w:val="20"/>
          <w:lang w:val="id-ID"/>
        </w:rPr>
        <w:t xml:space="preserve">the </w:t>
      </w:r>
      <w:r>
        <w:rPr>
          <w:rFonts w:ascii="Palatino Linotype" w:hAnsi="Palatino Linotype" w:cstheme="majorBidi"/>
          <w:sz w:val="20"/>
          <w:szCs w:val="20"/>
          <w:lang w:val="id-ID"/>
        </w:rPr>
        <w:t>finding</w:t>
      </w:r>
      <w:r w:rsidRPr="00A41F8C">
        <w:rPr>
          <w:rFonts w:ascii="Palatino Linotype" w:hAnsi="Palatino Linotype" w:cstheme="majorBidi"/>
          <w:sz w:val="20"/>
          <w:szCs w:val="20"/>
          <w:lang w:val="id-ID"/>
        </w:rPr>
        <w:t xml:space="preserve"> revealed that 31 items did not meet the criteria for developing High Order Thinking Skills (HOTS). These 31 items were identified as containing 0% HOTS and 100% LOTS (Low Order Thinking Skills), indicating that the questions were unable to assess students' critical thinking skills </w:t>
      </w:r>
      <w:r w:rsidRPr="00A41F8C">
        <w:rPr>
          <w:rFonts w:ascii="Palatino Linotype" w:hAnsi="Palatino Linotype" w:cstheme="majorBidi"/>
          <w:sz w:val="20"/>
          <w:szCs w:val="20"/>
          <w:lang w:val="id-ID"/>
        </w:rPr>
        <w:fldChar w:fldCharType="begin"/>
      </w:r>
      <w:r w:rsidR="00A0227A">
        <w:rPr>
          <w:rFonts w:ascii="Palatino Linotype" w:hAnsi="Palatino Linotype" w:cstheme="majorBidi"/>
          <w:sz w:val="20"/>
          <w:szCs w:val="20"/>
          <w:lang w:val="id-ID"/>
        </w:rPr>
        <w:instrText xml:space="preserve"> ADDIN ZOTERO_ITEM CSL_CITATION {"citationID":"nxJPGwLx","properties":{"formattedCitation":"(Dikdas, 2021)","plainCitation":"(Dikdas, 2021)","noteIndex":0},"citationItems":[{"id":"hiqTCfwy/b85jRwey","uris":["http://zotero.org/users/local/Pjdjlz4D/items/F3SHL8WI"],"itemData":{"id":1185,"type":"article-journal","abstract":"ABSTRAKAlasan dilakukannya penelitian ini, dikarenakan masih kurangnya kemampuan guru dalam menyusun soal Hots dan  adanya faktor yang menjadi penghambat guru didalam menyusun soal PTS. Metode penelitian yang digunakan adalah metode penelitian deskriptif dengan pendekatan kualitatif. Berdasarkan hasil analisis, diperoleh temuan, yakni ditemukan 31 butir soal yang tidak memenuhi kriteria pengembangan Hots (High Order Thinking Skills), dimana dari hasil analisis level kognitif untuk menentukan Keterampilan berpikir kritis murid namun 31 butir soal tersebut terdapat 0% (Hots) dan 100% (Lots) dimana soal tersebut tidak dapat mengukur kemampuan berpikir kritis murid yang menyebabkan kemampuan guru dalam menyusun soal Hots (High Order Thinking Skills) masuk pada kategori sangat kurang dan perlu bimbingan.","container-title":"JURNAL PAJAR (Pendidikan dan Pengajaran)","DOI":"10.33578/pjr.v5i4.8218","ISSN":"2614-1337, 2580-8435","issue":"4","journalAbbreviation":"PJR","source":"DOI.org (Crossref)","title":"ANALISIS HOTS PADA SOAL PENILAIAN TENGAH SEMESTER DALAM MATA PELAJARAN ILMU PENGETAHUAN SOSIAL DI KELAS IV","URL":"https://pajar.ejournal.unri.ac.id/index.php/PJR/article/view/8218","volume":"5","author":[{"family":"Dikdas","given":"Hastuti"}],"accessed":{"date-parts":[["2024",2,3]]},"issued":{"date-parts":[["2021",7,9]]}}}],"schema":"https://github.com/citation-style-language/schema/raw/master/csl-citation.json"} </w:instrText>
      </w:r>
      <w:r w:rsidRPr="00A41F8C">
        <w:rPr>
          <w:rFonts w:ascii="Palatino Linotype" w:hAnsi="Palatino Linotype" w:cstheme="majorBidi"/>
          <w:sz w:val="20"/>
          <w:szCs w:val="20"/>
          <w:lang w:val="id-ID"/>
        </w:rPr>
        <w:fldChar w:fldCharType="separate"/>
      </w:r>
      <w:r w:rsidRPr="00A41F8C">
        <w:rPr>
          <w:rFonts w:ascii="Palatino Linotype" w:hAnsi="Palatino Linotype"/>
          <w:sz w:val="20"/>
          <w:szCs w:val="20"/>
        </w:rPr>
        <w:t>(</w:t>
      </w:r>
      <w:proofErr w:type="spellStart"/>
      <w:r w:rsidRPr="00A41F8C">
        <w:rPr>
          <w:rFonts w:ascii="Palatino Linotype" w:hAnsi="Palatino Linotype"/>
          <w:sz w:val="20"/>
          <w:szCs w:val="20"/>
        </w:rPr>
        <w:t>Dikdas</w:t>
      </w:r>
      <w:proofErr w:type="spellEnd"/>
      <w:r w:rsidRPr="00A41F8C">
        <w:rPr>
          <w:rFonts w:ascii="Palatino Linotype" w:hAnsi="Palatino Linotype"/>
          <w:sz w:val="20"/>
          <w:szCs w:val="20"/>
        </w:rPr>
        <w:t>, 2021)</w:t>
      </w:r>
      <w:r w:rsidRPr="00A41F8C">
        <w:rPr>
          <w:rFonts w:ascii="Palatino Linotype" w:hAnsi="Palatino Linotype" w:cstheme="majorBidi"/>
          <w:sz w:val="20"/>
          <w:szCs w:val="20"/>
          <w:lang w:val="id-ID"/>
        </w:rPr>
        <w:fldChar w:fldCharType="end"/>
      </w:r>
      <w:r>
        <w:rPr>
          <w:rFonts w:ascii="Palatino Linotype" w:hAnsi="Palatino Linotype" w:cstheme="majorBidi"/>
          <w:sz w:val="20"/>
          <w:szCs w:val="20"/>
          <w:lang w:val="id-ID"/>
        </w:rPr>
        <w:t>.</w:t>
      </w:r>
      <w:r w:rsidRPr="00A41F8C">
        <w:rPr>
          <w:rFonts w:ascii="Palatino Linotype" w:hAnsi="Palatino Linotype" w:cstheme="majorBidi"/>
          <w:sz w:val="20"/>
          <w:szCs w:val="20"/>
          <w:lang w:val="id-ID"/>
        </w:rPr>
        <w:t xml:space="preserve"> </w:t>
      </w:r>
    </w:p>
    <w:p w14:paraId="245E2E25" w14:textId="5AB62F14" w:rsidR="00A82864" w:rsidRPr="00A41F8C" w:rsidRDefault="00A82864" w:rsidP="00A82864">
      <w:pPr>
        <w:spacing w:after="0" w:line="240" w:lineRule="auto"/>
        <w:ind w:firstLine="425"/>
        <w:jc w:val="both"/>
        <w:rPr>
          <w:rFonts w:ascii="Palatino Linotype" w:hAnsi="Palatino Linotype" w:cstheme="majorBidi"/>
          <w:sz w:val="20"/>
          <w:szCs w:val="20"/>
          <w:lang w:val="en-US"/>
        </w:rPr>
      </w:pPr>
      <w:r w:rsidRPr="00A82864">
        <w:rPr>
          <w:rFonts w:ascii="Palatino Linotype" w:hAnsi="Palatino Linotype" w:cstheme="majorBidi"/>
          <w:sz w:val="20"/>
          <w:szCs w:val="20"/>
          <w:lang w:val="en-US"/>
        </w:rPr>
        <w:t xml:space="preserve">The purpose of this study was to evaluate the effectiveness of the Jigsaw learning model in improving learning outcomes and higher order thinking skills (HOTS) of students at </w:t>
      </w:r>
      <w:proofErr w:type="spellStart"/>
      <w:r w:rsidRPr="00A82864">
        <w:rPr>
          <w:rFonts w:ascii="Palatino Linotype" w:hAnsi="Palatino Linotype" w:cstheme="majorBidi"/>
          <w:sz w:val="20"/>
          <w:szCs w:val="20"/>
          <w:lang w:val="en-US"/>
        </w:rPr>
        <w:t>MTsS</w:t>
      </w:r>
      <w:proofErr w:type="spellEnd"/>
      <w:r w:rsidRPr="00A82864">
        <w:rPr>
          <w:rFonts w:ascii="Palatino Linotype" w:hAnsi="Palatino Linotype" w:cstheme="majorBidi"/>
          <w:sz w:val="20"/>
          <w:szCs w:val="20"/>
          <w:lang w:val="en-US"/>
        </w:rPr>
        <w:t xml:space="preserve"> </w:t>
      </w:r>
      <w:proofErr w:type="spellStart"/>
      <w:r w:rsidRPr="00A82864">
        <w:rPr>
          <w:rFonts w:ascii="Palatino Linotype" w:hAnsi="Palatino Linotype" w:cstheme="majorBidi"/>
          <w:sz w:val="20"/>
          <w:szCs w:val="20"/>
          <w:lang w:val="en-US"/>
        </w:rPr>
        <w:t>Ashhabul</w:t>
      </w:r>
      <w:proofErr w:type="spellEnd"/>
      <w:r w:rsidRPr="00A82864">
        <w:rPr>
          <w:rFonts w:ascii="Palatino Linotype" w:hAnsi="Palatino Linotype" w:cstheme="majorBidi"/>
          <w:sz w:val="20"/>
          <w:szCs w:val="20"/>
          <w:lang w:val="en-US"/>
        </w:rPr>
        <w:t xml:space="preserve"> Yamin </w:t>
      </w:r>
      <w:proofErr w:type="spellStart"/>
      <w:r w:rsidRPr="00A82864">
        <w:rPr>
          <w:rFonts w:ascii="Palatino Linotype" w:hAnsi="Palatino Linotype" w:cstheme="majorBidi"/>
          <w:sz w:val="20"/>
          <w:szCs w:val="20"/>
          <w:lang w:val="en-US"/>
        </w:rPr>
        <w:t>Lasi</w:t>
      </w:r>
      <w:proofErr w:type="spellEnd"/>
      <w:r w:rsidRPr="00A82864">
        <w:rPr>
          <w:rFonts w:ascii="Palatino Linotype" w:hAnsi="Palatino Linotype" w:cstheme="majorBidi"/>
          <w:sz w:val="20"/>
          <w:szCs w:val="20"/>
          <w:lang w:val="en-US"/>
        </w:rPr>
        <w:t xml:space="preserve">. This study aims to assess the extent to which the Jigsaw model can have a positive impact on students' academic achievement and cognitive abilities in a collaborative learning context. In addition, this study aims to identify the weaknesses and advantages of the Jigsaw model in the local curriculum, as well as explore how the application of this model can be adapted to address more complex learning challenges in the modern education era. The results of this study are expected to provide a deep insight into how to effectively improve the quality of learning at </w:t>
      </w:r>
      <w:proofErr w:type="spellStart"/>
      <w:r w:rsidRPr="00A82864">
        <w:rPr>
          <w:rFonts w:ascii="Palatino Linotype" w:hAnsi="Palatino Linotype" w:cstheme="majorBidi"/>
          <w:sz w:val="20"/>
          <w:szCs w:val="20"/>
          <w:lang w:val="en-US"/>
        </w:rPr>
        <w:t>MTsS</w:t>
      </w:r>
      <w:proofErr w:type="spellEnd"/>
      <w:r w:rsidRPr="00A82864">
        <w:rPr>
          <w:rFonts w:ascii="Palatino Linotype" w:hAnsi="Palatino Linotype" w:cstheme="majorBidi"/>
          <w:sz w:val="20"/>
          <w:szCs w:val="20"/>
          <w:lang w:val="en-US"/>
        </w:rPr>
        <w:t xml:space="preserve"> </w:t>
      </w:r>
      <w:proofErr w:type="spellStart"/>
      <w:r w:rsidRPr="00A82864">
        <w:rPr>
          <w:rFonts w:ascii="Palatino Linotype" w:hAnsi="Palatino Linotype" w:cstheme="majorBidi"/>
          <w:sz w:val="20"/>
          <w:szCs w:val="20"/>
          <w:lang w:val="en-US"/>
        </w:rPr>
        <w:t>Ashhabul</w:t>
      </w:r>
      <w:proofErr w:type="spellEnd"/>
      <w:r w:rsidRPr="00A82864">
        <w:rPr>
          <w:rFonts w:ascii="Palatino Linotype" w:hAnsi="Palatino Linotype" w:cstheme="majorBidi"/>
          <w:sz w:val="20"/>
          <w:szCs w:val="20"/>
          <w:lang w:val="en-US"/>
        </w:rPr>
        <w:t xml:space="preserve"> Yamin </w:t>
      </w:r>
      <w:proofErr w:type="spellStart"/>
      <w:r w:rsidRPr="00A82864">
        <w:rPr>
          <w:rFonts w:ascii="Palatino Linotype" w:hAnsi="Palatino Linotype" w:cstheme="majorBidi"/>
          <w:sz w:val="20"/>
          <w:szCs w:val="20"/>
          <w:lang w:val="en-US"/>
        </w:rPr>
        <w:t>Lasi</w:t>
      </w:r>
      <w:proofErr w:type="spellEnd"/>
      <w:r w:rsidRPr="00A82864">
        <w:rPr>
          <w:rFonts w:ascii="Palatino Linotype" w:hAnsi="Palatino Linotype" w:cstheme="majorBidi"/>
          <w:sz w:val="20"/>
          <w:szCs w:val="20"/>
          <w:lang w:val="en-US"/>
        </w:rPr>
        <w:t xml:space="preserve"> and develop students' critical thinking skills that are needed in today's education. The implications of this research are not only limited to improving the quality of education at the local level, but also have significant global relevance. With the increasing need for 21st century skills, such as critical thinking, collaboration and problem-solving, this research can inspire educational institutions around the world to adopt more innovative and adaptive teaching methods.</w:t>
      </w:r>
    </w:p>
    <w:p w14:paraId="53D1ABF4" w14:textId="77777777" w:rsidR="005B5AEC" w:rsidRPr="00723B12" w:rsidRDefault="005B5AEC" w:rsidP="005B5AEC">
      <w:pPr>
        <w:pStyle w:val="Alishlah21heading1"/>
        <w:rPr>
          <w:rFonts w:eastAsia="Arial"/>
        </w:rPr>
      </w:pPr>
      <w:r w:rsidRPr="00723B12">
        <w:rPr>
          <w:rFonts w:eastAsia="Arial"/>
        </w:rPr>
        <w:t xml:space="preserve">METHODS </w:t>
      </w:r>
    </w:p>
    <w:p w14:paraId="30774CD5" w14:textId="38ECD296" w:rsidR="00A41F8C" w:rsidRDefault="00A41F8C" w:rsidP="00AE1C5B">
      <w:pPr>
        <w:pStyle w:val="Alishlah31text"/>
      </w:pPr>
      <w:r w:rsidRPr="00A41F8C">
        <w:t xml:space="preserve">This study is </w:t>
      </w:r>
      <w:proofErr w:type="gramStart"/>
      <w:r w:rsidRPr="00A41F8C">
        <w:t>a quasi-experimental research</w:t>
      </w:r>
      <w:proofErr w:type="gramEnd"/>
      <w:r w:rsidRPr="00A41F8C">
        <w:t xml:space="preserve"> with the aim of evaluating the positive impact of the Jigsaw learning strategy on learning outcomes and Higher-Order Thinking Skills (HOTS) of students at </w:t>
      </w:r>
      <w:proofErr w:type="spellStart"/>
      <w:r w:rsidRPr="00A41F8C">
        <w:t>MTsS</w:t>
      </w:r>
      <w:proofErr w:type="spellEnd"/>
      <w:r w:rsidRPr="00A41F8C">
        <w:t xml:space="preserve"> </w:t>
      </w:r>
      <w:proofErr w:type="spellStart"/>
      <w:r w:rsidRPr="00A41F8C">
        <w:t>Ashhabul</w:t>
      </w:r>
      <w:proofErr w:type="spellEnd"/>
      <w:r w:rsidRPr="00A41F8C">
        <w:t xml:space="preserve"> Yamin </w:t>
      </w:r>
      <w:proofErr w:type="spellStart"/>
      <w:r w:rsidRPr="00A41F8C">
        <w:t>Lasi</w:t>
      </w:r>
      <w:proofErr w:type="spellEnd"/>
      <w:r w:rsidRPr="00A41F8C">
        <w:t xml:space="preserve">. Two groups were involved in this research, where the experimental group received the implementation of the Jigsaw learning strategy, while the control group underwent conventional learning. Data were collected through learning outcome tests, which included multiple-choice questions to measure learning outcomes and essay tests to assess students' Higher-Order Thinking Skills. Tests were conducted before (pretest) and after (posttest) the implementation of the Jigsaw learning strategy. The data were then analyzed using correlation techniques and simple </w:t>
      </w:r>
      <w:r w:rsidRPr="00A41F8C">
        <w:lastRenderedPageBreak/>
        <w:t xml:space="preserve">regression analysis. The research population included all eighth-grade students at </w:t>
      </w:r>
      <w:proofErr w:type="spellStart"/>
      <w:r w:rsidRPr="00A41F8C">
        <w:t>MTsS</w:t>
      </w:r>
      <w:proofErr w:type="spellEnd"/>
      <w:r w:rsidRPr="00A41F8C">
        <w:t xml:space="preserve"> </w:t>
      </w:r>
      <w:proofErr w:type="spellStart"/>
      <w:r w:rsidRPr="00A41F8C">
        <w:t>Ashhabul</w:t>
      </w:r>
      <w:proofErr w:type="spellEnd"/>
      <w:r w:rsidRPr="00A41F8C">
        <w:t xml:space="preserve"> Yamin </w:t>
      </w:r>
      <w:proofErr w:type="spellStart"/>
      <w:r w:rsidRPr="00A41F8C">
        <w:t>Lasi</w:t>
      </w:r>
      <w:proofErr w:type="spellEnd"/>
      <w:r w:rsidRPr="00A41F8C">
        <w:t xml:space="preserve">, with the sample consisting of two classes, namely the experimental class and the control class. The experimental method was used to evaluate the influence of the independent variable (Jigsaw learning strategy) on the dependent variables (learning outcomes and Higher-Order Thinking Skills). The research procedure involved pretest, implementation of the learning strategy, and posttest stages. Measurement of learning outcomes and Higher-Order Thinking Skills was conducted after the implementation of the strategy. Data analysis was performed using statistical techniques and SPSS software version 2.6. Data collection was carried out through learning outcome and Higher-Order Thinking Skills tests, with instruments consisting of multiple-choice and essay questions. The instruments were designed based on grids covering indicators of basic learning competencies. Thus, this research aims to evaluate the positive impact of the Jigsaw learning strategy on learning outcomes and Higher-Order Thinking Skills of students at </w:t>
      </w:r>
      <w:proofErr w:type="spellStart"/>
      <w:r w:rsidRPr="00A41F8C">
        <w:t>MTsS</w:t>
      </w:r>
      <w:proofErr w:type="spellEnd"/>
      <w:r w:rsidRPr="00A41F8C">
        <w:t xml:space="preserve"> </w:t>
      </w:r>
      <w:proofErr w:type="spellStart"/>
      <w:r w:rsidRPr="00A41F8C">
        <w:t>Ashhabul</w:t>
      </w:r>
      <w:proofErr w:type="spellEnd"/>
      <w:r w:rsidRPr="00A41F8C">
        <w:t xml:space="preserve"> Yamin </w:t>
      </w:r>
      <w:proofErr w:type="spellStart"/>
      <w:r w:rsidRPr="00A41F8C">
        <w:t>Lasi</w:t>
      </w:r>
      <w:proofErr w:type="spellEnd"/>
      <w:r w:rsidRPr="00A41F8C">
        <w:t>. The conclusion of this study provides a clearer picture of the benefits of the Jigsaw learning strategy in improving learning outcomes and Higher-Order Thinking Skills of students at the secondary education level.</w:t>
      </w:r>
    </w:p>
    <w:p w14:paraId="03AF8E36"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790B174B" w14:textId="08AF7203" w:rsidR="002B31FD" w:rsidRDefault="00CF5063" w:rsidP="003B06AC">
      <w:pPr>
        <w:pStyle w:val="Alishlah22heading2"/>
        <w:spacing w:after="0"/>
      </w:pPr>
      <w:r>
        <w:t>3</w:t>
      </w:r>
      <w:r w:rsidR="002B31FD" w:rsidRPr="004841C5">
        <w:t xml:space="preserve">.1. </w:t>
      </w:r>
      <w:r w:rsidR="003B06AC">
        <w:t xml:space="preserve">The Effect of Jigsaw Learning Strategy on Learning Outcomes in Social Science </w:t>
      </w:r>
    </w:p>
    <w:p w14:paraId="7E297B0D" w14:textId="08B0ED51" w:rsidR="00B158C3" w:rsidRDefault="00B158C3" w:rsidP="00A10281">
      <w:pPr>
        <w:pStyle w:val="Alishlah22heading2"/>
        <w:spacing w:before="0" w:after="0"/>
        <w:ind w:firstLine="425"/>
        <w:jc w:val="both"/>
        <w:rPr>
          <w:b w:val="0"/>
          <w:bCs w:val="0"/>
          <w:i w:val="0"/>
          <w:iCs/>
        </w:rPr>
      </w:pPr>
      <w:r w:rsidRPr="00B158C3">
        <w:rPr>
          <w:b w:val="0"/>
          <w:bCs w:val="0"/>
          <w:i w:val="0"/>
          <w:iCs/>
        </w:rPr>
        <w:t>To determine the effect of Jigsaw learning strategy on student learning outcomes and higher order thinking skills (HOTS) in social studies class VIII at MTsS Ashhabul Yamin Lasi. This research was conducted 4 times a meeting, both for the experimental class and the control class, this is based on the semester programme that has been made by the subject teacher who teaches in class VIII. The data processed in this study are data obtained from the recapitulation of the implementation of Pretests and Posttests from the initial meeting to the end. Before the first meeting was held, pretests were carried out first both experimental and control classes, with the same questions. After the pretest was carried out in both the experimental and control classes, the posttest was given with the same questions. The questions given totalled 25 questions and had been validated beforehand. This study provides different treatments between the experimental class and the control class. The experimental class was given treatment with the application of the Jigsaw learning strategy while the control class applied the conventional learning model.</w:t>
      </w:r>
    </w:p>
    <w:p w14:paraId="619B0DAD" w14:textId="568780B8" w:rsidR="00B158C3" w:rsidRDefault="00B158C3" w:rsidP="00A10281">
      <w:pPr>
        <w:pStyle w:val="Alishlah22heading2"/>
        <w:spacing w:before="0" w:after="0"/>
        <w:ind w:firstLine="425"/>
        <w:jc w:val="both"/>
        <w:rPr>
          <w:b w:val="0"/>
          <w:bCs w:val="0"/>
          <w:i w:val="0"/>
          <w:iCs/>
        </w:rPr>
      </w:pPr>
      <w:r w:rsidRPr="00B158C3">
        <w:rPr>
          <w:b w:val="0"/>
          <w:bCs w:val="0"/>
          <w:i w:val="0"/>
          <w:iCs/>
        </w:rPr>
        <w:t>Data collection was carried out through a pre-test at the beginning of the session and a post-test at the end, aimed at measuring the differences in student learning outcomes and higher-order thinking skills (HOTS) between the experimental class and the control class</w:t>
      </w:r>
      <w:r w:rsidR="00081C72">
        <w:rPr>
          <w:b w:val="0"/>
          <w:bCs w:val="0"/>
          <w:i w:val="0"/>
          <w:iCs/>
        </w:rPr>
        <w:t xml:space="preserve"> </w:t>
      </w:r>
      <w:r w:rsidR="00081C72" w:rsidRPr="00081C72">
        <w:rPr>
          <w:b w:val="0"/>
          <w:bCs w:val="0"/>
          <w:i w:val="0"/>
          <w:iCs/>
        </w:rPr>
        <w:fldChar w:fldCharType="begin"/>
      </w:r>
      <w:r w:rsidR="00081C72" w:rsidRPr="00081C72">
        <w:rPr>
          <w:b w:val="0"/>
          <w:bCs w:val="0"/>
          <w:i w:val="0"/>
          <w:iCs/>
        </w:rPr>
        <w:instrText xml:space="preserve"> ADDIN ZOTERO_ITEM CSL_CITATION {"citationID":"nXHk79Wr","properties":{"formattedCitation":"(Ichsan et al., 2019)","plainCitation":"(Ichsan et al., 2019)","noteIndex":0},"citationItems":[{"id":813,"uris":["http://zotero.org/users/local/Wqqix2jN/items/FXKM8E4M"],"itemData":{"id":813,"type":"article-journal","abstract":"&lt;p style=\"text-align:justify\"&gt;Environmental learning in the 21st century requires students to have Higher Order Thinking Skills (HOTS). The purpose of this study was to measure HOTS students using Higher Order Thinking Skills Assessment based on Environmental Problem (HOTS-AEP). The research method used in this study was descriptive method with a total sample of 248 students consisting of Elementary School (ES), Junior High School (JHS), Bachelor Program (BP), and Master Program (MP). The results showed that students overall have a very low HOTS category. HOTS scores scale of 0-100 on ES (22.3) are still higher than JHS (20.2). Whereas at the university level, BP scores (19.9) are lower than MP (21.4). This showed that learning must be oriented towards increasing HOTS through various media development learning, learning materials, learning models, and strategies. This study concludes that the HOTS score of students was still very low and needs to be improved.&lt;/p&gt;","container-title":"European Journal of Educational Research","DOI":"10.12973/eu-jer.8.4.935","ISSN":"21658714, 21658714","issue":"volume8-issue4.html","journalAbbreviation":"EUROPEAN J ED RES","page":"935-942","source":"DOI.org (Crossref)","title":"HOTS-AEP: Higher Order Thinking Skills from Elementary to Master Students in Environmental Learning","title-short":"HOTS-AEP","volume":"volume-8-2019","author":[{"family":"Ichsan","given":"Ilmi Zajuli"},{"family":"Sigit","given":"Diana Vivanti"},{"family":"Miarsyah","given":"Mieke"},{"family":"Ali","given":"Ahmad"},{"family":"Arif","given":"Wiwin Pramita"},{"family":"Prayitno","given":"Trio Ageng"}],"issued":{"date-parts":[["2019",10,15]]}}}],"schema":"https://github.com/citation-style-language/schema/raw/master/csl-citation.json"} </w:instrText>
      </w:r>
      <w:r w:rsidR="00081C72" w:rsidRPr="00081C72">
        <w:rPr>
          <w:b w:val="0"/>
          <w:bCs w:val="0"/>
          <w:i w:val="0"/>
          <w:iCs/>
        </w:rPr>
        <w:fldChar w:fldCharType="separate"/>
      </w:r>
      <w:r w:rsidR="00081C72" w:rsidRPr="00081C72">
        <w:rPr>
          <w:b w:val="0"/>
          <w:bCs w:val="0"/>
          <w:i w:val="0"/>
          <w:iCs/>
        </w:rPr>
        <w:t>(Ichsan et al., 2019)</w:t>
      </w:r>
      <w:r w:rsidR="00081C72" w:rsidRPr="00081C72">
        <w:rPr>
          <w:b w:val="0"/>
          <w:bCs w:val="0"/>
          <w:i w:val="0"/>
          <w:iCs/>
        </w:rPr>
        <w:fldChar w:fldCharType="end"/>
      </w:r>
      <w:r w:rsidRPr="00B158C3">
        <w:rPr>
          <w:b w:val="0"/>
          <w:bCs w:val="0"/>
          <w:i w:val="0"/>
          <w:iCs/>
        </w:rPr>
        <w:t>. The pre-test was conducted to assess the students' initial abilities before the intervention, while the post-test was used to evaluate the improvement after the applied teaching methods</w:t>
      </w:r>
      <w:r w:rsidR="00081C72">
        <w:rPr>
          <w:b w:val="0"/>
          <w:bCs w:val="0"/>
          <w:i w:val="0"/>
          <w:iCs/>
        </w:rPr>
        <w:t xml:space="preserve"> </w:t>
      </w:r>
      <w:r w:rsidR="00431018" w:rsidRPr="00431018">
        <w:rPr>
          <w:b w:val="0"/>
          <w:bCs w:val="0"/>
          <w:i w:val="0"/>
          <w:iCs/>
        </w:rPr>
        <w:fldChar w:fldCharType="begin"/>
      </w:r>
      <w:r w:rsidR="00431018" w:rsidRPr="00431018">
        <w:rPr>
          <w:b w:val="0"/>
          <w:bCs w:val="0"/>
          <w:i w:val="0"/>
          <w:iCs/>
        </w:rPr>
        <w:instrText xml:space="preserve"> ADDIN ZOTERO_ITEM CSL_CITATION {"citationID":"KyZs29d9","properties":{"formattedCitation":"(Lagorce et al., 2017)","plainCitation":"(Lagorce et al., 2017)","noteIndex":0},"citationItems":[{"id":799,"uris":["http://zotero.org/users/local/Wqqix2jN/items/HI3KEFUQ"],"itemData":{"id":799,"type":"article-journal","container-title":"IEEE Transactions on Pattern Analysis and Machine Intelligence","DOI":"10.1109/TPAMI.2016.2574707","ISSN":"0162-8828, 2160-9292","issue":"7","journalAbbreviation":"IEEE Trans. Pattern Anal. Mach. Intell.","license":"https://ieeexplore.ieee.org/Xplorehelp/downloads/license-information/OAPA.html","page":"1346-1359","source":"DOI.org (Crossref)","title":"HOTS: A Hierarchy of Event-Based Time-Surfaces for Pattern Recognition","title-short":"HOTS","volume":"39","author":[{"family":"Lagorce","given":"Xavier"},{"family":"Orchard","given":"Garrick"},{"family":"Galluppi","given":"Francesco"},{"family":"Shi","given":"Bertram E."},{"family":"Benosman","given":"Ryad B."}],"issued":{"date-parts":[["2017",7,1]]}}}],"schema":"https://github.com/citation-style-language/schema/raw/master/csl-citation.json"} </w:instrText>
      </w:r>
      <w:r w:rsidR="00431018" w:rsidRPr="00431018">
        <w:rPr>
          <w:b w:val="0"/>
          <w:bCs w:val="0"/>
          <w:i w:val="0"/>
          <w:iCs/>
        </w:rPr>
        <w:fldChar w:fldCharType="separate"/>
      </w:r>
      <w:r w:rsidR="00431018" w:rsidRPr="00431018">
        <w:rPr>
          <w:b w:val="0"/>
          <w:bCs w:val="0"/>
          <w:i w:val="0"/>
          <w:iCs/>
        </w:rPr>
        <w:t>(Lagorce et al., 2017)</w:t>
      </w:r>
      <w:r w:rsidR="00431018" w:rsidRPr="00431018">
        <w:rPr>
          <w:b w:val="0"/>
          <w:bCs w:val="0"/>
          <w:i w:val="0"/>
          <w:iCs/>
        </w:rPr>
        <w:fldChar w:fldCharType="end"/>
      </w:r>
      <w:r w:rsidRPr="00431018">
        <w:rPr>
          <w:b w:val="0"/>
          <w:bCs w:val="0"/>
          <w:i w:val="0"/>
          <w:iCs/>
        </w:rPr>
        <w:t>.</w:t>
      </w:r>
      <w:r w:rsidRPr="00B158C3">
        <w:rPr>
          <w:b w:val="0"/>
          <w:bCs w:val="0"/>
          <w:i w:val="0"/>
          <w:iCs/>
        </w:rPr>
        <w:t xml:space="preserve"> The experimental class used the Jigsaw learning strategy, where students worked collaboratively in small groups, sharing information and teaching one another to understand the material. This approach was designed to increase student engagement in the learning process, allowing them not only </w:t>
      </w:r>
      <w:r w:rsidRPr="00431018">
        <w:rPr>
          <w:b w:val="0"/>
          <w:bCs w:val="0"/>
          <w:i w:val="0"/>
          <w:iCs/>
        </w:rPr>
        <w:t>to gain a deeper understanding of the material but also to practice critical and analytical thinking</w:t>
      </w:r>
      <w:r w:rsidR="00431018" w:rsidRPr="00431018">
        <w:rPr>
          <w:b w:val="0"/>
          <w:bCs w:val="0"/>
          <w:i w:val="0"/>
          <w:iCs/>
        </w:rPr>
        <w:t xml:space="preserve"> </w:t>
      </w:r>
      <w:r w:rsidR="00431018" w:rsidRPr="00431018">
        <w:rPr>
          <w:b w:val="0"/>
          <w:bCs w:val="0"/>
          <w:i w:val="0"/>
          <w:iCs/>
        </w:rPr>
        <w:fldChar w:fldCharType="begin"/>
      </w:r>
      <w:r w:rsidR="00431018" w:rsidRPr="00431018">
        <w:rPr>
          <w:b w:val="0"/>
          <w:bCs w:val="0"/>
          <w:i w:val="0"/>
          <w:iCs/>
        </w:rPr>
        <w:instrText xml:space="preserve"> ADDIN ZOTERO_ITEM CSL_CITATION {"citationID":"MuuRzUfR","properties":{"formattedCitation":"(Wilson &amp; A/l Narasuman, 2020)","plainCitation":"(Wilson &amp; A/l Narasuman, 2020)","noteIndex":0},"citationItems":[{"id":810,"uris":["http://zotero.org/users/local/Wqqix2jN/items/GT4MWDNN"],"itemData":{"id":810,"type":"article-journal","abstract":"Higher Order Thinking Skills (HOTS) among students is crucial to be developed in the education system as to prepare students to face the 21st century situations as well as to develop students to reach their full potential. In Malaysia, the integration of HOTS in the new School Based Assessment is a move towards realizing the government's aspiration of achieving a quality education system. The study seeks to investigate teachers' challenges and their strategies on integrating Higher Order Thinking Skills (HOTS) in School Based Assessment (SBA). This study was conducted at three Secondary schools in Tawau, Sabah, Malaysia. This study has been conducted using the descriptive quantitative research design. The instrument used is questionnaire and 68 teachers who are teaching Form One, Form Two and Form Three students at the schools participated in this study. Data is analysed using descriptive statistic and frequency, percentage, mean and standard deviation are analysed by using SPSS package (version 22). The results of the finding outlined several challenges faced by the respondents during the integration of HOTS in SBA instruments. The findings in this study also highlight the strategies employed by teachers to integrate HOTS in SBA. \r\nKeywords: Challenges, Higher Order Thinking Skills (HOTS), School Based Assessment (SBA), and Strategies","container-title":"Asian Journal of University Education","DOI":"10.24191/ajue.v16i1.8991","ISSN":"2600-9749, 1823-7797","issue":"1","journalAbbreviation":"AJUE","license":"https://creativecommons.org/licenses/by-nc-nd/4.0/","page":"70","source":"DOI.org (Crossref)","title":"Investigating Teachers' Implementation and Strategies on Higher Order Thinking Skills in School Based Assessment Instruments","volume":"16","author":[{"family":"Wilson","given":"Diana Marie"},{"family":"A/l Narasuman","given":"Suthagar"}],"issued":{"date-parts":[["2020",4,28]]}}}],"schema":"https://github.com/citation-style-language/schema/raw/master/csl-citation.json"} </w:instrText>
      </w:r>
      <w:r w:rsidR="00431018" w:rsidRPr="00431018">
        <w:rPr>
          <w:b w:val="0"/>
          <w:bCs w:val="0"/>
          <w:i w:val="0"/>
          <w:iCs/>
        </w:rPr>
        <w:fldChar w:fldCharType="separate"/>
      </w:r>
      <w:r w:rsidR="00431018" w:rsidRPr="00431018">
        <w:rPr>
          <w:b w:val="0"/>
          <w:bCs w:val="0"/>
          <w:i w:val="0"/>
          <w:iCs/>
        </w:rPr>
        <w:t>(Wilson &amp; A/l Narasuman, 2020)</w:t>
      </w:r>
      <w:r w:rsidR="00431018" w:rsidRPr="00431018">
        <w:rPr>
          <w:b w:val="0"/>
          <w:bCs w:val="0"/>
          <w:i w:val="0"/>
          <w:iCs/>
        </w:rPr>
        <w:fldChar w:fldCharType="end"/>
      </w:r>
      <w:r w:rsidRPr="00431018">
        <w:rPr>
          <w:b w:val="0"/>
          <w:bCs w:val="0"/>
          <w:i w:val="0"/>
          <w:iCs/>
        </w:rPr>
        <w:t>. In contrast, the control class used the conventional teaching model</w:t>
      </w:r>
      <w:r w:rsidR="00431018" w:rsidRPr="00431018">
        <w:rPr>
          <w:b w:val="0"/>
          <w:bCs w:val="0"/>
          <w:i w:val="0"/>
          <w:iCs/>
        </w:rPr>
        <w:t xml:space="preserve"> </w:t>
      </w:r>
      <w:r w:rsidR="00431018" w:rsidRPr="00431018">
        <w:rPr>
          <w:b w:val="0"/>
          <w:bCs w:val="0"/>
          <w:i w:val="0"/>
          <w:iCs/>
        </w:rPr>
        <w:fldChar w:fldCharType="begin"/>
      </w:r>
      <w:r w:rsidR="00431018" w:rsidRPr="00431018">
        <w:rPr>
          <w:b w:val="0"/>
          <w:bCs w:val="0"/>
          <w:i w:val="0"/>
          <w:iCs/>
        </w:rPr>
        <w:instrText xml:space="preserve"> ADDIN ZOTERO_ITEM CSL_CITATION {"citationID":"pjOEw9Ja","properties":{"formattedCitation":"(Wu et al., 2024)","plainCitation":"(Wu et al., 2024)","noteIndex":0},"citationItems":[{"id":812,"uris":["http://zotero.org/users/local/Wqqix2jN/items/5SJ6FQ3P"],"itemData":{"id":812,"type":"article-journal","container-title":"The International Journal of Management Education","DOI":"10.1016/j.ijme.2024.100930","ISSN":"14728117","issue":"1","journalAbbreviation":"The International Journal of Management Education","language":"en","page":"100930","source":"DOI.org (Crossref)","title":"Integrating extended formative assessment in flipped jigsaw learning: Promoting learning engagement and higher-order thinking skills in international business education context","title-short":"Integrating extended formative assessment in flipped jigsaw learning","volume":"22","author":[{"family":"Wu","given":"Ting-Ting"},{"family":"Sari","given":"Noviati Aning Rizki Mustika"},{"family":"Huang","given":"Yueh-Min"}],"issued":{"date-parts":[["2024",3]]}}}],"schema":"https://github.com/citation-style-language/schema/raw/master/csl-citation.json"} </w:instrText>
      </w:r>
      <w:r w:rsidR="00431018" w:rsidRPr="00431018">
        <w:rPr>
          <w:b w:val="0"/>
          <w:bCs w:val="0"/>
          <w:i w:val="0"/>
          <w:iCs/>
        </w:rPr>
        <w:fldChar w:fldCharType="separate"/>
      </w:r>
      <w:r w:rsidR="00431018" w:rsidRPr="00431018">
        <w:rPr>
          <w:b w:val="0"/>
          <w:bCs w:val="0"/>
          <w:i w:val="0"/>
          <w:iCs/>
        </w:rPr>
        <w:t>(Wu et al., 2024)</w:t>
      </w:r>
      <w:r w:rsidR="00431018" w:rsidRPr="00431018">
        <w:rPr>
          <w:b w:val="0"/>
          <w:bCs w:val="0"/>
          <w:i w:val="0"/>
          <w:iCs/>
        </w:rPr>
        <w:fldChar w:fldCharType="end"/>
      </w:r>
      <w:r w:rsidRPr="00431018">
        <w:rPr>
          <w:b w:val="0"/>
          <w:bCs w:val="0"/>
          <w:i w:val="0"/>
          <w:iCs/>
        </w:rPr>
        <w:t>, where the teacher played the primary role in delivering the material, and the students acted more passively as listeners. By comparing the post-test results of both classes, the researcher aimed to identify how significantly the Jigsaw strategy impacted student learning outcomes and the development of their HOTS. This comparative analysis is expected to provide a clear understanding of the advantages of the Jigsaw method in creating</w:t>
      </w:r>
      <w:r w:rsidRPr="00B158C3">
        <w:rPr>
          <w:b w:val="0"/>
          <w:bCs w:val="0"/>
          <w:i w:val="0"/>
          <w:iCs/>
        </w:rPr>
        <w:t xml:space="preserve"> a more dynamic learning environment that fosters the development of higher-order thinking skills compared to traditional, less interactive teaching models.</w:t>
      </w:r>
    </w:p>
    <w:p w14:paraId="511FD6C4" w14:textId="793E6EC8" w:rsidR="00795A17" w:rsidRDefault="00795A17" w:rsidP="00795A17">
      <w:pPr>
        <w:pStyle w:val="Alishlah22heading2"/>
        <w:spacing w:before="0" w:after="0"/>
        <w:jc w:val="center"/>
        <w:rPr>
          <w:b w:val="0"/>
          <w:bCs w:val="0"/>
          <w:i w:val="0"/>
          <w:iCs/>
        </w:rPr>
      </w:pPr>
      <w:r>
        <w:lastRenderedPageBreak/>
        <w:drawing>
          <wp:inline distT="0" distB="0" distL="0" distR="0" wp14:anchorId="42896166" wp14:editId="2B6A68A9">
            <wp:extent cx="4572000" cy="2743200"/>
            <wp:effectExtent l="0" t="0" r="0" b="0"/>
            <wp:docPr id="1667472584" name="Chart 1">
              <a:extLst xmlns:a="http://schemas.openxmlformats.org/drawingml/2006/main">
                <a:ext uri="{FF2B5EF4-FFF2-40B4-BE49-F238E27FC236}">
                  <a16:creationId xmlns:a16="http://schemas.microsoft.com/office/drawing/2014/main" id="{B05C3BB6-5EBC-4A1F-EECD-5FAAF9FF6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C9BB83" w14:textId="02E0E3AA" w:rsidR="00795A17" w:rsidRDefault="00795A17" w:rsidP="00AE1C5B">
      <w:pPr>
        <w:pStyle w:val="Alishlah22heading2"/>
        <w:jc w:val="center"/>
        <w:rPr>
          <w:b w:val="0"/>
          <w:bCs w:val="0"/>
          <w:i w:val="0"/>
          <w:iCs/>
        </w:rPr>
      </w:pPr>
      <w:r w:rsidRPr="00795A17">
        <w:rPr>
          <w:i w:val="0"/>
          <w:iCs/>
        </w:rPr>
        <w:t>Figure 1.</w:t>
      </w:r>
      <w:r>
        <w:rPr>
          <w:b w:val="0"/>
          <w:bCs w:val="0"/>
          <w:i w:val="0"/>
          <w:iCs/>
        </w:rPr>
        <w:t xml:space="preserve"> </w:t>
      </w:r>
      <w:r w:rsidRPr="00795A17">
        <w:rPr>
          <w:b w:val="0"/>
          <w:bCs w:val="0"/>
          <w:i w:val="0"/>
          <w:iCs/>
        </w:rPr>
        <w:t>Comparison of Experimental and Control Class Grades</w:t>
      </w:r>
    </w:p>
    <w:p w14:paraId="3D9B4E7D" w14:textId="3C3346C8" w:rsidR="00B158C3" w:rsidRDefault="00B158C3" w:rsidP="00A10281">
      <w:pPr>
        <w:pStyle w:val="Alishlah22heading2"/>
        <w:spacing w:before="0" w:after="0"/>
        <w:ind w:firstLine="425"/>
        <w:jc w:val="both"/>
        <w:rPr>
          <w:b w:val="0"/>
          <w:bCs w:val="0"/>
          <w:i w:val="0"/>
          <w:iCs/>
        </w:rPr>
      </w:pPr>
      <w:r w:rsidRPr="00B158C3">
        <w:rPr>
          <w:b w:val="0"/>
          <w:bCs w:val="0"/>
          <w:i w:val="0"/>
          <w:iCs/>
        </w:rPr>
        <w:t>The initial test is crucial to implement as it serves to assess the foundational skills of the students before any intervention takes place</w:t>
      </w:r>
      <w:r w:rsidR="00431018">
        <w:rPr>
          <w:b w:val="0"/>
          <w:bCs w:val="0"/>
          <w:i w:val="0"/>
          <w:iCs/>
        </w:rPr>
        <w:t xml:space="preserve"> </w:t>
      </w:r>
      <w:r w:rsidR="00431018" w:rsidRPr="00431018">
        <w:rPr>
          <w:b w:val="0"/>
          <w:bCs w:val="0"/>
          <w:i w:val="0"/>
          <w:iCs/>
        </w:rPr>
        <w:fldChar w:fldCharType="begin"/>
      </w:r>
      <w:r w:rsidR="00431018" w:rsidRPr="00431018">
        <w:rPr>
          <w:b w:val="0"/>
          <w:bCs w:val="0"/>
          <w:i w:val="0"/>
          <w:iCs/>
        </w:rPr>
        <w:instrText xml:space="preserve"> ADDIN ZOTERO_ITEM CSL_CITATION {"citationID":"XL0PCiuP","properties":{"formattedCitation":"(Abdullah et al., 2016)","plainCitation":"(Abdullah et al., 2016)","noteIndex":0},"citationItems":[{"id":792,"uris":["http://zotero.org/users/local/Wqqix2jN/items/LYEXIE7Z"],"itemData":{"id":792,"type":"article-journal","container-title":"EURASIA Journal of Mathematics, Science and Technology Education","DOI":"10.12973/eurasia.2017.00601a","ISSN":"13058223","issue":"1","journalAbbreviation":"EURASIA J MATH SCI T","source":"DOI.org (Crossref)","title":"Mathematics Teachers’ Level of Knowledge and Practice on the Implementation of Higher-Order Thinking Skills (HOTS)","URL":"https://www.ejmste.com/article/mathematics-teachers-level-of-knowledge-and-practice-on-the-implementation-of-higher-order-thinking-4648","volume":"13","author":[{"family":"Abdullah","given":"Abdul Halim"},{"family":"Mokhtar","given":"Mahani"},{"family":"Abd Halim","given":"Noor Dayana"},{"family":"Ali","given":"Dayana Farzeeha"},{"family":"Mohd Tahir","given":"Lokman"},{"family":"Abdul Kohar","given":"Umar Haiyat"}],"accessed":{"date-parts":[["2024",9,25]]},"issued":{"date-parts":[["2016",10,26]]}}}],"schema":"https://github.com/citation-style-language/schema/raw/master/csl-citation.json"} </w:instrText>
      </w:r>
      <w:r w:rsidR="00431018" w:rsidRPr="00431018">
        <w:rPr>
          <w:b w:val="0"/>
          <w:bCs w:val="0"/>
          <w:i w:val="0"/>
          <w:iCs/>
        </w:rPr>
        <w:fldChar w:fldCharType="separate"/>
      </w:r>
      <w:r w:rsidR="00431018" w:rsidRPr="00431018">
        <w:rPr>
          <w:b w:val="0"/>
          <w:bCs w:val="0"/>
          <w:i w:val="0"/>
          <w:iCs/>
        </w:rPr>
        <w:t>(Abdullah et al., 2016)</w:t>
      </w:r>
      <w:r w:rsidR="00431018" w:rsidRPr="00431018">
        <w:rPr>
          <w:b w:val="0"/>
          <w:bCs w:val="0"/>
          <w:i w:val="0"/>
          <w:iCs/>
        </w:rPr>
        <w:fldChar w:fldCharType="end"/>
      </w:r>
      <w:r w:rsidRPr="00431018">
        <w:rPr>
          <w:b w:val="0"/>
          <w:bCs w:val="0"/>
          <w:i w:val="0"/>
          <w:iCs/>
        </w:rPr>
        <w:t>. Understanding these baseline abilities is essential for gauging how much progress the students can achieve after the instructional strategies have been applied</w:t>
      </w:r>
      <w:r w:rsidR="00431018" w:rsidRPr="00431018">
        <w:rPr>
          <w:b w:val="0"/>
          <w:bCs w:val="0"/>
          <w:i w:val="0"/>
          <w:iCs/>
        </w:rPr>
        <w:t xml:space="preserve"> </w:t>
      </w:r>
      <w:r w:rsidR="00431018" w:rsidRPr="00431018">
        <w:rPr>
          <w:b w:val="0"/>
          <w:bCs w:val="0"/>
          <w:i w:val="0"/>
          <w:iCs/>
        </w:rPr>
        <w:fldChar w:fldCharType="begin"/>
      </w:r>
      <w:r w:rsidR="00431018" w:rsidRPr="00431018">
        <w:rPr>
          <w:b w:val="0"/>
          <w:bCs w:val="0"/>
          <w:i w:val="0"/>
          <w:iCs/>
        </w:rPr>
        <w:instrText xml:space="preserve"> ADDIN ZOTERO_ITEM CSL_CITATION {"citationID":"1nxEyBzH","properties":{"formattedCitation":"(Lee Perry et al., 2018)","plainCitation":"(Lee Perry et al., 2018)","noteIndex":0},"citationItems":[{"id":800,"uris":["http://zotero.org/users/local/Wqqix2jN/items/KW4D4IF9"],"itemData":{"id":800,"type":"article-journal","container-title":"Combustion and Flame","DOI":"10.1016/j.combustflame.2017.11.017","ISSN":"00102180","journalAbbreviation":"Combustion and Flame","language":"en","page":"171-176","source":"DOI.org (Crossref)","title":"Relating microstructure, temperature, and chemistry to explosive ignition and shock sensitivity","volume":"190","author":[{"family":"Lee Perry","given":"W."},{"family":"Clements","given":"Brad"},{"family":"Ma","given":"Xia"},{"family":"Mang","given":"Joseph T."}],"issued":{"date-parts":[["2018",4]]}}}],"schema":"https://github.com/citation-style-language/schema/raw/master/csl-citation.json"} </w:instrText>
      </w:r>
      <w:r w:rsidR="00431018" w:rsidRPr="00431018">
        <w:rPr>
          <w:b w:val="0"/>
          <w:bCs w:val="0"/>
          <w:i w:val="0"/>
          <w:iCs/>
        </w:rPr>
        <w:fldChar w:fldCharType="separate"/>
      </w:r>
      <w:r w:rsidR="00431018" w:rsidRPr="00431018">
        <w:rPr>
          <w:b w:val="0"/>
          <w:bCs w:val="0"/>
          <w:i w:val="0"/>
          <w:iCs/>
        </w:rPr>
        <w:t>(Lee Perry et al., 2018)</w:t>
      </w:r>
      <w:r w:rsidR="00431018" w:rsidRPr="00431018">
        <w:rPr>
          <w:b w:val="0"/>
          <w:bCs w:val="0"/>
          <w:i w:val="0"/>
          <w:iCs/>
        </w:rPr>
        <w:fldChar w:fldCharType="end"/>
      </w:r>
      <w:r w:rsidRPr="00431018">
        <w:rPr>
          <w:b w:val="0"/>
          <w:bCs w:val="0"/>
          <w:i w:val="0"/>
          <w:iCs/>
        </w:rPr>
        <w:t xml:space="preserve">. </w:t>
      </w:r>
      <w:r w:rsidRPr="00B158C3">
        <w:rPr>
          <w:b w:val="0"/>
          <w:bCs w:val="0"/>
          <w:i w:val="0"/>
          <w:iCs/>
        </w:rPr>
        <w:t>By establishing this starting point, educators can set a benchmark for measuring changes in learning outcomes. The pre-test results highlight the students’ prior knowledge and skills, allowing teachers to tailor their approaches accordingly. Furthermore, this assessment not only helps in identifying areas where students may struggle but also facilitates the formulation of targeted instructional strategies that can effectively bridge the gap between their current abilities and the desired learning objectives. Thus, conducting a pre-test is not merely a procedural step; it is a fundamental aspect of the educational process that informs subsequent teaching practices and interventions.</w:t>
      </w:r>
    </w:p>
    <w:p w14:paraId="526A392D" w14:textId="502060D1" w:rsidR="00A10281" w:rsidRDefault="00B158C3" w:rsidP="00A10281">
      <w:pPr>
        <w:pStyle w:val="Alishlah22heading2"/>
        <w:spacing w:before="0" w:after="0"/>
        <w:ind w:firstLine="425"/>
        <w:jc w:val="both"/>
        <w:rPr>
          <w:b w:val="0"/>
          <w:bCs w:val="0"/>
          <w:i w:val="0"/>
          <w:iCs/>
        </w:rPr>
      </w:pPr>
      <w:r w:rsidRPr="00B158C3">
        <w:rPr>
          <w:b w:val="0"/>
          <w:bCs w:val="0"/>
          <w:i w:val="0"/>
          <w:iCs/>
        </w:rPr>
        <w:t>The next step involves the implementation of the Jigsaw learning model in the experimental class (VIII 1) while applying the conventional teaching model in the control class (VIII 2). Over the course of four meetings, students in both classes experience distinct instructional methods, allowing for a comprehensive analysis of their respective learning outcomes. The post-test results for both groups reveal significant insights into the effectiveness of the Jigsaw strategy. The analysis demonstrates that the Jigsaw model not only enhances student engagement but also fosters higher-order thinking skills (HOTS) among the participants. As a result, the findings align closely with the initial hypothesis posited in the research, confirming that the application of the Jigsaw method positively influences students' learning achievements in Social Studies for grade VIII at MTsS Ashhabul Yamin during the first semester of the 2023/2024 academic year. This evidence underscores the importance of adopting innovative teaching strategies that cater to the diverse learning needs of students, ultimately contributing to their academic success and personal development. To see the comparison of learning outcomes of experimental and control classes can be seen in the following table:</w:t>
      </w:r>
    </w:p>
    <w:p w14:paraId="7BB12DE1" w14:textId="4744EB67" w:rsidR="00795A17" w:rsidRPr="00A10281" w:rsidRDefault="00795A17" w:rsidP="00A10281">
      <w:pPr>
        <w:pStyle w:val="Alishlah22heading2"/>
        <w:jc w:val="center"/>
        <w:rPr>
          <w:b w:val="0"/>
          <w:bCs w:val="0"/>
          <w:i w:val="0"/>
          <w:iCs/>
          <w:sz w:val="18"/>
          <w:szCs w:val="20"/>
        </w:rPr>
      </w:pPr>
      <w:r w:rsidRPr="00A10281">
        <w:rPr>
          <w:i w:val="0"/>
          <w:iCs/>
          <w:sz w:val="18"/>
          <w:szCs w:val="20"/>
        </w:rPr>
        <w:t>Table 1.</w:t>
      </w:r>
      <w:r w:rsidRPr="00A10281">
        <w:rPr>
          <w:b w:val="0"/>
          <w:bCs w:val="0"/>
          <w:i w:val="0"/>
          <w:iCs/>
          <w:sz w:val="18"/>
          <w:szCs w:val="20"/>
        </w:rPr>
        <w:t xml:space="preserve"> Comparison of Mean Values of Experimental and Control Classes</w:t>
      </w:r>
    </w:p>
    <w:tbl>
      <w:tblPr>
        <w:tblW w:w="0" w:type="auto"/>
        <w:jc w:val="center"/>
        <w:tblBorders>
          <w:top w:val="single" w:sz="8" w:space="0" w:color="auto"/>
          <w:bottom w:val="single" w:sz="8" w:space="0" w:color="auto"/>
        </w:tblBorders>
        <w:tblLook w:val="04A0" w:firstRow="1" w:lastRow="0" w:firstColumn="1" w:lastColumn="0" w:noHBand="0" w:noVBand="1"/>
      </w:tblPr>
      <w:tblGrid>
        <w:gridCol w:w="1819"/>
        <w:gridCol w:w="1819"/>
        <w:gridCol w:w="1819"/>
      </w:tblGrid>
      <w:tr w:rsidR="00795A17" w:rsidRPr="002B31FD" w14:paraId="71156091" w14:textId="77777777" w:rsidTr="00795A17">
        <w:trPr>
          <w:trHeight w:val="255"/>
          <w:jc w:val="center"/>
        </w:trPr>
        <w:tc>
          <w:tcPr>
            <w:tcW w:w="1819" w:type="dxa"/>
            <w:tcBorders>
              <w:bottom w:val="single" w:sz="4" w:space="0" w:color="auto"/>
            </w:tcBorders>
            <w:shd w:val="clear" w:color="auto" w:fill="auto"/>
            <w:vAlign w:val="center"/>
          </w:tcPr>
          <w:p w14:paraId="4BD38CEE" w14:textId="77B58046" w:rsidR="00795A17" w:rsidRPr="00932941" w:rsidRDefault="00932941" w:rsidP="00932941">
            <w:pPr>
              <w:pStyle w:val="Alishlah42tablebody"/>
              <w:jc w:val="left"/>
            </w:pPr>
            <w:r w:rsidRPr="00932941">
              <w:t>Average</w:t>
            </w:r>
          </w:p>
        </w:tc>
        <w:tc>
          <w:tcPr>
            <w:tcW w:w="1819" w:type="dxa"/>
            <w:tcBorders>
              <w:bottom w:val="single" w:sz="4" w:space="0" w:color="auto"/>
            </w:tcBorders>
            <w:shd w:val="clear" w:color="auto" w:fill="auto"/>
            <w:vAlign w:val="center"/>
          </w:tcPr>
          <w:p w14:paraId="0DD265A0" w14:textId="17896BE5" w:rsidR="00795A17" w:rsidRPr="002B31FD" w:rsidRDefault="00795A17" w:rsidP="007623E5">
            <w:pPr>
              <w:pStyle w:val="Alishlah42tablebody"/>
              <w:rPr>
                <w:b/>
                <w:bCs/>
              </w:rPr>
            </w:pPr>
            <w:r w:rsidRPr="00795A17">
              <w:rPr>
                <w:iCs/>
              </w:rPr>
              <w:t>Experimental Class</w:t>
            </w:r>
          </w:p>
        </w:tc>
        <w:tc>
          <w:tcPr>
            <w:tcW w:w="1819" w:type="dxa"/>
            <w:tcBorders>
              <w:bottom w:val="single" w:sz="4" w:space="0" w:color="auto"/>
            </w:tcBorders>
            <w:shd w:val="clear" w:color="auto" w:fill="auto"/>
            <w:vAlign w:val="center"/>
          </w:tcPr>
          <w:p w14:paraId="4D8B74B0" w14:textId="77777777" w:rsidR="00795A17" w:rsidRDefault="00795A17" w:rsidP="00795A17">
            <w:pPr>
              <w:pStyle w:val="Alishlah22heading2"/>
              <w:spacing w:before="0" w:after="0"/>
              <w:jc w:val="center"/>
              <w:rPr>
                <w:b w:val="0"/>
                <w:bCs w:val="0"/>
                <w:i w:val="0"/>
                <w:iCs/>
              </w:rPr>
            </w:pPr>
            <w:r w:rsidRPr="00795A17">
              <w:rPr>
                <w:b w:val="0"/>
                <w:bCs w:val="0"/>
                <w:i w:val="0"/>
                <w:iCs/>
              </w:rPr>
              <w:t>Control Class</w:t>
            </w:r>
          </w:p>
          <w:p w14:paraId="5B915276" w14:textId="6D96CEE1" w:rsidR="00795A17" w:rsidRPr="002B31FD" w:rsidRDefault="00795A17" w:rsidP="007623E5">
            <w:pPr>
              <w:pStyle w:val="Alishlah42tablebody"/>
              <w:rPr>
                <w:b/>
                <w:bCs/>
              </w:rPr>
            </w:pPr>
          </w:p>
        </w:tc>
      </w:tr>
      <w:tr w:rsidR="00795A17" w:rsidRPr="002B31FD" w14:paraId="68A5B49F" w14:textId="77777777" w:rsidTr="00795A17">
        <w:trPr>
          <w:trHeight w:val="284"/>
          <w:jc w:val="center"/>
        </w:trPr>
        <w:tc>
          <w:tcPr>
            <w:tcW w:w="1819" w:type="dxa"/>
            <w:shd w:val="clear" w:color="auto" w:fill="auto"/>
            <w:vAlign w:val="center"/>
          </w:tcPr>
          <w:p w14:paraId="5C268380" w14:textId="10EC244B" w:rsidR="00795A17" w:rsidRPr="002B31FD" w:rsidRDefault="00795A17" w:rsidP="007623E5">
            <w:pPr>
              <w:pStyle w:val="Alishlah42tablebody"/>
            </w:pPr>
            <w:proofErr w:type="gramStart"/>
            <w:r w:rsidRPr="00795A17">
              <w:rPr>
                <w:iCs/>
              </w:rPr>
              <w:t>Pre</w:t>
            </w:r>
            <w:r>
              <w:rPr>
                <w:iCs/>
              </w:rPr>
              <w:t xml:space="preserve"> T</w:t>
            </w:r>
            <w:r w:rsidRPr="00795A17">
              <w:rPr>
                <w:iCs/>
              </w:rPr>
              <w:t>est</w:t>
            </w:r>
            <w:proofErr w:type="gramEnd"/>
          </w:p>
        </w:tc>
        <w:tc>
          <w:tcPr>
            <w:tcW w:w="1819" w:type="dxa"/>
            <w:shd w:val="clear" w:color="auto" w:fill="auto"/>
            <w:vAlign w:val="center"/>
          </w:tcPr>
          <w:p w14:paraId="4C8FA3D6" w14:textId="50D6796A" w:rsidR="00795A17" w:rsidRPr="002B31FD" w:rsidRDefault="00795A17" w:rsidP="007623E5">
            <w:pPr>
              <w:pStyle w:val="Alishlah42tablebody"/>
            </w:pPr>
            <w:r w:rsidRPr="00795A17">
              <w:rPr>
                <w:iCs/>
              </w:rPr>
              <w:t>60</w:t>
            </w:r>
            <w:r w:rsidR="00CF5063">
              <w:rPr>
                <w:iCs/>
              </w:rPr>
              <w:t>,</w:t>
            </w:r>
            <w:r w:rsidRPr="00795A17">
              <w:rPr>
                <w:iCs/>
              </w:rPr>
              <w:t>44</w:t>
            </w:r>
          </w:p>
        </w:tc>
        <w:tc>
          <w:tcPr>
            <w:tcW w:w="1819" w:type="dxa"/>
            <w:shd w:val="clear" w:color="auto" w:fill="auto"/>
            <w:vAlign w:val="center"/>
          </w:tcPr>
          <w:p w14:paraId="3D8D1685" w14:textId="7B04F55C" w:rsidR="00795A17" w:rsidRPr="002B31FD" w:rsidRDefault="00795A17" w:rsidP="007623E5">
            <w:pPr>
              <w:pStyle w:val="Alishlah42tablebody"/>
            </w:pPr>
            <w:r w:rsidRPr="00795A17">
              <w:rPr>
                <w:iCs/>
              </w:rPr>
              <w:t>68</w:t>
            </w:r>
            <w:r w:rsidR="00CF5063">
              <w:rPr>
                <w:iCs/>
              </w:rPr>
              <w:t>,</w:t>
            </w:r>
            <w:r w:rsidRPr="00795A17">
              <w:rPr>
                <w:iCs/>
              </w:rPr>
              <w:t>26</w:t>
            </w:r>
          </w:p>
        </w:tc>
      </w:tr>
      <w:tr w:rsidR="00795A17" w:rsidRPr="002B31FD" w14:paraId="4C605102" w14:textId="77777777" w:rsidTr="00795A17">
        <w:trPr>
          <w:trHeight w:val="284"/>
          <w:jc w:val="center"/>
        </w:trPr>
        <w:tc>
          <w:tcPr>
            <w:tcW w:w="1819" w:type="dxa"/>
            <w:shd w:val="clear" w:color="auto" w:fill="auto"/>
            <w:vAlign w:val="center"/>
          </w:tcPr>
          <w:p w14:paraId="380F1C77" w14:textId="30324378" w:rsidR="00795A17" w:rsidRPr="002B31FD" w:rsidRDefault="00795A17" w:rsidP="007623E5">
            <w:pPr>
              <w:pStyle w:val="Alishlah42tablebody"/>
            </w:pPr>
            <w:r>
              <w:t>Post Test</w:t>
            </w:r>
          </w:p>
        </w:tc>
        <w:tc>
          <w:tcPr>
            <w:tcW w:w="1819" w:type="dxa"/>
            <w:shd w:val="clear" w:color="auto" w:fill="auto"/>
            <w:vAlign w:val="center"/>
          </w:tcPr>
          <w:p w14:paraId="36C3DFDE" w14:textId="4E82DCA2" w:rsidR="00795A17" w:rsidRPr="002B31FD" w:rsidRDefault="00795A17" w:rsidP="007623E5">
            <w:pPr>
              <w:pStyle w:val="Alishlah42tablebody"/>
            </w:pPr>
            <w:r w:rsidRPr="00795A17">
              <w:rPr>
                <w:iCs/>
              </w:rPr>
              <w:t>84</w:t>
            </w:r>
            <w:r w:rsidR="00CF5063">
              <w:rPr>
                <w:iCs/>
              </w:rPr>
              <w:t>,</w:t>
            </w:r>
            <w:r w:rsidRPr="00795A17">
              <w:rPr>
                <w:iCs/>
              </w:rPr>
              <w:t>89</w:t>
            </w:r>
          </w:p>
        </w:tc>
        <w:tc>
          <w:tcPr>
            <w:tcW w:w="1819" w:type="dxa"/>
            <w:shd w:val="clear" w:color="auto" w:fill="auto"/>
            <w:vAlign w:val="center"/>
          </w:tcPr>
          <w:p w14:paraId="13700AF0" w14:textId="704B361D" w:rsidR="00795A17" w:rsidRPr="002B31FD" w:rsidRDefault="00795A17" w:rsidP="007623E5">
            <w:pPr>
              <w:pStyle w:val="Alishlah42tablebody"/>
            </w:pPr>
            <w:r w:rsidRPr="00795A17">
              <w:rPr>
                <w:iCs/>
              </w:rPr>
              <w:t>71</w:t>
            </w:r>
            <w:r w:rsidR="00CF5063">
              <w:rPr>
                <w:iCs/>
              </w:rPr>
              <w:t>,</w:t>
            </w:r>
            <w:r w:rsidRPr="00795A17">
              <w:rPr>
                <w:iCs/>
              </w:rPr>
              <w:t>07</w:t>
            </w:r>
          </w:p>
        </w:tc>
      </w:tr>
      <w:tr w:rsidR="00795A17" w:rsidRPr="002B31FD" w14:paraId="16F315C3" w14:textId="77777777" w:rsidTr="00795A17">
        <w:trPr>
          <w:trHeight w:val="284"/>
          <w:jc w:val="center"/>
        </w:trPr>
        <w:tc>
          <w:tcPr>
            <w:tcW w:w="1819" w:type="dxa"/>
            <w:shd w:val="clear" w:color="auto" w:fill="auto"/>
            <w:vAlign w:val="center"/>
          </w:tcPr>
          <w:p w14:paraId="4EBCD292" w14:textId="00FF119E" w:rsidR="00795A17" w:rsidRPr="002B31FD" w:rsidRDefault="00795A17" w:rsidP="007623E5">
            <w:pPr>
              <w:pStyle w:val="Alishlah42tablebody"/>
            </w:pPr>
            <w:r w:rsidRPr="00795A17">
              <w:rPr>
                <w:iCs/>
              </w:rPr>
              <w:t>Difference</w:t>
            </w:r>
          </w:p>
        </w:tc>
        <w:tc>
          <w:tcPr>
            <w:tcW w:w="1819" w:type="dxa"/>
            <w:shd w:val="clear" w:color="auto" w:fill="auto"/>
            <w:vAlign w:val="center"/>
          </w:tcPr>
          <w:p w14:paraId="3CE7131D" w14:textId="616EBE60" w:rsidR="00795A17" w:rsidRPr="002B31FD" w:rsidRDefault="00795A17" w:rsidP="007623E5">
            <w:pPr>
              <w:pStyle w:val="Alishlah42tablebody"/>
            </w:pPr>
            <w:r w:rsidRPr="00795A17">
              <w:rPr>
                <w:iCs/>
              </w:rPr>
              <w:t>19</w:t>
            </w:r>
            <w:r w:rsidR="00CF5063">
              <w:rPr>
                <w:iCs/>
              </w:rPr>
              <w:t>,</w:t>
            </w:r>
            <w:r w:rsidRPr="00795A17">
              <w:rPr>
                <w:iCs/>
              </w:rPr>
              <w:t>85</w:t>
            </w:r>
          </w:p>
        </w:tc>
        <w:tc>
          <w:tcPr>
            <w:tcW w:w="1819" w:type="dxa"/>
            <w:shd w:val="clear" w:color="auto" w:fill="auto"/>
            <w:vAlign w:val="center"/>
          </w:tcPr>
          <w:p w14:paraId="07D524D8" w14:textId="037614EC" w:rsidR="00795A17" w:rsidRPr="002B31FD" w:rsidRDefault="00795A17" w:rsidP="007623E5">
            <w:pPr>
              <w:pStyle w:val="Alishlah42tablebody"/>
            </w:pPr>
            <w:r w:rsidRPr="00795A17">
              <w:rPr>
                <w:iCs/>
              </w:rPr>
              <w:t>4</w:t>
            </w:r>
            <w:r w:rsidR="00CF5063">
              <w:rPr>
                <w:iCs/>
              </w:rPr>
              <w:t>,</w:t>
            </w:r>
            <w:r w:rsidRPr="00795A17">
              <w:rPr>
                <w:iCs/>
              </w:rPr>
              <w:t>44</w:t>
            </w:r>
          </w:p>
        </w:tc>
      </w:tr>
    </w:tbl>
    <w:p w14:paraId="64541B90" w14:textId="052F1A3B" w:rsidR="00B158C3" w:rsidRDefault="00B158C3" w:rsidP="00AE1C5B">
      <w:pPr>
        <w:pStyle w:val="Alishlah22heading2"/>
        <w:spacing w:before="0" w:after="240"/>
        <w:ind w:firstLine="425"/>
        <w:jc w:val="both"/>
        <w:rPr>
          <w:b w:val="0"/>
          <w:bCs w:val="0"/>
          <w:i w:val="0"/>
          <w:iCs/>
        </w:rPr>
      </w:pPr>
      <w:r w:rsidRPr="00B158C3">
        <w:rPr>
          <w:b w:val="0"/>
          <w:bCs w:val="0"/>
          <w:i w:val="0"/>
          <w:iCs/>
        </w:rPr>
        <w:lastRenderedPageBreak/>
        <w:t>Based on the table above, it can be observed that the average score of the experimental class experienced a significant increase, which indicates that the treatment was effective in improving student learning outcomes. This implies that the Jigsaw learning strategy integrated with the higher order thinking skills (HOTS) approach in the experimental class has successfully encouraged better achievement in terms of understanding and application of learning materials. The average score of the experimental class increased from 60.44 to 84.89. This shows an increase of 19.85. While the control class also increased from an average of 68.26 to 71.07 which shows an increase of 4.44. So seen from the quantity, the increase in the average value of the experimental class is higher than the control class. So it can be concluded that the average value of the experimental class has increased. For more details, the comparison of the average scores of the two classes can be seen in the following diagram:</w:t>
      </w:r>
    </w:p>
    <w:p w14:paraId="1A146DCD" w14:textId="0CA99A08" w:rsidR="00A10281" w:rsidRDefault="0085387F" w:rsidP="0085387F">
      <w:pPr>
        <w:pStyle w:val="Alishlah22heading2"/>
        <w:spacing w:before="0" w:after="0"/>
        <w:ind w:firstLine="425"/>
        <w:jc w:val="center"/>
        <w:rPr>
          <w:b w:val="0"/>
          <w:bCs w:val="0"/>
          <w:i w:val="0"/>
          <w:iCs/>
        </w:rPr>
      </w:pPr>
      <w:r>
        <w:drawing>
          <wp:inline distT="0" distB="0" distL="0" distR="0" wp14:anchorId="6186E352" wp14:editId="0ECBA665">
            <wp:extent cx="3838575" cy="1819275"/>
            <wp:effectExtent l="0" t="0" r="9525" b="9525"/>
            <wp:docPr id="1251224967" name="Chart 1">
              <a:extLst xmlns:a="http://schemas.openxmlformats.org/drawingml/2006/main">
                <a:ext uri="{FF2B5EF4-FFF2-40B4-BE49-F238E27FC236}">
                  <a16:creationId xmlns:a16="http://schemas.microsoft.com/office/drawing/2014/main" id="{B5E635D1-9407-154F-389D-1480A0AB3B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C652A9" w14:textId="474EF0A1" w:rsidR="00A10281" w:rsidRPr="00CF5063" w:rsidRDefault="00CF5063" w:rsidP="00AE1C5B">
      <w:pPr>
        <w:pStyle w:val="Alishlah22heading2"/>
        <w:ind w:firstLine="425"/>
        <w:jc w:val="center"/>
        <w:rPr>
          <w:b w:val="0"/>
          <w:bCs w:val="0"/>
          <w:i w:val="0"/>
          <w:iCs/>
          <w:sz w:val="18"/>
          <w:szCs w:val="20"/>
        </w:rPr>
      </w:pPr>
      <w:r w:rsidRPr="00CF5063">
        <w:rPr>
          <w:i w:val="0"/>
          <w:iCs/>
          <w:sz w:val="18"/>
          <w:szCs w:val="20"/>
        </w:rPr>
        <w:t>Figure 2</w:t>
      </w:r>
      <w:r>
        <w:rPr>
          <w:i w:val="0"/>
          <w:iCs/>
          <w:sz w:val="18"/>
          <w:szCs w:val="20"/>
        </w:rPr>
        <w:t>.</w:t>
      </w:r>
      <w:r w:rsidRPr="00CF5063">
        <w:rPr>
          <w:b w:val="0"/>
          <w:bCs w:val="0"/>
          <w:i w:val="0"/>
          <w:iCs/>
          <w:sz w:val="18"/>
          <w:szCs w:val="20"/>
        </w:rPr>
        <w:t xml:space="preserve"> Comparison of Average Scores between the Control Class and Experimental Class</w:t>
      </w:r>
    </w:p>
    <w:p w14:paraId="161C26F8" w14:textId="363DCDE1" w:rsidR="003B06AC" w:rsidRDefault="00B158C3" w:rsidP="003B06AC">
      <w:pPr>
        <w:pStyle w:val="Alishlah22heading2"/>
        <w:spacing w:before="0" w:after="0"/>
        <w:ind w:firstLine="425"/>
        <w:jc w:val="both"/>
        <w:rPr>
          <w:b w:val="0"/>
          <w:bCs w:val="0"/>
          <w:i w:val="0"/>
          <w:iCs/>
        </w:rPr>
      </w:pPr>
      <w:r w:rsidRPr="00B158C3">
        <w:rPr>
          <w:b w:val="0"/>
          <w:bCs w:val="0"/>
          <w:i w:val="0"/>
          <w:iCs/>
        </w:rPr>
        <w:t>The significant difference in learning outcomes between the experimental class that implemented the Jigsaw Learning model and the control class that used conventional teaching methods can be explained by the fundamental differences in the approaches of these two models. In the conventional model, the learning process tends to be teacher-centered, where students act as passive recipients of information. This method often fails to account for the variations in students' needs, potential, and learning styles. In contrast, the experimental class that employed the Jigsaw Learning model applied a more active and collaborative learning approach, where each student had the opportunity to play a vital role in the learning process. The Jigsaw model facilitates interaction among students, allowing them to learn from one another while accommodating individual differences in learning styles. This approach supports the needs of students with auditory, visual, and kinesthetic learning styles by giving them the freedom to process information according to their preferences and strengths.</w:t>
      </w:r>
    </w:p>
    <w:p w14:paraId="46FF78CD" w14:textId="2983D46D" w:rsidR="003B06AC" w:rsidRDefault="003B06AC" w:rsidP="003B06AC">
      <w:pPr>
        <w:pStyle w:val="Alishlah22heading2"/>
        <w:spacing w:after="0"/>
      </w:pPr>
      <w:r>
        <w:t>3</w:t>
      </w:r>
      <w:r w:rsidRPr="004841C5">
        <w:t>.</w:t>
      </w:r>
      <w:r>
        <w:t>2</w:t>
      </w:r>
      <w:r w:rsidRPr="004841C5">
        <w:t xml:space="preserve">. </w:t>
      </w:r>
      <w:r>
        <w:t>The Role of Jigsaw Learning Strategy in Improving Students' Higher Level Thinking Skills in Social Science</w:t>
      </w:r>
    </w:p>
    <w:p w14:paraId="0CE0338C" w14:textId="59D2AB3A" w:rsidR="003B06AC" w:rsidRDefault="003B06AC" w:rsidP="003B06AC">
      <w:pPr>
        <w:pStyle w:val="Alishlah22heading2"/>
        <w:spacing w:before="0" w:after="0"/>
        <w:ind w:firstLine="425"/>
        <w:jc w:val="both"/>
        <w:rPr>
          <w:b w:val="0"/>
          <w:bCs w:val="0"/>
          <w:i w:val="0"/>
          <w:iCs/>
        </w:rPr>
      </w:pPr>
      <w:r w:rsidRPr="00B158C3">
        <w:rPr>
          <w:b w:val="0"/>
          <w:bCs w:val="0"/>
          <w:i w:val="0"/>
          <w:iCs/>
        </w:rPr>
        <w:t>The Jigsaw Learning model plays a crucial role in aligning the learning process with the concept of multiple intelligences, which suggests that each student possesses unique strengths in particular areas, such as the arts, literacy, mathematics, or natural sciences</w:t>
      </w:r>
      <w:r w:rsidR="003F3F5C">
        <w:rPr>
          <w:b w:val="0"/>
          <w:bCs w:val="0"/>
          <w:i w:val="0"/>
          <w:iCs/>
        </w:rPr>
        <w:t xml:space="preserve"> </w:t>
      </w:r>
      <w:r w:rsidR="003F3F5C" w:rsidRPr="00431018">
        <w:rPr>
          <w:b w:val="0"/>
          <w:bCs w:val="0"/>
          <w:i w:val="0"/>
          <w:iCs/>
        </w:rPr>
        <w:fldChar w:fldCharType="begin"/>
      </w:r>
      <w:r w:rsidR="003F3F5C" w:rsidRPr="00431018">
        <w:rPr>
          <w:b w:val="0"/>
          <w:bCs w:val="0"/>
          <w:i w:val="0"/>
          <w:iCs/>
        </w:rPr>
        <w:instrText xml:space="preserve"> ADDIN ZOTERO_ITEM CSL_CITATION {"citationID":"RILePTlk","properties":{"formattedCitation":"(Wartono et al., 2017)","plainCitation":"(Wartono et al., 2017)","noteIndex":0},"citationItems":[{"id":808,"uris":["http://zotero.org/users/local/Wqqix2jN/items/2KPJ64WH"],"itemData":{"id":808,"type":"article-journal","container-title":"EURASIA Journal of Mathematics, Science and Technology Education","DOI":"10.12973/ejmste/80632","ISSN":"13058223","issue":"2","journalAbbreviation":"EURASIA J MATH SCI T","source":"DOI.org (Crossref)","title":"How Are The Physics Critical Thinking Skills of The Students Taught by Using Inquiry-Discovery Through Empirical and Theorethical Overview?","URL":"https://www.ejmste.com/article/how-are-the-physics-critical-thinking-skills-of-the-students-taught-by-using-inquiry-discovery-5295","volume":"14","author":[{"family":"Wartono","given":"Wartono"},{"family":"Hudha","given":"Muhammad Nur"},{"family":"Batlolona","given":"John Rafafy"}],"accessed":{"date-parts":[["2024",9,25]]},"issued":{"date-parts":[["2017",11,20]]}}}],"schema":"https://github.com/citation-style-language/schema/raw/master/csl-citation.json"} </w:instrText>
      </w:r>
      <w:r w:rsidR="003F3F5C" w:rsidRPr="00431018">
        <w:rPr>
          <w:b w:val="0"/>
          <w:bCs w:val="0"/>
          <w:i w:val="0"/>
          <w:iCs/>
        </w:rPr>
        <w:fldChar w:fldCharType="separate"/>
      </w:r>
      <w:r w:rsidR="003F3F5C" w:rsidRPr="00431018">
        <w:rPr>
          <w:b w:val="0"/>
          <w:bCs w:val="0"/>
          <w:i w:val="0"/>
          <w:iCs/>
        </w:rPr>
        <w:t>(Wartono et al., 2017)</w:t>
      </w:r>
      <w:r w:rsidR="003F3F5C" w:rsidRPr="00431018">
        <w:rPr>
          <w:b w:val="0"/>
          <w:bCs w:val="0"/>
          <w:i w:val="0"/>
          <w:iCs/>
        </w:rPr>
        <w:fldChar w:fldCharType="end"/>
      </w:r>
      <w:r w:rsidRPr="00B158C3">
        <w:rPr>
          <w:b w:val="0"/>
          <w:bCs w:val="0"/>
          <w:i w:val="0"/>
          <w:iCs/>
        </w:rPr>
        <w:t>. By treating students as individuals with distinct abilities and learning methods, the Jigsaw model motivates students and makes them feel valued in the learning process. This stands in stark contrast to conventional models, which often overlook these differences and assume that all students learn in a uniform way</w:t>
      </w:r>
      <w:r w:rsidR="003F3F5C">
        <w:rPr>
          <w:b w:val="0"/>
          <w:bCs w:val="0"/>
          <w:i w:val="0"/>
          <w:iCs/>
        </w:rPr>
        <w:t xml:space="preserve"> </w:t>
      </w:r>
      <w:r w:rsidR="003F3F5C" w:rsidRPr="003F3F5C">
        <w:rPr>
          <w:b w:val="0"/>
          <w:bCs w:val="0"/>
          <w:i w:val="0"/>
          <w:iCs/>
          <w:szCs w:val="20"/>
        </w:rPr>
        <w:fldChar w:fldCharType="begin"/>
      </w:r>
      <w:r w:rsidR="003F3F5C" w:rsidRPr="003F3F5C">
        <w:rPr>
          <w:b w:val="0"/>
          <w:bCs w:val="0"/>
          <w:i w:val="0"/>
          <w:iCs/>
          <w:szCs w:val="20"/>
        </w:rPr>
        <w:instrText xml:space="preserve"> ADDIN ZOTERO_ITEM CSL_CITATION {"citationID":"IufuksBI","properties":{"formattedCitation":"(Lee, 2023)","plainCitation":"(Lee, 2023)","noteIndex":0},"citationItems":[{"id":"hiqTCfwy/q1asa9vM","uris":["http://zotero.org/users/local/Pjdjlz4D/items/IIKWKN2T"],"itemData":{"id":530,"type":"article-journal","container-title":"Heliyon","DOI":"10.1016/j.heliyon.2023.e20420","ISSN":"24058440","issue":"10","journalAbbreviation":"Heliyon","language":"en","page":"e20420","source":"DOI.org (Crossref)","title":"Effectiveness of gamification and selection of appropriate teaching methods of creativity: Students’ perspectives","title-short":"Effectiveness of gamification and selection of appropriate teaching methods of creativity","volume":"9","author":[{"family":"Lee","given":"Kuo-Wei"}],"issued":{"date-parts":[["2023",10]]}}}],"schema":"https://github.com/citation-style-language/schema/raw/master/csl-citation.json"} </w:instrText>
      </w:r>
      <w:r w:rsidR="003F3F5C" w:rsidRPr="003F3F5C">
        <w:rPr>
          <w:b w:val="0"/>
          <w:bCs w:val="0"/>
          <w:i w:val="0"/>
          <w:iCs/>
          <w:szCs w:val="20"/>
        </w:rPr>
        <w:fldChar w:fldCharType="separate"/>
      </w:r>
      <w:r w:rsidR="003F3F5C" w:rsidRPr="003F3F5C">
        <w:rPr>
          <w:b w:val="0"/>
          <w:bCs w:val="0"/>
          <w:i w:val="0"/>
          <w:iCs/>
          <w:szCs w:val="18"/>
        </w:rPr>
        <w:t>(Lee, 2023)</w:t>
      </w:r>
      <w:r w:rsidR="003F3F5C" w:rsidRPr="003F3F5C">
        <w:rPr>
          <w:b w:val="0"/>
          <w:bCs w:val="0"/>
          <w:i w:val="0"/>
          <w:iCs/>
          <w:szCs w:val="20"/>
        </w:rPr>
        <w:fldChar w:fldCharType="end"/>
      </w:r>
      <w:r w:rsidRPr="003F3F5C">
        <w:rPr>
          <w:b w:val="0"/>
          <w:bCs w:val="0"/>
          <w:i w:val="0"/>
          <w:iCs/>
        </w:rPr>
        <w:t>.</w:t>
      </w:r>
      <w:r w:rsidRPr="00B158C3">
        <w:rPr>
          <w:b w:val="0"/>
          <w:bCs w:val="0"/>
          <w:i w:val="0"/>
          <w:iCs/>
        </w:rPr>
        <w:t xml:space="preserve"> As a result, the application of the Jigsaw model in the experimental class has demonstrated a significant improvement in learning outcomes, as it allows students to develop their potential more fully. Learning that is tailored to individual needs and strengths not only enhances students' understanding of the material but also helps them cultivate essential social, communication, and collaboration skills that are vital in both education and the modern workforce.</w:t>
      </w:r>
    </w:p>
    <w:p w14:paraId="333E7986" w14:textId="77777777" w:rsidR="003B06AC" w:rsidRPr="003B06AC" w:rsidRDefault="003B06AC" w:rsidP="003B06AC">
      <w:pPr>
        <w:pStyle w:val="Alishlah22heading2"/>
        <w:spacing w:before="0" w:after="0"/>
        <w:ind w:firstLine="425"/>
        <w:jc w:val="both"/>
        <w:rPr>
          <w:b w:val="0"/>
          <w:bCs w:val="0"/>
          <w:i w:val="0"/>
          <w:iCs/>
        </w:rPr>
      </w:pPr>
    </w:p>
    <w:p w14:paraId="09D74E8E" w14:textId="172D1E37" w:rsidR="00A26463" w:rsidRPr="00AE1C5B" w:rsidRDefault="00947DB3" w:rsidP="00AE1C5B">
      <w:pPr>
        <w:pStyle w:val="ListParagraph"/>
        <w:tabs>
          <w:tab w:val="left" w:pos="1701"/>
          <w:tab w:val="left" w:pos="1985"/>
        </w:tabs>
        <w:spacing w:before="240" w:after="120" w:line="240" w:lineRule="auto"/>
        <w:ind w:left="567"/>
        <w:jc w:val="center"/>
        <w:rPr>
          <w:rFonts w:ascii="Palatino Linotype" w:hAnsi="Palatino Linotype"/>
          <w:sz w:val="18"/>
          <w:szCs w:val="18"/>
        </w:rPr>
      </w:pPr>
      <w:r w:rsidRPr="00947DB3">
        <w:rPr>
          <w:rStyle w:val="Strong"/>
          <w:rFonts w:ascii="Palatino Linotype" w:hAnsi="Palatino Linotype"/>
          <w:sz w:val="18"/>
          <w:szCs w:val="18"/>
        </w:rPr>
        <w:lastRenderedPageBreak/>
        <w:t>Table 2.</w:t>
      </w:r>
      <w:r w:rsidRPr="00947DB3">
        <w:rPr>
          <w:rStyle w:val="Strong"/>
          <w:rFonts w:ascii="Palatino Linotype" w:hAnsi="Palatino Linotype"/>
          <w:b w:val="0"/>
          <w:bCs w:val="0"/>
          <w:sz w:val="18"/>
          <w:szCs w:val="18"/>
        </w:rPr>
        <w:t xml:space="preserve"> Comparison of Pre-Test and Post-Test Results of Analytical Ability</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417"/>
        <w:gridCol w:w="585"/>
        <w:gridCol w:w="663"/>
        <w:gridCol w:w="967"/>
        <w:gridCol w:w="4047"/>
      </w:tblGrid>
      <w:tr w:rsidR="009B59E2" w14:paraId="24291F33" w14:textId="77777777" w:rsidTr="00A0227A">
        <w:trPr>
          <w:trHeight w:val="517"/>
          <w:jc w:val="center"/>
        </w:trPr>
        <w:tc>
          <w:tcPr>
            <w:tcW w:w="1417" w:type="dxa"/>
            <w:tcBorders>
              <w:bottom w:val="single" w:sz="4" w:space="0" w:color="auto"/>
              <w:right w:val="nil"/>
            </w:tcBorders>
          </w:tcPr>
          <w:p w14:paraId="21F5530F" w14:textId="622FC420" w:rsidR="00A26463" w:rsidRDefault="00A26463" w:rsidP="00932941">
            <w:pPr>
              <w:pStyle w:val="Alishlah22heading2"/>
              <w:spacing w:before="0" w:after="0"/>
              <w:jc w:val="center"/>
              <w:rPr>
                <w:b w:val="0"/>
                <w:bCs w:val="0"/>
                <w:i w:val="0"/>
                <w:iCs/>
              </w:rPr>
            </w:pPr>
            <w:r w:rsidRPr="00A26463">
              <w:rPr>
                <w:b w:val="0"/>
                <w:bCs w:val="0"/>
                <w:i w:val="0"/>
                <w:iCs/>
              </w:rPr>
              <w:t>Aspect</w:t>
            </w:r>
          </w:p>
        </w:tc>
        <w:tc>
          <w:tcPr>
            <w:tcW w:w="585" w:type="dxa"/>
            <w:tcBorders>
              <w:left w:val="nil"/>
              <w:bottom w:val="single" w:sz="4" w:space="0" w:color="auto"/>
              <w:right w:val="nil"/>
            </w:tcBorders>
          </w:tcPr>
          <w:p w14:paraId="5B803DAA" w14:textId="6FA4A058" w:rsidR="00A26463" w:rsidRDefault="00A26463" w:rsidP="00932941">
            <w:pPr>
              <w:pStyle w:val="Alishlah22heading2"/>
              <w:spacing w:before="0" w:after="0"/>
              <w:jc w:val="center"/>
              <w:rPr>
                <w:b w:val="0"/>
                <w:bCs w:val="0"/>
                <w:i w:val="0"/>
                <w:iCs/>
              </w:rPr>
            </w:pPr>
            <w:r w:rsidRPr="00A26463">
              <w:rPr>
                <w:b w:val="0"/>
                <w:bCs w:val="0"/>
                <w:i w:val="0"/>
                <w:iCs/>
              </w:rPr>
              <w:t>Pre-Test</w:t>
            </w:r>
          </w:p>
        </w:tc>
        <w:tc>
          <w:tcPr>
            <w:tcW w:w="663" w:type="dxa"/>
            <w:tcBorders>
              <w:left w:val="nil"/>
              <w:bottom w:val="single" w:sz="4" w:space="0" w:color="auto"/>
              <w:right w:val="nil"/>
            </w:tcBorders>
          </w:tcPr>
          <w:p w14:paraId="61CA8D14" w14:textId="6CE27B46" w:rsidR="00A26463" w:rsidRDefault="00A26463" w:rsidP="00932941">
            <w:pPr>
              <w:pStyle w:val="Alishlah22heading2"/>
              <w:spacing w:before="0" w:after="0"/>
              <w:jc w:val="center"/>
              <w:rPr>
                <w:b w:val="0"/>
                <w:bCs w:val="0"/>
                <w:i w:val="0"/>
                <w:iCs/>
              </w:rPr>
            </w:pPr>
            <w:r w:rsidRPr="00A26463">
              <w:rPr>
                <w:b w:val="0"/>
                <w:bCs w:val="0"/>
                <w:i w:val="0"/>
                <w:iCs/>
              </w:rPr>
              <w:t>Post-Test</w:t>
            </w:r>
          </w:p>
        </w:tc>
        <w:tc>
          <w:tcPr>
            <w:tcW w:w="967" w:type="dxa"/>
            <w:tcBorders>
              <w:left w:val="nil"/>
              <w:bottom w:val="single" w:sz="4" w:space="0" w:color="auto"/>
              <w:right w:val="nil"/>
            </w:tcBorders>
          </w:tcPr>
          <w:p w14:paraId="32932ECE" w14:textId="501266F3" w:rsidR="00A26463" w:rsidRDefault="001C125B" w:rsidP="00932941">
            <w:pPr>
              <w:pStyle w:val="Alishlah22heading2"/>
              <w:spacing w:before="0" w:after="0"/>
              <w:jc w:val="center"/>
              <w:rPr>
                <w:b w:val="0"/>
                <w:bCs w:val="0"/>
                <w:i w:val="0"/>
                <w:iCs/>
              </w:rPr>
            </w:pPr>
            <w:r w:rsidRPr="00A26463">
              <w:rPr>
                <w:b w:val="0"/>
                <w:bCs w:val="0"/>
                <w:i w:val="0"/>
                <w:iCs/>
              </w:rPr>
              <w:t>Average</w:t>
            </w:r>
          </w:p>
        </w:tc>
        <w:tc>
          <w:tcPr>
            <w:tcW w:w="4047" w:type="dxa"/>
            <w:tcBorders>
              <w:left w:val="nil"/>
              <w:bottom w:val="single" w:sz="4" w:space="0" w:color="auto"/>
            </w:tcBorders>
          </w:tcPr>
          <w:p w14:paraId="537755F3" w14:textId="44C53510" w:rsidR="00A26463" w:rsidRDefault="001C125B" w:rsidP="00932941">
            <w:pPr>
              <w:pStyle w:val="Alishlah22heading2"/>
              <w:spacing w:before="0" w:after="0"/>
              <w:jc w:val="center"/>
              <w:rPr>
                <w:b w:val="0"/>
                <w:bCs w:val="0"/>
                <w:i w:val="0"/>
                <w:iCs/>
              </w:rPr>
            </w:pPr>
            <w:r>
              <w:rPr>
                <w:b w:val="0"/>
                <w:bCs w:val="0"/>
                <w:i w:val="0"/>
                <w:iCs/>
              </w:rPr>
              <w:t>Description</w:t>
            </w:r>
          </w:p>
        </w:tc>
      </w:tr>
      <w:tr w:rsidR="009B59E2" w14:paraId="572EBBF9" w14:textId="77777777" w:rsidTr="00A0227A">
        <w:trPr>
          <w:trHeight w:val="761"/>
          <w:jc w:val="center"/>
        </w:trPr>
        <w:tc>
          <w:tcPr>
            <w:tcW w:w="1417" w:type="dxa"/>
            <w:tcBorders>
              <w:bottom w:val="nil"/>
              <w:right w:val="nil"/>
            </w:tcBorders>
          </w:tcPr>
          <w:p w14:paraId="589EABC9" w14:textId="123F6509" w:rsidR="001C125B" w:rsidRPr="00A26463" w:rsidRDefault="001C125B" w:rsidP="001C125B">
            <w:pPr>
              <w:pStyle w:val="Alishlah22heading2"/>
              <w:spacing w:before="0" w:after="0"/>
              <w:jc w:val="both"/>
              <w:rPr>
                <w:b w:val="0"/>
                <w:bCs w:val="0"/>
                <w:i w:val="0"/>
                <w:iCs/>
              </w:rPr>
            </w:pPr>
            <w:r w:rsidRPr="00A26463">
              <w:rPr>
                <w:b w:val="0"/>
                <w:bCs w:val="0"/>
                <w:i w:val="0"/>
                <w:iCs/>
              </w:rPr>
              <w:t>Identifying Important Information</w:t>
            </w:r>
          </w:p>
        </w:tc>
        <w:tc>
          <w:tcPr>
            <w:tcW w:w="585" w:type="dxa"/>
            <w:tcBorders>
              <w:left w:val="nil"/>
              <w:bottom w:val="nil"/>
              <w:right w:val="nil"/>
            </w:tcBorders>
          </w:tcPr>
          <w:p w14:paraId="5A312A11" w14:textId="7CB63EEF" w:rsidR="001C125B" w:rsidRDefault="001C125B" w:rsidP="001C125B">
            <w:pPr>
              <w:pStyle w:val="Alishlah22heading2"/>
              <w:spacing w:before="0" w:after="0"/>
              <w:jc w:val="both"/>
              <w:rPr>
                <w:b w:val="0"/>
                <w:bCs w:val="0"/>
                <w:i w:val="0"/>
                <w:iCs/>
              </w:rPr>
            </w:pPr>
            <w:r>
              <w:rPr>
                <w:b w:val="0"/>
                <w:bCs w:val="0"/>
                <w:i w:val="0"/>
                <w:iCs/>
              </w:rPr>
              <w:t>70%</w:t>
            </w:r>
          </w:p>
        </w:tc>
        <w:tc>
          <w:tcPr>
            <w:tcW w:w="663" w:type="dxa"/>
            <w:tcBorders>
              <w:left w:val="nil"/>
              <w:bottom w:val="nil"/>
              <w:right w:val="nil"/>
            </w:tcBorders>
          </w:tcPr>
          <w:p w14:paraId="2B27A52B" w14:textId="716B47D7" w:rsidR="001C125B" w:rsidRDefault="001C125B" w:rsidP="001C125B">
            <w:pPr>
              <w:pStyle w:val="Alishlah22heading2"/>
              <w:spacing w:before="0" w:after="0"/>
              <w:jc w:val="both"/>
              <w:rPr>
                <w:b w:val="0"/>
                <w:bCs w:val="0"/>
                <w:i w:val="0"/>
                <w:iCs/>
              </w:rPr>
            </w:pPr>
            <w:r>
              <w:rPr>
                <w:b w:val="0"/>
                <w:bCs w:val="0"/>
                <w:i w:val="0"/>
                <w:iCs/>
              </w:rPr>
              <w:t>85%</w:t>
            </w:r>
          </w:p>
        </w:tc>
        <w:tc>
          <w:tcPr>
            <w:tcW w:w="967" w:type="dxa"/>
            <w:tcBorders>
              <w:left w:val="nil"/>
              <w:bottom w:val="nil"/>
              <w:right w:val="nil"/>
            </w:tcBorders>
          </w:tcPr>
          <w:p w14:paraId="2AF8380A" w14:textId="76CCC88D" w:rsidR="001C125B" w:rsidRPr="00A26463" w:rsidRDefault="001C125B" w:rsidP="001C125B">
            <w:pPr>
              <w:pStyle w:val="Alishlah22heading2"/>
              <w:spacing w:before="0" w:after="0"/>
              <w:jc w:val="both"/>
              <w:rPr>
                <w:b w:val="0"/>
                <w:bCs w:val="0"/>
                <w:i w:val="0"/>
                <w:iCs/>
              </w:rPr>
            </w:pPr>
            <w:r>
              <w:rPr>
                <w:b w:val="0"/>
                <w:bCs w:val="0"/>
                <w:i w:val="0"/>
                <w:iCs/>
              </w:rPr>
              <w:t>77,5%</w:t>
            </w:r>
          </w:p>
        </w:tc>
        <w:tc>
          <w:tcPr>
            <w:tcW w:w="4047" w:type="dxa"/>
            <w:tcBorders>
              <w:left w:val="nil"/>
              <w:bottom w:val="nil"/>
            </w:tcBorders>
          </w:tcPr>
          <w:p w14:paraId="0F8AB42C" w14:textId="0C5041FC" w:rsidR="001C125B" w:rsidRDefault="005D610B" w:rsidP="001C125B">
            <w:pPr>
              <w:pStyle w:val="Alishlah22heading2"/>
              <w:spacing w:before="0" w:after="0"/>
              <w:jc w:val="both"/>
              <w:rPr>
                <w:b w:val="0"/>
                <w:bCs w:val="0"/>
                <w:i w:val="0"/>
                <w:iCs/>
              </w:rPr>
            </w:pPr>
            <w:r w:rsidRPr="005D610B">
              <w:rPr>
                <w:b w:val="0"/>
                <w:bCs w:val="0"/>
                <w:i w:val="0"/>
                <w:iCs/>
              </w:rPr>
              <w:t>Students significantly improved in recognizing and selecting important details from texts, graphs, or diagrams.</w:t>
            </w:r>
          </w:p>
        </w:tc>
      </w:tr>
      <w:tr w:rsidR="009B59E2" w14:paraId="18C96491" w14:textId="77777777" w:rsidTr="00A0227A">
        <w:trPr>
          <w:trHeight w:val="517"/>
          <w:jc w:val="center"/>
        </w:trPr>
        <w:tc>
          <w:tcPr>
            <w:tcW w:w="1417" w:type="dxa"/>
            <w:tcBorders>
              <w:top w:val="nil"/>
              <w:bottom w:val="nil"/>
              <w:right w:val="nil"/>
            </w:tcBorders>
          </w:tcPr>
          <w:p w14:paraId="36EE1DF1" w14:textId="7EC0FEDC" w:rsidR="001C125B" w:rsidRDefault="009B59E2" w:rsidP="001C125B">
            <w:pPr>
              <w:pStyle w:val="Alishlah22heading2"/>
              <w:spacing w:before="0" w:after="0"/>
              <w:jc w:val="both"/>
              <w:rPr>
                <w:b w:val="0"/>
                <w:bCs w:val="0"/>
                <w:i w:val="0"/>
                <w:iCs/>
              </w:rPr>
            </w:pPr>
            <w:r w:rsidRPr="009B59E2">
              <w:rPr>
                <w:b w:val="0"/>
                <w:bCs w:val="0"/>
                <w:i w:val="0"/>
                <w:iCs/>
              </w:rPr>
              <w:t>Classifying Information</w:t>
            </w:r>
          </w:p>
        </w:tc>
        <w:tc>
          <w:tcPr>
            <w:tcW w:w="585" w:type="dxa"/>
            <w:tcBorders>
              <w:top w:val="nil"/>
              <w:left w:val="nil"/>
              <w:bottom w:val="nil"/>
              <w:right w:val="nil"/>
            </w:tcBorders>
          </w:tcPr>
          <w:p w14:paraId="67FF8243" w14:textId="7417E884" w:rsidR="001C125B" w:rsidRDefault="009B59E2" w:rsidP="001C125B">
            <w:pPr>
              <w:pStyle w:val="Alishlah22heading2"/>
              <w:spacing w:before="0" w:after="0"/>
              <w:jc w:val="both"/>
              <w:rPr>
                <w:b w:val="0"/>
                <w:bCs w:val="0"/>
                <w:i w:val="0"/>
                <w:iCs/>
              </w:rPr>
            </w:pPr>
            <w:r>
              <w:rPr>
                <w:b w:val="0"/>
                <w:bCs w:val="0"/>
                <w:i w:val="0"/>
                <w:iCs/>
              </w:rPr>
              <w:t>65%</w:t>
            </w:r>
          </w:p>
        </w:tc>
        <w:tc>
          <w:tcPr>
            <w:tcW w:w="663" w:type="dxa"/>
            <w:tcBorders>
              <w:top w:val="nil"/>
              <w:left w:val="nil"/>
              <w:bottom w:val="nil"/>
              <w:right w:val="nil"/>
            </w:tcBorders>
          </w:tcPr>
          <w:p w14:paraId="50352AC4" w14:textId="3FD6237F" w:rsidR="001C125B" w:rsidRDefault="009B59E2" w:rsidP="001C125B">
            <w:pPr>
              <w:pStyle w:val="Alishlah22heading2"/>
              <w:spacing w:before="0" w:after="0"/>
              <w:jc w:val="both"/>
              <w:rPr>
                <w:b w:val="0"/>
                <w:bCs w:val="0"/>
                <w:i w:val="0"/>
                <w:iCs/>
              </w:rPr>
            </w:pPr>
            <w:r>
              <w:rPr>
                <w:b w:val="0"/>
                <w:bCs w:val="0"/>
                <w:i w:val="0"/>
                <w:iCs/>
              </w:rPr>
              <w:t>80%</w:t>
            </w:r>
          </w:p>
        </w:tc>
        <w:tc>
          <w:tcPr>
            <w:tcW w:w="967" w:type="dxa"/>
            <w:tcBorders>
              <w:top w:val="nil"/>
              <w:left w:val="nil"/>
              <w:bottom w:val="nil"/>
              <w:right w:val="nil"/>
            </w:tcBorders>
          </w:tcPr>
          <w:p w14:paraId="22B686A8" w14:textId="2912F5EA" w:rsidR="001C125B" w:rsidRDefault="009B59E2" w:rsidP="001C125B">
            <w:pPr>
              <w:pStyle w:val="Alishlah22heading2"/>
              <w:spacing w:before="0" w:after="0"/>
              <w:jc w:val="both"/>
              <w:rPr>
                <w:b w:val="0"/>
                <w:bCs w:val="0"/>
                <w:i w:val="0"/>
                <w:iCs/>
              </w:rPr>
            </w:pPr>
            <w:r>
              <w:rPr>
                <w:b w:val="0"/>
                <w:bCs w:val="0"/>
                <w:i w:val="0"/>
                <w:iCs/>
              </w:rPr>
              <w:t>72,5%</w:t>
            </w:r>
          </w:p>
        </w:tc>
        <w:tc>
          <w:tcPr>
            <w:tcW w:w="4047" w:type="dxa"/>
            <w:tcBorders>
              <w:top w:val="nil"/>
              <w:left w:val="nil"/>
              <w:bottom w:val="nil"/>
            </w:tcBorders>
          </w:tcPr>
          <w:p w14:paraId="4F58B29F" w14:textId="0E574CF7" w:rsidR="001C125B" w:rsidRDefault="005D610B" w:rsidP="001C125B">
            <w:pPr>
              <w:pStyle w:val="Alishlah22heading2"/>
              <w:spacing w:before="0" w:after="0"/>
              <w:jc w:val="both"/>
              <w:rPr>
                <w:b w:val="0"/>
                <w:bCs w:val="0"/>
                <w:i w:val="0"/>
                <w:iCs/>
              </w:rPr>
            </w:pPr>
            <w:r w:rsidRPr="005D610B">
              <w:rPr>
                <w:b w:val="0"/>
                <w:bCs w:val="0"/>
                <w:i w:val="0"/>
                <w:iCs/>
              </w:rPr>
              <w:t>Students showed better ability in categorizing information into appropriate categories and subcategories</w:t>
            </w:r>
            <w:r>
              <w:rPr>
                <w:b w:val="0"/>
                <w:bCs w:val="0"/>
                <w:i w:val="0"/>
                <w:iCs/>
              </w:rPr>
              <w:t>.</w:t>
            </w:r>
          </w:p>
        </w:tc>
      </w:tr>
      <w:tr w:rsidR="009B59E2" w14:paraId="7EC6DA46" w14:textId="77777777" w:rsidTr="00A0227A">
        <w:trPr>
          <w:trHeight w:val="776"/>
          <w:jc w:val="center"/>
        </w:trPr>
        <w:tc>
          <w:tcPr>
            <w:tcW w:w="1417" w:type="dxa"/>
            <w:tcBorders>
              <w:top w:val="nil"/>
              <w:bottom w:val="nil"/>
              <w:right w:val="nil"/>
            </w:tcBorders>
          </w:tcPr>
          <w:p w14:paraId="0123CA3F" w14:textId="380D5002" w:rsidR="001C125B" w:rsidRDefault="009B59E2" w:rsidP="001C125B">
            <w:pPr>
              <w:pStyle w:val="Alishlah22heading2"/>
              <w:spacing w:before="0" w:after="0"/>
              <w:jc w:val="both"/>
              <w:rPr>
                <w:b w:val="0"/>
                <w:bCs w:val="0"/>
                <w:i w:val="0"/>
                <w:iCs/>
              </w:rPr>
            </w:pPr>
            <w:r w:rsidRPr="009B59E2">
              <w:rPr>
                <w:b w:val="0"/>
                <w:bCs w:val="0"/>
                <w:i w:val="0"/>
                <w:iCs/>
              </w:rPr>
              <w:t>Analysing Causal Relationships</w:t>
            </w:r>
          </w:p>
        </w:tc>
        <w:tc>
          <w:tcPr>
            <w:tcW w:w="585" w:type="dxa"/>
            <w:tcBorders>
              <w:top w:val="nil"/>
              <w:left w:val="nil"/>
              <w:bottom w:val="nil"/>
              <w:right w:val="nil"/>
            </w:tcBorders>
          </w:tcPr>
          <w:p w14:paraId="551295DF" w14:textId="03FB79C4" w:rsidR="001C125B" w:rsidRDefault="009B59E2" w:rsidP="001C125B">
            <w:pPr>
              <w:pStyle w:val="Alishlah22heading2"/>
              <w:spacing w:before="0" w:after="0"/>
              <w:jc w:val="both"/>
              <w:rPr>
                <w:b w:val="0"/>
                <w:bCs w:val="0"/>
                <w:i w:val="0"/>
                <w:iCs/>
              </w:rPr>
            </w:pPr>
            <w:r>
              <w:rPr>
                <w:b w:val="0"/>
                <w:bCs w:val="0"/>
                <w:i w:val="0"/>
                <w:iCs/>
              </w:rPr>
              <w:t>55%</w:t>
            </w:r>
          </w:p>
        </w:tc>
        <w:tc>
          <w:tcPr>
            <w:tcW w:w="663" w:type="dxa"/>
            <w:tcBorders>
              <w:top w:val="nil"/>
              <w:left w:val="nil"/>
              <w:bottom w:val="nil"/>
              <w:right w:val="nil"/>
            </w:tcBorders>
          </w:tcPr>
          <w:p w14:paraId="450C74B0" w14:textId="70463206" w:rsidR="001C125B" w:rsidRDefault="009B59E2" w:rsidP="001C125B">
            <w:pPr>
              <w:pStyle w:val="Alishlah22heading2"/>
              <w:spacing w:before="0" w:after="0"/>
              <w:jc w:val="both"/>
              <w:rPr>
                <w:b w:val="0"/>
                <w:bCs w:val="0"/>
                <w:i w:val="0"/>
                <w:iCs/>
              </w:rPr>
            </w:pPr>
            <w:r>
              <w:rPr>
                <w:b w:val="0"/>
                <w:bCs w:val="0"/>
                <w:i w:val="0"/>
                <w:iCs/>
              </w:rPr>
              <w:t>75%</w:t>
            </w:r>
          </w:p>
        </w:tc>
        <w:tc>
          <w:tcPr>
            <w:tcW w:w="967" w:type="dxa"/>
            <w:tcBorders>
              <w:top w:val="nil"/>
              <w:left w:val="nil"/>
              <w:bottom w:val="nil"/>
              <w:right w:val="nil"/>
            </w:tcBorders>
          </w:tcPr>
          <w:p w14:paraId="09E55FBA" w14:textId="19B9642B" w:rsidR="001C125B" w:rsidRDefault="009B59E2" w:rsidP="001C125B">
            <w:pPr>
              <w:pStyle w:val="Alishlah22heading2"/>
              <w:spacing w:before="0" w:after="0"/>
              <w:jc w:val="both"/>
              <w:rPr>
                <w:b w:val="0"/>
                <w:bCs w:val="0"/>
                <w:i w:val="0"/>
                <w:iCs/>
              </w:rPr>
            </w:pPr>
            <w:r>
              <w:rPr>
                <w:b w:val="0"/>
                <w:bCs w:val="0"/>
                <w:i w:val="0"/>
                <w:iCs/>
              </w:rPr>
              <w:t>65%</w:t>
            </w:r>
          </w:p>
        </w:tc>
        <w:tc>
          <w:tcPr>
            <w:tcW w:w="4047" w:type="dxa"/>
            <w:tcBorders>
              <w:top w:val="nil"/>
              <w:left w:val="nil"/>
              <w:bottom w:val="nil"/>
            </w:tcBorders>
          </w:tcPr>
          <w:p w14:paraId="3F96299A" w14:textId="6D55BDEF" w:rsidR="001C125B" w:rsidRDefault="005D610B" w:rsidP="001C125B">
            <w:pPr>
              <w:pStyle w:val="Alishlah22heading2"/>
              <w:spacing w:before="0" w:after="0"/>
              <w:jc w:val="both"/>
              <w:rPr>
                <w:b w:val="0"/>
                <w:bCs w:val="0"/>
                <w:i w:val="0"/>
                <w:iCs/>
              </w:rPr>
            </w:pPr>
            <w:r w:rsidRPr="005D610B">
              <w:rPr>
                <w:b w:val="0"/>
                <w:bCs w:val="0"/>
                <w:i w:val="0"/>
                <w:iCs/>
              </w:rPr>
              <w:t>Students improved in understanding and explaining causal relationships between events or phenomena.</w:t>
            </w:r>
          </w:p>
        </w:tc>
      </w:tr>
      <w:tr w:rsidR="009B59E2" w14:paraId="44D77FD7" w14:textId="77777777" w:rsidTr="00A0227A">
        <w:trPr>
          <w:trHeight w:val="776"/>
          <w:jc w:val="center"/>
        </w:trPr>
        <w:tc>
          <w:tcPr>
            <w:tcW w:w="1417" w:type="dxa"/>
            <w:tcBorders>
              <w:top w:val="nil"/>
              <w:bottom w:val="nil"/>
              <w:right w:val="nil"/>
            </w:tcBorders>
          </w:tcPr>
          <w:p w14:paraId="2DB0ADC3" w14:textId="2A801A42" w:rsidR="001C125B" w:rsidRDefault="009B59E2" w:rsidP="001C125B">
            <w:pPr>
              <w:pStyle w:val="Alishlah22heading2"/>
              <w:spacing w:before="0" w:after="0"/>
              <w:jc w:val="both"/>
              <w:rPr>
                <w:b w:val="0"/>
                <w:bCs w:val="0"/>
                <w:i w:val="0"/>
                <w:iCs/>
              </w:rPr>
            </w:pPr>
            <w:r w:rsidRPr="009B59E2">
              <w:rPr>
                <w:b w:val="0"/>
                <w:bCs w:val="0"/>
                <w:i w:val="0"/>
                <w:iCs/>
              </w:rPr>
              <w:t>Interpreting Meanings and Implications</w:t>
            </w:r>
          </w:p>
        </w:tc>
        <w:tc>
          <w:tcPr>
            <w:tcW w:w="585" w:type="dxa"/>
            <w:tcBorders>
              <w:top w:val="nil"/>
              <w:left w:val="nil"/>
              <w:bottom w:val="nil"/>
              <w:right w:val="nil"/>
            </w:tcBorders>
          </w:tcPr>
          <w:p w14:paraId="6E06CEE7" w14:textId="2F036C8C" w:rsidR="001C125B" w:rsidRDefault="009B59E2" w:rsidP="001C125B">
            <w:pPr>
              <w:pStyle w:val="Alishlah22heading2"/>
              <w:spacing w:before="0" w:after="0"/>
              <w:jc w:val="both"/>
              <w:rPr>
                <w:b w:val="0"/>
                <w:bCs w:val="0"/>
                <w:i w:val="0"/>
                <w:iCs/>
              </w:rPr>
            </w:pPr>
            <w:r>
              <w:rPr>
                <w:b w:val="0"/>
                <w:bCs w:val="0"/>
                <w:i w:val="0"/>
                <w:iCs/>
              </w:rPr>
              <w:t>50%</w:t>
            </w:r>
          </w:p>
        </w:tc>
        <w:tc>
          <w:tcPr>
            <w:tcW w:w="663" w:type="dxa"/>
            <w:tcBorders>
              <w:top w:val="nil"/>
              <w:left w:val="nil"/>
              <w:bottom w:val="nil"/>
              <w:right w:val="nil"/>
            </w:tcBorders>
          </w:tcPr>
          <w:p w14:paraId="163C758C" w14:textId="11667368" w:rsidR="001C125B" w:rsidRDefault="009B59E2" w:rsidP="001C125B">
            <w:pPr>
              <w:pStyle w:val="Alishlah22heading2"/>
              <w:spacing w:before="0" w:after="0"/>
              <w:jc w:val="both"/>
              <w:rPr>
                <w:b w:val="0"/>
                <w:bCs w:val="0"/>
                <w:i w:val="0"/>
                <w:iCs/>
              </w:rPr>
            </w:pPr>
            <w:r>
              <w:rPr>
                <w:b w:val="0"/>
                <w:bCs w:val="0"/>
                <w:i w:val="0"/>
                <w:iCs/>
              </w:rPr>
              <w:t>70%</w:t>
            </w:r>
          </w:p>
        </w:tc>
        <w:tc>
          <w:tcPr>
            <w:tcW w:w="967" w:type="dxa"/>
            <w:tcBorders>
              <w:top w:val="nil"/>
              <w:left w:val="nil"/>
              <w:bottom w:val="nil"/>
              <w:right w:val="nil"/>
            </w:tcBorders>
          </w:tcPr>
          <w:p w14:paraId="287638A1" w14:textId="3C297911" w:rsidR="001C125B" w:rsidRDefault="009B59E2" w:rsidP="001C125B">
            <w:pPr>
              <w:pStyle w:val="Alishlah22heading2"/>
              <w:spacing w:before="0" w:after="0"/>
              <w:jc w:val="both"/>
              <w:rPr>
                <w:b w:val="0"/>
                <w:bCs w:val="0"/>
                <w:i w:val="0"/>
                <w:iCs/>
              </w:rPr>
            </w:pPr>
            <w:r>
              <w:rPr>
                <w:b w:val="0"/>
                <w:bCs w:val="0"/>
                <w:i w:val="0"/>
                <w:iCs/>
              </w:rPr>
              <w:t>60%</w:t>
            </w:r>
          </w:p>
        </w:tc>
        <w:tc>
          <w:tcPr>
            <w:tcW w:w="4047" w:type="dxa"/>
            <w:tcBorders>
              <w:top w:val="nil"/>
              <w:left w:val="nil"/>
              <w:bottom w:val="nil"/>
            </w:tcBorders>
          </w:tcPr>
          <w:p w14:paraId="5A6737E0" w14:textId="7EB9D445" w:rsidR="001C125B" w:rsidRDefault="005D610B" w:rsidP="001C125B">
            <w:pPr>
              <w:pStyle w:val="Alishlah22heading2"/>
              <w:spacing w:before="0" w:after="0"/>
              <w:jc w:val="both"/>
              <w:rPr>
                <w:b w:val="0"/>
                <w:bCs w:val="0"/>
                <w:i w:val="0"/>
                <w:iCs/>
              </w:rPr>
            </w:pPr>
            <w:r w:rsidRPr="005D610B">
              <w:rPr>
                <w:b w:val="0"/>
                <w:bCs w:val="0"/>
                <w:i w:val="0"/>
                <w:iCs/>
              </w:rPr>
              <w:t>Students enhanced their understanding of implied meanings and implications in given information.</w:t>
            </w:r>
          </w:p>
        </w:tc>
      </w:tr>
      <w:tr w:rsidR="009B59E2" w14:paraId="44346871" w14:textId="77777777" w:rsidTr="00A0227A">
        <w:trPr>
          <w:trHeight w:val="776"/>
          <w:jc w:val="center"/>
        </w:trPr>
        <w:tc>
          <w:tcPr>
            <w:tcW w:w="1417" w:type="dxa"/>
            <w:tcBorders>
              <w:top w:val="nil"/>
              <w:right w:val="nil"/>
            </w:tcBorders>
          </w:tcPr>
          <w:p w14:paraId="1A50316D" w14:textId="170F7312" w:rsidR="001C125B" w:rsidRDefault="009B59E2" w:rsidP="001C125B">
            <w:pPr>
              <w:pStyle w:val="Alishlah22heading2"/>
              <w:spacing w:before="0" w:after="0"/>
              <w:jc w:val="both"/>
              <w:rPr>
                <w:b w:val="0"/>
                <w:bCs w:val="0"/>
                <w:i w:val="0"/>
                <w:iCs/>
              </w:rPr>
            </w:pPr>
            <w:r w:rsidRPr="009B59E2">
              <w:rPr>
                <w:b w:val="0"/>
                <w:bCs w:val="0"/>
                <w:i w:val="0"/>
                <w:iCs/>
              </w:rPr>
              <w:t>Drawing Logical Conclusions</w:t>
            </w:r>
          </w:p>
        </w:tc>
        <w:tc>
          <w:tcPr>
            <w:tcW w:w="585" w:type="dxa"/>
            <w:tcBorders>
              <w:top w:val="nil"/>
              <w:left w:val="nil"/>
              <w:right w:val="nil"/>
            </w:tcBorders>
          </w:tcPr>
          <w:p w14:paraId="1184DFAB" w14:textId="6AC4D62A" w:rsidR="001C125B" w:rsidRDefault="009B59E2" w:rsidP="001C125B">
            <w:pPr>
              <w:pStyle w:val="Alishlah22heading2"/>
              <w:spacing w:before="0" w:after="0"/>
              <w:jc w:val="both"/>
              <w:rPr>
                <w:b w:val="0"/>
                <w:bCs w:val="0"/>
                <w:i w:val="0"/>
                <w:iCs/>
              </w:rPr>
            </w:pPr>
            <w:r>
              <w:rPr>
                <w:b w:val="0"/>
                <w:bCs w:val="0"/>
                <w:i w:val="0"/>
                <w:iCs/>
              </w:rPr>
              <w:t>45%</w:t>
            </w:r>
          </w:p>
        </w:tc>
        <w:tc>
          <w:tcPr>
            <w:tcW w:w="663" w:type="dxa"/>
            <w:tcBorders>
              <w:top w:val="nil"/>
              <w:left w:val="nil"/>
              <w:right w:val="nil"/>
            </w:tcBorders>
          </w:tcPr>
          <w:p w14:paraId="31855806" w14:textId="3CE9FF6B" w:rsidR="001C125B" w:rsidRDefault="009B59E2" w:rsidP="001C125B">
            <w:pPr>
              <w:pStyle w:val="Alishlah22heading2"/>
              <w:spacing w:before="0" w:after="0"/>
              <w:jc w:val="both"/>
              <w:rPr>
                <w:b w:val="0"/>
                <w:bCs w:val="0"/>
                <w:i w:val="0"/>
                <w:iCs/>
              </w:rPr>
            </w:pPr>
            <w:r>
              <w:rPr>
                <w:b w:val="0"/>
                <w:bCs w:val="0"/>
                <w:i w:val="0"/>
                <w:iCs/>
              </w:rPr>
              <w:t>65%</w:t>
            </w:r>
          </w:p>
        </w:tc>
        <w:tc>
          <w:tcPr>
            <w:tcW w:w="967" w:type="dxa"/>
            <w:tcBorders>
              <w:top w:val="nil"/>
              <w:left w:val="nil"/>
              <w:right w:val="nil"/>
            </w:tcBorders>
          </w:tcPr>
          <w:p w14:paraId="638E9ACB" w14:textId="340FBD0C" w:rsidR="001C125B" w:rsidRDefault="009B59E2" w:rsidP="001C125B">
            <w:pPr>
              <w:pStyle w:val="Alishlah22heading2"/>
              <w:spacing w:before="0" w:after="0"/>
              <w:jc w:val="both"/>
              <w:rPr>
                <w:b w:val="0"/>
                <w:bCs w:val="0"/>
                <w:i w:val="0"/>
                <w:iCs/>
              </w:rPr>
            </w:pPr>
            <w:r>
              <w:rPr>
                <w:b w:val="0"/>
                <w:bCs w:val="0"/>
                <w:i w:val="0"/>
                <w:iCs/>
              </w:rPr>
              <w:t>55%</w:t>
            </w:r>
          </w:p>
        </w:tc>
        <w:tc>
          <w:tcPr>
            <w:tcW w:w="4047" w:type="dxa"/>
            <w:tcBorders>
              <w:top w:val="nil"/>
              <w:left w:val="nil"/>
            </w:tcBorders>
          </w:tcPr>
          <w:p w14:paraId="70D55BEC" w14:textId="2A20E5EB" w:rsidR="001C125B" w:rsidRDefault="005D610B" w:rsidP="001C125B">
            <w:pPr>
              <w:pStyle w:val="Alishlah22heading2"/>
              <w:spacing w:before="0" w:after="0"/>
              <w:jc w:val="both"/>
              <w:rPr>
                <w:b w:val="0"/>
                <w:bCs w:val="0"/>
                <w:i w:val="0"/>
                <w:iCs/>
              </w:rPr>
            </w:pPr>
            <w:r w:rsidRPr="005D610B">
              <w:rPr>
                <w:b w:val="0"/>
                <w:bCs w:val="0"/>
                <w:i w:val="0"/>
                <w:iCs/>
              </w:rPr>
              <w:t>Students showed increased ability in drawing logical, evidence-supported conclusions.</w:t>
            </w:r>
          </w:p>
        </w:tc>
      </w:tr>
    </w:tbl>
    <w:p w14:paraId="4A3DF5D2" w14:textId="77777777" w:rsidR="00A0227A" w:rsidRDefault="00A0227A" w:rsidP="00A0227A">
      <w:pPr>
        <w:pStyle w:val="Alishlah22heading2"/>
        <w:spacing w:before="0" w:after="0"/>
        <w:ind w:firstLine="720"/>
        <w:jc w:val="both"/>
        <w:rPr>
          <w:b w:val="0"/>
          <w:bCs w:val="0"/>
          <w:i w:val="0"/>
          <w:iCs/>
        </w:rPr>
      </w:pPr>
    </w:p>
    <w:p w14:paraId="380D8C34" w14:textId="3480BF77" w:rsidR="00947DB3" w:rsidRDefault="00A0227A" w:rsidP="00A0227A">
      <w:pPr>
        <w:pStyle w:val="Alishlah22heading2"/>
        <w:spacing w:before="0" w:after="0"/>
        <w:ind w:firstLine="720"/>
        <w:jc w:val="both"/>
        <w:rPr>
          <w:b w:val="0"/>
          <w:bCs w:val="0"/>
          <w:i w:val="0"/>
          <w:iCs/>
        </w:rPr>
      </w:pPr>
      <w:r w:rsidRPr="00A0227A">
        <w:rPr>
          <w:b w:val="0"/>
          <w:bCs w:val="0"/>
          <w:i w:val="0"/>
          <w:iCs/>
        </w:rPr>
        <w:t>The table presents a comprehensive overview of students' performance improvements across five key aspects of learning after the implementation of the Jigsaw strategy. In the first aspect, "Identifying Important Information," students exhibited significant progress, with pre-test scores averaging 70% and post-test scores reaching 85%, resulting in a notable average improvement to 77.5%. This indicates a heightened ability to recognize and select critical details from texts, graphs, or diagrams. Similarly, in "Classifying Information," students demonstrated a substantial enhancement in their ability to categorize information into relevant categories and subcategories, with scores increasing from 65% to 80%, yielding an average of 72.5%. In the third aspect, "Analysing Causal Relationships," students improved from a pre-test score of 55% to a post-test score of 75%, indicating better comprehension of cause-and-effect relationships, with an overall average of 65%. Regarding "Interpreting Meanings and Implications," there was an improvement from 50% to 70%, averaging 60%, showing that students became more adept at understanding implicit meanings and the broader implications of information. Lastly, in "Drawing Logical Conclusions," students' scores rose from 45% to 65%, achieving an average of 55%, reflecting their enhanced ability to draw logical and evidence-based conclusions. Collectively, these improvements highlight the effectiveness of the Jigsaw strategy in fostering critical thinking and higher-order cognitive skills among students, providing them with a stronger foundation for analytical and interpretative tasks.</w:t>
      </w:r>
    </w:p>
    <w:p w14:paraId="48449186" w14:textId="116DB3B4" w:rsidR="00947DB3" w:rsidRPr="00AE1C5B" w:rsidRDefault="002D170E" w:rsidP="00AE1C5B">
      <w:pPr>
        <w:pStyle w:val="Alishlah22heading2"/>
        <w:jc w:val="center"/>
        <w:rPr>
          <w:b w:val="0"/>
          <w:bCs w:val="0"/>
          <w:i w:val="0"/>
          <w:iCs/>
          <w:sz w:val="18"/>
          <w:szCs w:val="20"/>
        </w:rPr>
      </w:pPr>
      <w:r w:rsidRPr="00AE1C5B">
        <w:rPr>
          <w:i w:val="0"/>
          <w:iCs/>
          <w:sz w:val="18"/>
          <w:szCs w:val="20"/>
        </w:rPr>
        <w:t>Table 3.</w:t>
      </w:r>
      <w:r w:rsidRPr="00AE1C5B">
        <w:rPr>
          <w:b w:val="0"/>
          <w:bCs w:val="0"/>
          <w:i w:val="0"/>
          <w:iCs/>
          <w:sz w:val="18"/>
          <w:szCs w:val="20"/>
        </w:rPr>
        <w:t xml:space="preserve"> Comparison of Pre-Test and Post-Test Results of Creative Ability</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466"/>
        <w:gridCol w:w="585"/>
        <w:gridCol w:w="663"/>
        <w:gridCol w:w="967"/>
        <w:gridCol w:w="4047"/>
      </w:tblGrid>
      <w:tr w:rsidR="00947DB3" w14:paraId="3BD838BE" w14:textId="77777777" w:rsidTr="00947DB3">
        <w:trPr>
          <w:trHeight w:val="517"/>
          <w:jc w:val="center"/>
        </w:trPr>
        <w:tc>
          <w:tcPr>
            <w:tcW w:w="1466" w:type="dxa"/>
            <w:tcBorders>
              <w:bottom w:val="single" w:sz="4" w:space="0" w:color="auto"/>
              <w:right w:val="nil"/>
            </w:tcBorders>
          </w:tcPr>
          <w:p w14:paraId="6698E7A9" w14:textId="77777777" w:rsidR="00947DB3" w:rsidRDefault="00947DB3" w:rsidP="005D610B">
            <w:pPr>
              <w:pStyle w:val="Alishlah22heading2"/>
              <w:spacing w:before="0" w:after="0" w:line="240" w:lineRule="auto"/>
              <w:jc w:val="center"/>
              <w:rPr>
                <w:b w:val="0"/>
                <w:bCs w:val="0"/>
                <w:i w:val="0"/>
                <w:iCs/>
              </w:rPr>
            </w:pPr>
            <w:r w:rsidRPr="00A26463">
              <w:rPr>
                <w:b w:val="0"/>
                <w:bCs w:val="0"/>
                <w:i w:val="0"/>
                <w:iCs/>
              </w:rPr>
              <w:t>Aspect</w:t>
            </w:r>
          </w:p>
        </w:tc>
        <w:tc>
          <w:tcPr>
            <w:tcW w:w="585" w:type="dxa"/>
            <w:tcBorders>
              <w:left w:val="nil"/>
              <w:bottom w:val="single" w:sz="4" w:space="0" w:color="auto"/>
              <w:right w:val="nil"/>
            </w:tcBorders>
          </w:tcPr>
          <w:p w14:paraId="12FC1F34" w14:textId="77777777" w:rsidR="00947DB3" w:rsidRDefault="00947DB3" w:rsidP="005D610B">
            <w:pPr>
              <w:pStyle w:val="Alishlah22heading2"/>
              <w:spacing w:before="0" w:after="0" w:line="240" w:lineRule="auto"/>
              <w:jc w:val="center"/>
              <w:rPr>
                <w:b w:val="0"/>
                <w:bCs w:val="0"/>
                <w:i w:val="0"/>
                <w:iCs/>
              </w:rPr>
            </w:pPr>
            <w:r w:rsidRPr="00A26463">
              <w:rPr>
                <w:b w:val="0"/>
                <w:bCs w:val="0"/>
                <w:i w:val="0"/>
                <w:iCs/>
              </w:rPr>
              <w:t>Pre-Test</w:t>
            </w:r>
          </w:p>
        </w:tc>
        <w:tc>
          <w:tcPr>
            <w:tcW w:w="663" w:type="dxa"/>
            <w:tcBorders>
              <w:left w:val="nil"/>
              <w:bottom w:val="single" w:sz="4" w:space="0" w:color="auto"/>
              <w:right w:val="nil"/>
            </w:tcBorders>
          </w:tcPr>
          <w:p w14:paraId="6D45DB70" w14:textId="77777777" w:rsidR="00947DB3" w:rsidRDefault="00947DB3" w:rsidP="005D610B">
            <w:pPr>
              <w:pStyle w:val="Alishlah22heading2"/>
              <w:spacing w:before="0" w:after="0" w:line="240" w:lineRule="auto"/>
              <w:jc w:val="center"/>
              <w:rPr>
                <w:b w:val="0"/>
                <w:bCs w:val="0"/>
                <w:i w:val="0"/>
                <w:iCs/>
              </w:rPr>
            </w:pPr>
            <w:r w:rsidRPr="00A26463">
              <w:rPr>
                <w:b w:val="0"/>
                <w:bCs w:val="0"/>
                <w:i w:val="0"/>
                <w:iCs/>
              </w:rPr>
              <w:t>Post-Test</w:t>
            </w:r>
          </w:p>
        </w:tc>
        <w:tc>
          <w:tcPr>
            <w:tcW w:w="967" w:type="dxa"/>
            <w:tcBorders>
              <w:left w:val="nil"/>
              <w:bottom w:val="single" w:sz="4" w:space="0" w:color="auto"/>
              <w:right w:val="nil"/>
            </w:tcBorders>
          </w:tcPr>
          <w:p w14:paraId="2C0057D1" w14:textId="77777777" w:rsidR="00947DB3" w:rsidRDefault="00947DB3" w:rsidP="005D610B">
            <w:pPr>
              <w:pStyle w:val="Alishlah22heading2"/>
              <w:spacing w:before="0" w:after="0" w:line="240" w:lineRule="auto"/>
              <w:jc w:val="center"/>
              <w:rPr>
                <w:b w:val="0"/>
                <w:bCs w:val="0"/>
                <w:i w:val="0"/>
                <w:iCs/>
              </w:rPr>
            </w:pPr>
            <w:r w:rsidRPr="00A26463">
              <w:rPr>
                <w:b w:val="0"/>
                <w:bCs w:val="0"/>
                <w:i w:val="0"/>
                <w:iCs/>
              </w:rPr>
              <w:t>Average</w:t>
            </w:r>
          </w:p>
        </w:tc>
        <w:tc>
          <w:tcPr>
            <w:tcW w:w="4047" w:type="dxa"/>
            <w:tcBorders>
              <w:left w:val="nil"/>
              <w:bottom w:val="single" w:sz="4" w:space="0" w:color="auto"/>
            </w:tcBorders>
          </w:tcPr>
          <w:p w14:paraId="2435B7C8" w14:textId="77777777" w:rsidR="00947DB3" w:rsidRDefault="00947DB3" w:rsidP="005D610B">
            <w:pPr>
              <w:pStyle w:val="Alishlah22heading2"/>
              <w:spacing w:before="0" w:after="0" w:line="240" w:lineRule="auto"/>
              <w:jc w:val="center"/>
              <w:rPr>
                <w:b w:val="0"/>
                <w:bCs w:val="0"/>
                <w:i w:val="0"/>
                <w:iCs/>
              </w:rPr>
            </w:pPr>
            <w:r>
              <w:rPr>
                <w:b w:val="0"/>
                <w:bCs w:val="0"/>
                <w:i w:val="0"/>
                <w:iCs/>
              </w:rPr>
              <w:t>Description</w:t>
            </w:r>
          </w:p>
        </w:tc>
      </w:tr>
      <w:tr w:rsidR="00947DB3" w14:paraId="7AB748C0" w14:textId="77777777" w:rsidTr="00947DB3">
        <w:trPr>
          <w:trHeight w:val="761"/>
          <w:jc w:val="center"/>
        </w:trPr>
        <w:tc>
          <w:tcPr>
            <w:tcW w:w="1466" w:type="dxa"/>
            <w:tcBorders>
              <w:bottom w:val="nil"/>
              <w:right w:val="nil"/>
            </w:tcBorders>
          </w:tcPr>
          <w:p w14:paraId="710596A1" w14:textId="6C04EECD" w:rsidR="00947DB3" w:rsidRPr="00947DB3" w:rsidRDefault="00947DB3" w:rsidP="005D610B">
            <w:pPr>
              <w:pStyle w:val="Alishlah22heading2"/>
              <w:spacing w:before="0" w:after="0" w:line="240" w:lineRule="auto"/>
              <w:rPr>
                <w:b w:val="0"/>
                <w:bCs w:val="0"/>
                <w:i w:val="0"/>
                <w:iCs/>
              </w:rPr>
            </w:pPr>
            <w:r w:rsidRPr="00947DB3">
              <w:rPr>
                <w:b w:val="0"/>
                <w:bCs w:val="0"/>
                <w:i w:val="0"/>
                <w:iCs/>
              </w:rPr>
              <w:t>Ability to Generate New and Innovative Ideas</w:t>
            </w:r>
          </w:p>
        </w:tc>
        <w:tc>
          <w:tcPr>
            <w:tcW w:w="585" w:type="dxa"/>
            <w:tcBorders>
              <w:left w:val="nil"/>
              <w:bottom w:val="nil"/>
              <w:right w:val="nil"/>
            </w:tcBorders>
          </w:tcPr>
          <w:p w14:paraId="7E7094DF" w14:textId="1B5B713C" w:rsidR="00947DB3" w:rsidRDefault="00976BB0" w:rsidP="005D610B">
            <w:pPr>
              <w:pStyle w:val="Alishlah22heading2"/>
              <w:spacing w:before="0" w:after="0" w:line="240" w:lineRule="auto"/>
              <w:jc w:val="both"/>
              <w:rPr>
                <w:b w:val="0"/>
                <w:bCs w:val="0"/>
                <w:i w:val="0"/>
                <w:iCs/>
              </w:rPr>
            </w:pPr>
            <w:r>
              <w:rPr>
                <w:b w:val="0"/>
                <w:bCs w:val="0"/>
                <w:i w:val="0"/>
                <w:iCs/>
              </w:rPr>
              <w:t>65%</w:t>
            </w:r>
          </w:p>
        </w:tc>
        <w:tc>
          <w:tcPr>
            <w:tcW w:w="663" w:type="dxa"/>
            <w:tcBorders>
              <w:left w:val="nil"/>
              <w:bottom w:val="nil"/>
              <w:right w:val="nil"/>
            </w:tcBorders>
          </w:tcPr>
          <w:p w14:paraId="400C2EEA" w14:textId="4CFE6F48" w:rsidR="00947DB3" w:rsidRDefault="00976BB0" w:rsidP="005D610B">
            <w:pPr>
              <w:pStyle w:val="Alishlah22heading2"/>
              <w:spacing w:before="0" w:after="0" w:line="240" w:lineRule="auto"/>
              <w:jc w:val="both"/>
              <w:rPr>
                <w:b w:val="0"/>
                <w:bCs w:val="0"/>
                <w:i w:val="0"/>
                <w:iCs/>
              </w:rPr>
            </w:pPr>
            <w:r>
              <w:rPr>
                <w:b w:val="0"/>
                <w:bCs w:val="0"/>
                <w:i w:val="0"/>
                <w:iCs/>
              </w:rPr>
              <w:t>80</w:t>
            </w:r>
            <w:r w:rsidR="00947DB3">
              <w:rPr>
                <w:b w:val="0"/>
                <w:bCs w:val="0"/>
                <w:i w:val="0"/>
                <w:iCs/>
              </w:rPr>
              <w:t>%</w:t>
            </w:r>
          </w:p>
        </w:tc>
        <w:tc>
          <w:tcPr>
            <w:tcW w:w="967" w:type="dxa"/>
            <w:tcBorders>
              <w:left w:val="nil"/>
              <w:bottom w:val="nil"/>
              <w:right w:val="nil"/>
            </w:tcBorders>
          </w:tcPr>
          <w:p w14:paraId="2E70A33F" w14:textId="07ED359C" w:rsidR="00947DB3" w:rsidRPr="00A26463" w:rsidRDefault="00947DB3" w:rsidP="005D610B">
            <w:pPr>
              <w:pStyle w:val="Alishlah22heading2"/>
              <w:spacing w:before="0" w:after="0" w:line="240" w:lineRule="auto"/>
              <w:jc w:val="both"/>
              <w:rPr>
                <w:b w:val="0"/>
                <w:bCs w:val="0"/>
                <w:i w:val="0"/>
                <w:iCs/>
              </w:rPr>
            </w:pPr>
            <w:r>
              <w:rPr>
                <w:b w:val="0"/>
                <w:bCs w:val="0"/>
                <w:i w:val="0"/>
                <w:iCs/>
              </w:rPr>
              <w:t>7</w:t>
            </w:r>
            <w:r w:rsidR="00976BB0">
              <w:rPr>
                <w:b w:val="0"/>
                <w:bCs w:val="0"/>
                <w:i w:val="0"/>
                <w:iCs/>
              </w:rPr>
              <w:t>2</w:t>
            </w:r>
            <w:r>
              <w:rPr>
                <w:b w:val="0"/>
                <w:bCs w:val="0"/>
                <w:i w:val="0"/>
                <w:iCs/>
              </w:rPr>
              <w:t>,5%</w:t>
            </w:r>
          </w:p>
        </w:tc>
        <w:tc>
          <w:tcPr>
            <w:tcW w:w="4047" w:type="dxa"/>
            <w:tcBorders>
              <w:left w:val="nil"/>
              <w:bottom w:val="nil"/>
            </w:tcBorders>
          </w:tcPr>
          <w:p w14:paraId="3233725E" w14:textId="78E81674" w:rsidR="00947DB3" w:rsidRPr="002D170E" w:rsidRDefault="002D170E" w:rsidP="005D610B">
            <w:pPr>
              <w:pStyle w:val="Alishlah22heading2"/>
              <w:spacing w:before="0" w:after="0" w:line="240" w:lineRule="auto"/>
              <w:jc w:val="both"/>
              <w:rPr>
                <w:b w:val="0"/>
                <w:bCs w:val="0"/>
                <w:i w:val="0"/>
                <w:iCs/>
              </w:rPr>
            </w:pPr>
            <w:r w:rsidRPr="002D170E">
              <w:rPr>
                <w:b w:val="0"/>
                <w:bCs w:val="0"/>
                <w:i w:val="0"/>
                <w:iCs/>
              </w:rPr>
              <w:t>Students are more capable of generating original and unique ideas.</w:t>
            </w:r>
          </w:p>
        </w:tc>
      </w:tr>
      <w:tr w:rsidR="00947DB3" w14:paraId="68A4BE6D" w14:textId="77777777" w:rsidTr="00947DB3">
        <w:trPr>
          <w:trHeight w:val="517"/>
          <w:jc w:val="center"/>
        </w:trPr>
        <w:tc>
          <w:tcPr>
            <w:tcW w:w="1466" w:type="dxa"/>
            <w:tcBorders>
              <w:top w:val="nil"/>
              <w:bottom w:val="nil"/>
              <w:right w:val="nil"/>
            </w:tcBorders>
          </w:tcPr>
          <w:p w14:paraId="646EEE53" w14:textId="40AB4C13" w:rsidR="00947DB3" w:rsidRPr="00947DB3" w:rsidRDefault="00947DB3" w:rsidP="005D610B">
            <w:pPr>
              <w:pStyle w:val="Alishlah22heading2"/>
              <w:spacing w:before="0" w:after="0" w:line="240" w:lineRule="auto"/>
              <w:rPr>
                <w:b w:val="0"/>
                <w:bCs w:val="0"/>
                <w:i w:val="0"/>
                <w:iCs/>
              </w:rPr>
            </w:pPr>
            <w:r w:rsidRPr="00947DB3">
              <w:rPr>
                <w:b w:val="0"/>
                <w:bCs w:val="0"/>
                <w:i w:val="0"/>
                <w:iCs/>
              </w:rPr>
              <w:t xml:space="preserve">The Ability to Develop </w:t>
            </w:r>
            <w:r w:rsidRPr="00947DB3">
              <w:rPr>
                <w:b w:val="0"/>
                <w:bCs w:val="0"/>
                <w:i w:val="0"/>
                <w:iCs/>
              </w:rPr>
              <w:lastRenderedPageBreak/>
              <w:t>Ideas into Real Works</w:t>
            </w:r>
          </w:p>
        </w:tc>
        <w:tc>
          <w:tcPr>
            <w:tcW w:w="585" w:type="dxa"/>
            <w:tcBorders>
              <w:top w:val="nil"/>
              <w:left w:val="nil"/>
              <w:bottom w:val="nil"/>
              <w:right w:val="nil"/>
            </w:tcBorders>
          </w:tcPr>
          <w:p w14:paraId="0EB9DAAB" w14:textId="3426DFC4" w:rsidR="00947DB3" w:rsidRDefault="00947DB3" w:rsidP="005D610B">
            <w:pPr>
              <w:pStyle w:val="Alishlah22heading2"/>
              <w:spacing w:before="0" w:after="0" w:line="240" w:lineRule="auto"/>
              <w:jc w:val="both"/>
              <w:rPr>
                <w:b w:val="0"/>
                <w:bCs w:val="0"/>
                <w:i w:val="0"/>
                <w:iCs/>
              </w:rPr>
            </w:pPr>
            <w:r>
              <w:rPr>
                <w:b w:val="0"/>
                <w:bCs w:val="0"/>
                <w:i w:val="0"/>
                <w:iCs/>
              </w:rPr>
              <w:lastRenderedPageBreak/>
              <w:t>6</w:t>
            </w:r>
            <w:r w:rsidR="00976BB0">
              <w:rPr>
                <w:b w:val="0"/>
                <w:bCs w:val="0"/>
                <w:i w:val="0"/>
                <w:iCs/>
              </w:rPr>
              <w:t>0</w:t>
            </w:r>
            <w:r>
              <w:rPr>
                <w:b w:val="0"/>
                <w:bCs w:val="0"/>
                <w:i w:val="0"/>
                <w:iCs/>
              </w:rPr>
              <w:t>%</w:t>
            </w:r>
          </w:p>
        </w:tc>
        <w:tc>
          <w:tcPr>
            <w:tcW w:w="663" w:type="dxa"/>
            <w:tcBorders>
              <w:top w:val="nil"/>
              <w:left w:val="nil"/>
              <w:bottom w:val="nil"/>
              <w:right w:val="nil"/>
            </w:tcBorders>
          </w:tcPr>
          <w:p w14:paraId="0B0696E9" w14:textId="32538BED" w:rsidR="00947DB3" w:rsidRDefault="00976BB0" w:rsidP="005D610B">
            <w:pPr>
              <w:pStyle w:val="Alishlah22heading2"/>
              <w:spacing w:before="0" w:after="0" w:line="240" w:lineRule="auto"/>
              <w:jc w:val="both"/>
              <w:rPr>
                <w:b w:val="0"/>
                <w:bCs w:val="0"/>
                <w:i w:val="0"/>
                <w:iCs/>
              </w:rPr>
            </w:pPr>
            <w:r>
              <w:rPr>
                <w:b w:val="0"/>
                <w:bCs w:val="0"/>
                <w:i w:val="0"/>
                <w:iCs/>
              </w:rPr>
              <w:t>75</w:t>
            </w:r>
            <w:r w:rsidR="00947DB3">
              <w:rPr>
                <w:b w:val="0"/>
                <w:bCs w:val="0"/>
                <w:i w:val="0"/>
                <w:iCs/>
              </w:rPr>
              <w:t>%</w:t>
            </w:r>
          </w:p>
        </w:tc>
        <w:tc>
          <w:tcPr>
            <w:tcW w:w="967" w:type="dxa"/>
            <w:tcBorders>
              <w:top w:val="nil"/>
              <w:left w:val="nil"/>
              <w:bottom w:val="nil"/>
              <w:right w:val="nil"/>
            </w:tcBorders>
          </w:tcPr>
          <w:p w14:paraId="16D81262" w14:textId="18F9CDE7" w:rsidR="00947DB3" w:rsidRDefault="00976BB0" w:rsidP="005D610B">
            <w:pPr>
              <w:pStyle w:val="Alishlah22heading2"/>
              <w:spacing w:before="0" w:after="0" w:line="240" w:lineRule="auto"/>
              <w:jc w:val="both"/>
              <w:rPr>
                <w:b w:val="0"/>
                <w:bCs w:val="0"/>
                <w:i w:val="0"/>
                <w:iCs/>
              </w:rPr>
            </w:pPr>
            <w:r>
              <w:rPr>
                <w:b w:val="0"/>
                <w:bCs w:val="0"/>
                <w:i w:val="0"/>
                <w:iCs/>
              </w:rPr>
              <w:t>67</w:t>
            </w:r>
            <w:r w:rsidR="00947DB3">
              <w:rPr>
                <w:b w:val="0"/>
                <w:bCs w:val="0"/>
                <w:i w:val="0"/>
                <w:iCs/>
              </w:rPr>
              <w:t>,5%</w:t>
            </w:r>
          </w:p>
        </w:tc>
        <w:tc>
          <w:tcPr>
            <w:tcW w:w="4047" w:type="dxa"/>
            <w:tcBorders>
              <w:top w:val="nil"/>
              <w:left w:val="nil"/>
              <w:bottom w:val="nil"/>
            </w:tcBorders>
          </w:tcPr>
          <w:p w14:paraId="7A45F3BE" w14:textId="591D4CCA" w:rsidR="00947DB3" w:rsidRPr="002D170E" w:rsidRDefault="002D170E" w:rsidP="005D610B">
            <w:pPr>
              <w:pStyle w:val="Alishlah22heading2"/>
              <w:spacing w:before="0" w:after="0" w:line="240" w:lineRule="auto"/>
              <w:jc w:val="both"/>
              <w:rPr>
                <w:b w:val="0"/>
                <w:bCs w:val="0"/>
                <w:i w:val="0"/>
                <w:iCs/>
              </w:rPr>
            </w:pPr>
            <w:r w:rsidRPr="002D170E">
              <w:rPr>
                <w:b w:val="0"/>
                <w:bCs w:val="0"/>
                <w:i w:val="0"/>
                <w:iCs/>
              </w:rPr>
              <w:t>Students have improved in developing ideas into implementable works.</w:t>
            </w:r>
          </w:p>
        </w:tc>
      </w:tr>
      <w:tr w:rsidR="00947DB3" w14:paraId="597DBE56" w14:textId="77777777" w:rsidTr="00947DB3">
        <w:trPr>
          <w:trHeight w:val="776"/>
          <w:jc w:val="center"/>
        </w:trPr>
        <w:tc>
          <w:tcPr>
            <w:tcW w:w="1466" w:type="dxa"/>
            <w:tcBorders>
              <w:top w:val="nil"/>
              <w:bottom w:val="nil"/>
              <w:right w:val="nil"/>
            </w:tcBorders>
          </w:tcPr>
          <w:p w14:paraId="1F62622A" w14:textId="4A649A6B" w:rsidR="00947DB3" w:rsidRPr="00947DB3" w:rsidRDefault="00947DB3" w:rsidP="005D610B">
            <w:pPr>
              <w:pStyle w:val="Alishlah22heading2"/>
              <w:spacing w:before="0" w:after="0" w:line="240" w:lineRule="auto"/>
              <w:rPr>
                <w:b w:val="0"/>
                <w:bCs w:val="0"/>
                <w:i w:val="0"/>
                <w:iCs/>
              </w:rPr>
            </w:pPr>
            <w:r w:rsidRPr="00947DB3">
              <w:rPr>
                <w:b w:val="0"/>
                <w:bCs w:val="0"/>
                <w:i w:val="0"/>
                <w:iCs/>
              </w:rPr>
              <w:t>Ability to Communicate Ideas Clearly and Effectively</w:t>
            </w:r>
          </w:p>
        </w:tc>
        <w:tc>
          <w:tcPr>
            <w:tcW w:w="585" w:type="dxa"/>
            <w:tcBorders>
              <w:top w:val="nil"/>
              <w:left w:val="nil"/>
              <w:bottom w:val="nil"/>
              <w:right w:val="nil"/>
            </w:tcBorders>
          </w:tcPr>
          <w:p w14:paraId="1C5CBAAE" w14:textId="07A7FD04" w:rsidR="00947DB3" w:rsidRDefault="00976BB0" w:rsidP="005D610B">
            <w:pPr>
              <w:pStyle w:val="Alishlah22heading2"/>
              <w:spacing w:before="0" w:after="0" w:line="240" w:lineRule="auto"/>
              <w:jc w:val="both"/>
              <w:rPr>
                <w:b w:val="0"/>
                <w:bCs w:val="0"/>
                <w:i w:val="0"/>
                <w:iCs/>
              </w:rPr>
            </w:pPr>
            <w:r>
              <w:rPr>
                <w:b w:val="0"/>
                <w:bCs w:val="0"/>
                <w:i w:val="0"/>
                <w:iCs/>
              </w:rPr>
              <w:t>70</w:t>
            </w:r>
            <w:r w:rsidR="00947DB3">
              <w:rPr>
                <w:b w:val="0"/>
                <w:bCs w:val="0"/>
                <w:i w:val="0"/>
                <w:iCs/>
              </w:rPr>
              <w:t>%</w:t>
            </w:r>
          </w:p>
        </w:tc>
        <w:tc>
          <w:tcPr>
            <w:tcW w:w="663" w:type="dxa"/>
            <w:tcBorders>
              <w:top w:val="nil"/>
              <w:left w:val="nil"/>
              <w:bottom w:val="nil"/>
              <w:right w:val="nil"/>
            </w:tcBorders>
          </w:tcPr>
          <w:p w14:paraId="2C725B63" w14:textId="24318E5B" w:rsidR="00947DB3" w:rsidRDefault="00976BB0" w:rsidP="005D610B">
            <w:pPr>
              <w:pStyle w:val="Alishlah22heading2"/>
              <w:spacing w:before="0" w:after="0" w:line="240" w:lineRule="auto"/>
              <w:jc w:val="both"/>
              <w:rPr>
                <w:b w:val="0"/>
                <w:bCs w:val="0"/>
                <w:i w:val="0"/>
                <w:iCs/>
              </w:rPr>
            </w:pPr>
            <w:r>
              <w:rPr>
                <w:b w:val="0"/>
                <w:bCs w:val="0"/>
                <w:i w:val="0"/>
                <w:iCs/>
              </w:rPr>
              <w:t>85</w:t>
            </w:r>
            <w:r w:rsidR="00947DB3">
              <w:rPr>
                <w:b w:val="0"/>
                <w:bCs w:val="0"/>
                <w:i w:val="0"/>
                <w:iCs/>
              </w:rPr>
              <w:t>%</w:t>
            </w:r>
          </w:p>
        </w:tc>
        <w:tc>
          <w:tcPr>
            <w:tcW w:w="967" w:type="dxa"/>
            <w:tcBorders>
              <w:top w:val="nil"/>
              <w:left w:val="nil"/>
              <w:bottom w:val="nil"/>
              <w:right w:val="nil"/>
            </w:tcBorders>
          </w:tcPr>
          <w:p w14:paraId="3A28A4F4" w14:textId="3B31250A" w:rsidR="00947DB3" w:rsidRDefault="00976BB0" w:rsidP="005D610B">
            <w:pPr>
              <w:pStyle w:val="Alishlah22heading2"/>
              <w:spacing w:before="0" w:after="0" w:line="240" w:lineRule="auto"/>
              <w:jc w:val="both"/>
              <w:rPr>
                <w:b w:val="0"/>
                <w:bCs w:val="0"/>
                <w:i w:val="0"/>
                <w:iCs/>
              </w:rPr>
            </w:pPr>
            <w:r>
              <w:rPr>
                <w:b w:val="0"/>
                <w:bCs w:val="0"/>
                <w:i w:val="0"/>
                <w:iCs/>
              </w:rPr>
              <w:t>77,5</w:t>
            </w:r>
            <w:r w:rsidR="00947DB3">
              <w:rPr>
                <w:b w:val="0"/>
                <w:bCs w:val="0"/>
                <w:i w:val="0"/>
                <w:iCs/>
              </w:rPr>
              <w:t>%</w:t>
            </w:r>
          </w:p>
        </w:tc>
        <w:tc>
          <w:tcPr>
            <w:tcW w:w="4047" w:type="dxa"/>
            <w:tcBorders>
              <w:top w:val="nil"/>
              <w:left w:val="nil"/>
              <w:bottom w:val="nil"/>
            </w:tcBorders>
          </w:tcPr>
          <w:p w14:paraId="444D0320" w14:textId="1C531707" w:rsidR="00947DB3" w:rsidRPr="002D170E" w:rsidRDefault="002D170E" w:rsidP="005D610B">
            <w:pPr>
              <w:pStyle w:val="Alishlah22heading2"/>
              <w:spacing w:before="0" w:after="0" w:line="240" w:lineRule="auto"/>
              <w:jc w:val="both"/>
              <w:rPr>
                <w:b w:val="0"/>
                <w:bCs w:val="0"/>
                <w:i w:val="0"/>
                <w:iCs/>
              </w:rPr>
            </w:pPr>
            <w:r w:rsidRPr="002D170E">
              <w:rPr>
                <w:b w:val="0"/>
                <w:bCs w:val="0"/>
                <w:i w:val="0"/>
                <w:iCs/>
              </w:rPr>
              <w:t>Students demonstrate the ability to present ideas clearly and engagingly.</w:t>
            </w:r>
          </w:p>
        </w:tc>
      </w:tr>
      <w:tr w:rsidR="00947DB3" w14:paraId="5514E3BA" w14:textId="77777777" w:rsidTr="00947DB3">
        <w:trPr>
          <w:trHeight w:val="776"/>
          <w:jc w:val="center"/>
        </w:trPr>
        <w:tc>
          <w:tcPr>
            <w:tcW w:w="1466" w:type="dxa"/>
            <w:tcBorders>
              <w:top w:val="nil"/>
              <w:bottom w:val="nil"/>
              <w:right w:val="nil"/>
            </w:tcBorders>
          </w:tcPr>
          <w:p w14:paraId="47FBCFAB" w14:textId="3DF57648" w:rsidR="00947DB3" w:rsidRPr="00947DB3" w:rsidRDefault="00947DB3" w:rsidP="005D610B">
            <w:pPr>
              <w:pStyle w:val="Alishlah22heading2"/>
              <w:spacing w:before="0" w:after="0" w:line="240" w:lineRule="auto"/>
              <w:rPr>
                <w:b w:val="0"/>
                <w:bCs w:val="0"/>
                <w:i w:val="0"/>
                <w:iCs/>
              </w:rPr>
            </w:pPr>
            <w:r w:rsidRPr="00947DB3">
              <w:rPr>
                <w:b w:val="0"/>
                <w:bCs w:val="0"/>
                <w:i w:val="0"/>
                <w:iCs/>
              </w:rPr>
              <w:t>Ability to Work Together with Others</w:t>
            </w:r>
          </w:p>
        </w:tc>
        <w:tc>
          <w:tcPr>
            <w:tcW w:w="585" w:type="dxa"/>
            <w:tcBorders>
              <w:top w:val="nil"/>
              <w:left w:val="nil"/>
              <w:bottom w:val="nil"/>
              <w:right w:val="nil"/>
            </w:tcBorders>
          </w:tcPr>
          <w:p w14:paraId="225AB893" w14:textId="116E6719" w:rsidR="00947DB3" w:rsidRDefault="00976BB0" w:rsidP="005D610B">
            <w:pPr>
              <w:pStyle w:val="Alishlah22heading2"/>
              <w:spacing w:before="0" w:after="0" w:line="240" w:lineRule="auto"/>
              <w:jc w:val="both"/>
              <w:rPr>
                <w:b w:val="0"/>
                <w:bCs w:val="0"/>
                <w:i w:val="0"/>
                <w:iCs/>
              </w:rPr>
            </w:pPr>
            <w:r>
              <w:rPr>
                <w:b w:val="0"/>
                <w:bCs w:val="0"/>
                <w:i w:val="0"/>
                <w:iCs/>
              </w:rPr>
              <w:t>5</w:t>
            </w:r>
            <w:r w:rsidR="00947DB3">
              <w:rPr>
                <w:b w:val="0"/>
                <w:bCs w:val="0"/>
                <w:i w:val="0"/>
                <w:iCs/>
              </w:rPr>
              <w:t>5%</w:t>
            </w:r>
          </w:p>
        </w:tc>
        <w:tc>
          <w:tcPr>
            <w:tcW w:w="663" w:type="dxa"/>
            <w:tcBorders>
              <w:top w:val="nil"/>
              <w:left w:val="nil"/>
              <w:bottom w:val="nil"/>
              <w:right w:val="nil"/>
            </w:tcBorders>
          </w:tcPr>
          <w:p w14:paraId="0D67B6FF" w14:textId="0C671ACE" w:rsidR="00947DB3" w:rsidRDefault="00976BB0" w:rsidP="005D610B">
            <w:pPr>
              <w:pStyle w:val="Alishlah22heading2"/>
              <w:spacing w:before="0" w:after="0" w:line="240" w:lineRule="auto"/>
              <w:jc w:val="both"/>
              <w:rPr>
                <w:b w:val="0"/>
                <w:bCs w:val="0"/>
                <w:i w:val="0"/>
                <w:iCs/>
              </w:rPr>
            </w:pPr>
            <w:r>
              <w:rPr>
                <w:b w:val="0"/>
                <w:bCs w:val="0"/>
                <w:i w:val="0"/>
                <w:iCs/>
              </w:rPr>
              <w:t>70</w:t>
            </w:r>
            <w:r w:rsidR="00947DB3">
              <w:rPr>
                <w:b w:val="0"/>
                <w:bCs w:val="0"/>
                <w:i w:val="0"/>
                <w:iCs/>
              </w:rPr>
              <w:t>%</w:t>
            </w:r>
          </w:p>
        </w:tc>
        <w:tc>
          <w:tcPr>
            <w:tcW w:w="967" w:type="dxa"/>
            <w:tcBorders>
              <w:top w:val="nil"/>
              <w:left w:val="nil"/>
              <w:bottom w:val="nil"/>
              <w:right w:val="nil"/>
            </w:tcBorders>
          </w:tcPr>
          <w:p w14:paraId="5EE41513" w14:textId="254443B0" w:rsidR="00947DB3" w:rsidRDefault="002D170E" w:rsidP="005D610B">
            <w:pPr>
              <w:pStyle w:val="Alishlah22heading2"/>
              <w:spacing w:before="0" w:after="0" w:line="240" w:lineRule="auto"/>
              <w:jc w:val="both"/>
              <w:rPr>
                <w:b w:val="0"/>
                <w:bCs w:val="0"/>
                <w:i w:val="0"/>
                <w:iCs/>
              </w:rPr>
            </w:pPr>
            <w:r>
              <w:rPr>
                <w:b w:val="0"/>
                <w:bCs w:val="0"/>
                <w:i w:val="0"/>
                <w:iCs/>
              </w:rPr>
              <w:t>62,5</w:t>
            </w:r>
            <w:r w:rsidR="00947DB3">
              <w:rPr>
                <w:b w:val="0"/>
                <w:bCs w:val="0"/>
                <w:i w:val="0"/>
                <w:iCs/>
              </w:rPr>
              <w:t>%</w:t>
            </w:r>
          </w:p>
        </w:tc>
        <w:tc>
          <w:tcPr>
            <w:tcW w:w="4047" w:type="dxa"/>
            <w:tcBorders>
              <w:top w:val="nil"/>
              <w:left w:val="nil"/>
              <w:bottom w:val="nil"/>
            </w:tcBorders>
          </w:tcPr>
          <w:p w14:paraId="6F095BD5" w14:textId="3D24F7AA" w:rsidR="00947DB3" w:rsidRPr="002D170E" w:rsidRDefault="002D170E" w:rsidP="005D610B">
            <w:pPr>
              <w:pStyle w:val="Alishlah22heading2"/>
              <w:spacing w:before="0" w:after="0" w:line="240" w:lineRule="auto"/>
              <w:jc w:val="both"/>
              <w:rPr>
                <w:b w:val="0"/>
                <w:bCs w:val="0"/>
                <w:i w:val="0"/>
                <w:iCs/>
              </w:rPr>
            </w:pPr>
            <w:r w:rsidRPr="002D170E">
              <w:rPr>
                <w:b w:val="0"/>
                <w:bCs w:val="0"/>
                <w:i w:val="0"/>
                <w:iCs/>
              </w:rPr>
              <w:t>Students are better at collaborating to produce creative works.</w:t>
            </w:r>
          </w:p>
        </w:tc>
      </w:tr>
      <w:tr w:rsidR="00947DB3" w14:paraId="33E21949" w14:textId="77777777" w:rsidTr="00947DB3">
        <w:trPr>
          <w:trHeight w:val="776"/>
          <w:jc w:val="center"/>
        </w:trPr>
        <w:tc>
          <w:tcPr>
            <w:tcW w:w="1466" w:type="dxa"/>
            <w:tcBorders>
              <w:top w:val="nil"/>
              <w:right w:val="nil"/>
            </w:tcBorders>
          </w:tcPr>
          <w:p w14:paraId="06A0A5B6" w14:textId="46081C4B" w:rsidR="00947DB3" w:rsidRPr="00947DB3" w:rsidRDefault="00947DB3" w:rsidP="005D610B">
            <w:pPr>
              <w:pStyle w:val="Alishlah22heading2"/>
              <w:spacing w:before="0" w:after="0" w:line="240" w:lineRule="auto"/>
              <w:rPr>
                <w:b w:val="0"/>
                <w:bCs w:val="0"/>
                <w:i w:val="0"/>
                <w:iCs/>
              </w:rPr>
            </w:pPr>
            <w:r w:rsidRPr="00947DB3">
              <w:rPr>
                <w:b w:val="0"/>
                <w:bCs w:val="0"/>
                <w:i w:val="0"/>
                <w:iCs/>
              </w:rPr>
              <w:t>Ability to Face Challenges and Uncertainty</w:t>
            </w:r>
          </w:p>
        </w:tc>
        <w:tc>
          <w:tcPr>
            <w:tcW w:w="585" w:type="dxa"/>
            <w:tcBorders>
              <w:top w:val="nil"/>
              <w:left w:val="nil"/>
              <w:right w:val="nil"/>
            </w:tcBorders>
          </w:tcPr>
          <w:p w14:paraId="5C01EA11" w14:textId="3B4E0AAA" w:rsidR="00947DB3" w:rsidRDefault="00976BB0" w:rsidP="005D610B">
            <w:pPr>
              <w:pStyle w:val="Alishlah22heading2"/>
              <w:spacing w:before="0" w:after="0" w:line="240" w:lineRule="auto"/>
              <w:jc w:val="both"/>
              <w:rPr>
                <w:b w:val="0"/>
                <w:bCs w:val="0"/>
                <w:i w:val="0"/>
                <w:iCs/>
              </w:rPr>
            </w:pPr>
            <w:r>
              <w:rPr>
                <w:b w:val="0"/>
                <w:bCs w:val="0"/>
                <w:i w:val="0"/>
                <w:iCs/>
              </w:rPr>
              <w:t>50%</w:t>
            </w:r>
          </w:p>
        </w:tc>
        <w:tc>
          <w:tcPr>
            <w:tcW w:w="663" w:type="dxa"/>
            <w:tcBorders>
              <w:top w:val="nil"/>
              <w:left w:val="nil"/>
              <w:right w:val="nil"/>
            </w:tcBorders>
          </w:tcPr>
          <w:p w14:paraId="507D7BCC" w14:textId="080580F0" w:rsidR="00947DB3" w:rsidRDefault="00976BB0" w:rsidP="005D610B">
            <w:pPr>
              <w:pStyle w:val="Alishlah22heading2"/>
              <w:spacing w:before="0" w:after="0" w:line="240" w:lineRule="auto"/>
              <w:jc w:val="both"/>
              <w:rPr>
                <w:b w:val="0"/>
                <w:bCs w:val="0"/>
                <w:i w:val="0"/>
                <w:iCs/>
              </w:rPr>
            </w:pPr>
            <w:r>
              <w:rPr>
                <w:b w:val="0"/>
                <w:bCs w:val="0"/>
                <w:i w:val="0"/>
                <w:iCs/>
              </w:rPr>
              <w:t>65%</w:t>
            </w:r>
          </w:p>
        </w:tc>
        <w:tc>
          <w:tcPr>
            <w:tcW w:w="967" w:type="dxa"/>
            <w:tcBorders>
              <w:top w:val="nil"/>
              <w:left w:val="nil"/>
              <w:right w:val="nil"/>
            </w:tcBorders>
          </w:tcPr>
          <w:p w14:paraId="790310FB" w14:textId="304F1E86" w:rsidR="00947DB3" w:rsidRDefault="002D170E" w:rsidP="005D610B">
            <w:pPr>
              <w:pStyle w:val="Alishlah22heading2"/>
              <w:spacing w:before="0" w:after="0" w:line="240" w:lineRule="auto"/>
              <w:jc w:val="both"/>
              <w:rPr>
                <w:b w:val="0"/>
                <w:bCs w:val="0"/>
                <w:i w:val="0"/>
                <w:iCs/>
              </w:rPr>
            </w:pPr>
            <w:r>
              <w:rPr>
                <w:b w:val="0"/>
                <w:bCs w:val="0"/>
                <w:i w:val="0"/>
                <w:iCs/>
              </w:rPr>
              <w:t>57,5%</w:t>
            </w:r>
          </w:p>
        </w:tc>
        <w:tc>
          <w:tcPr>
            <w:tcW w:w="4047" w:type="dxa"/>
            <w:tcBorders>
              <w:top w:val="nil"/>
              <w:left w:val="nil"/>
            </w:tcBorders>
          </w:tcPr>
          <w:p w14:paraId="05AF5F27" w14:textId="0C12B59F" w:rsidR="00947DB3" w:rsidRPr="00100F3D" w:rsidRDefault="002D170E" w:rsidP="005D610B">
            <w:pPr>
              <w:pStyle w:val="Alishlah22heading2"/>
              <w:spacing w:before="0" w:after="0" w:line="240" w:lineRule="auto"/>
              <w:jc w:val="both"/>
              <w:rPr>
                <w:b w:val="0"/>
                <w:bCs w:val="0"/>
                <w:i w:val="0"/>
                <w:iCs/>
              </w:rPr>
            </w:pPr>
            <w:r w:rsidRPr="002D170E">
              <w:rPr>
                <w:b w:val="0"/>
                <w:bCs w:val="0"/>
                <w:i w:val="0"/>
                <w:iCs/>
              </w:rPr>
              <w:t>Students are increasingly able to face challenges and uncertainties in the creation process.</w:t>
            </w:r>
          </w:p>
        </w:tc>
      </w:tr>
    </w:tbl>
    <w:p w14:paraId="6175A97C" w14:textId="77777777" w:rsidR="00947DB3" w:rsidRDefault="00947DB3" w:rsidP="00AE1C5B">
      <w:pPr>
        <w:spacing w:after="0" w:line="240" w:lineRule="auto"/>
        <w:jc w:val="both"/>
        <w:rPr>
          <w:rFonts w:ascii="Times New Roman" w:hAnsi="Times New Roman"/>
          <w:sz w:val="24"/>
          <w:szCs w:val="24"/>
          <w:lang w:val="id-ID" w:eastAsia="id-ID"/>
        </w:rPr>
      </w:pPr>
    </w:p>
    <w:p w14:paraId="162DBE3D" w14:textId="77777777" w:rsidR="00AE1C5B" w:rsidRDefault="00AE1C5B" w:rsidP="00AE1C5B">
      <w:pPr>
        <w:pStyle w:val="Alishlah22heading2"/>
        <w:spacing w:before="0" w:after="0"/>
        <w:ind w:firstLine="720"/>
        <w:jc w:val="both"/>
        <w:rPr>
          <w:b w:val="0"/>
          <w:bCs w:val="0"/>
          <w:i w:val="0"/>
          <w:iCs/>
        </w:rPr>
      </w:pPr>
      <w:r w:rsidRPr="00AE1C5B">
        <w:rPr>
          <w:b w:val="0"/>
          <w:bCs w:val="0"/>
          <w:i w:val="0"/>
          <w:iCs/>
        </w:rPr>
        <w:t>The data in the table clearly demonstrates a significant improvement across various aspects of students' abilities related to creativity and collaboration after the implementation of a new learning strategy. In terms of generating new and innovative ideas, students improved from a pre-test score of 65% to a post-test score of 80%, with an average of 72.5%, indicating a notable enhancement in their capability to think creatively and produce original ideas. Similarly, the ability to develop these ideas into real, tangible works also saw progress, rising from 60% to 75%, with an average of 67.5%. This shows that students not only became more creative in their thinking but also more effective in turning their concepts into practical outcomes. Furthermore, students' ability to communicate their ideas clearly and effectively improved from 70% in the pre-test to 85% in the post-test, achieving an average score of 77.5%, demonstrating a significant increase in their presentation and communication skills. Collaborative skills also saw an improvement, with students' ability to work with others increasing from 55% to 70%, indicating better teamwork and cooperation with an average of 62.5%. Lastly, students showed enhanced resilience and adaptability when facing challenges and uncertainty during the creation process, with scores improving from 50% to 65%, averaging at 57.5%. This comprehensive improvement across all measured aspects suggests that students not only developed better cognitive and creative skills but also grew in their ability to work collaboratively and handle obstacles, preparing them for more complex problem-solving and creative endeavors.</w:t>
      </w:r>
    </w:p>
    <w:p w14:paraId="3983AE06" w14:textId="77777777" w:rsidR="00462B22" w:rsidRDefault="00462B22" w:rsidP="005D610B">
      <w:pPr>
        <w:spacing w:after="0" w:line="240" w:lineRule="auto"/>
        <w:jc w:val="both"/>
        <w:rPr>
          <w:rFonts w:ascii="Times New Roman" w:hAnsi="Times New Roman"/>
          <w:sz w:val="24"/>
          <w:szCs w:val="24"/>
          <w:lang w:val="id-ID" w:eastAsia="id-ID"/>
        </w:rPr>
      </w:pPr>
    </w:p>
    <w:p w14:paraId="12BF1B83" w14:textId="77777777" w:rsidR="00462B22" w:rsidRPr="00462B22" w:rsidRDefault="00462B22" w:rsidP="00462B22">
      <w:pPr>
        <w:pStyle w:val="trt0xe"/>
        <w:spacing w:before="0" w:beforeAutospacing="0" w:after="0" w:afterAutospacing="0"/>
        <w:jc w:val="center"/>
        <w:rPr>
          <w:rStyle w:val="Strong"/>
          <w:rFonts w:ascii="Palatino Linotype" w:hAnsi="Palatino Linotype"/>
          <w:sz w:val="18"/>
          <w:szCs w:val="18"/>
        </w:rPr>
      </w:pPr>
      <w:r w:rsidRPr="002D170E">
        <w:rPr>
          <w:rStyle w:val="Strong"/>
          <w:rFonts w:ascii="Palatino Linotype" w:hAnsi="Palatino Linotype"/>
          <w:sz w:val="18"/>
          <w:szCs w:val="18"/>
        </w:rPr>
        <w:t>Table 4.</w:t>
      </w:r>
      <w:r>
        <w:rPr>
          <w:rStyle w:val="Strong"/>
          <w:rFonts w:ascii="Palatino Linotype" w:hAnsi="Palatino Linotype"/>
          <w:sz w:val="18"/>
          <w:szCs w:val="18"/>
        </w:rPr>
        <w:t xml:space="preserve"> </w:t>
      </w:r>
      <w:r w:rsidRPr="00462B22">
        <w:rPr>
          <w:rStyle w:val="Strong"/>
          <w:rFonts w:ascii="Palatino Linotype" w:hAnsi="Palatino Linotype"/>
          <w:b w:val="0"/>
          <w:bCs w:val="0"/>
          <w:sz w:val="18"/>
          <w:szCs w:val="18"/>
        </w:rPr>
        <w:t xml:space="preserve">Comparison of Pre-Test and Post-Test Results of Evaluation Ability </w:t>
      </w:r>
    </w:p>
    <w:p w14:paraId="1DD1BFFD" w14:textId="77777777" w:rsidR="00462B22" w:rsidRDefault="00462B22" w:rsidP="000720F1">
      <w:pPr>
        <w:spacing w:after="0" w:line="240" w:lineRule="auto"/>
        <w:ind w:left="1134" w:firstLine="720"/>
        <w:jc w:val="both"/>
        <w:rPr>
          <w:rFonts w:ascii="Times New Roman" w:hAnsi="Times New Roman"/>
          <w:sz w:val="24"/>
          <w:szCs w:val="24"/>
          <w:lang w:val="id-ID" w:eastAsia="id-ID"/>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780"/>
        <w:gridCol w:w="585"/>
        <w:gridCol w:w="663"/>
        <w:gridCol w:w="967"/>
        <w:gridCol w:w="4047"/>
      </w:tblGrid>
      <w:tr w:rsidR="002D170E" w14:paraId="245787BA" w14:textId="77777777" w:rsidTr="00462B22">
        <w:trPr>
          <w:trHeight w:val="517"/>
          <w:jc w:val="center"/>
        </w:trPr>
        <w:tc>
          <w:tcPr>
            <w:tcW w:w="1780" w:type="dxa"/>
            <w:tcBorders>
              <w:bottom w:val="single" w:sz="4" w:space="0" w:color="auto"/>
              <w:right w:val="nil"/>
            </w:tcBorders>
          </w:tcPr>
          <w:p w14:paraId="7DFF2ECE" w14:textId="77777777" w:rsidR="002D170E" w:rsidRDefault="002D170E" w:rsidP="00D35775">
            <w:pPr>
              <w:pStyle w:val="Alishlah22heading2"/>
              <w:spacing w:before="0" w:after="0"/>
              <w:jc w:val="center"/>
              <w:rPr>
                <w:b w:val="0"/>
                <w:bCs w:val="0"/>
                <w:i w:val="0"/>
                <w:iCs/>
              </w:rPr>
            </w:pPr>
            <w:r w:rsidRPr="00A26463">
              <w:rPr>
                <w:b w:val="0"/>
                <w:bCs w:val="0"/>
                <w:i w:val="0"/>
                <w:iCs/>
              </w:rPr>
              <w:t>Aspect</w:t>
            </w:r>
          </w:p>
        </w:tc>
        <w:tc>
          <w:tcPr>
            <w:tcW w:w="585" w:type="dxa"/>
            <w:tcBorders>
              <w:left w:val="nil"/>
              <w:bottom w:val="single" w:sz="4" w:space="0" w:color="auto"/>
              <w:right w:val="nil"/>
            </w:tcBorders>
          </w:tcPr>
          <w:p w14:paraId="41B3A393" w14:textId="77777777" w:rsidR="002D170E" w:rsidRDefault="002D170E" w:rsidP="00D35775">
            <w:pPr>
              <w:pStyle w:val="Alishlah22heading2"/>
              <w:spacing w:before="0" w:after="0"/>
              <w:jc w:val="center"/>
              <w:rPr>
                <w:b w:val="0"/>
                <w:bCs w:val="0"/>
                <w:i w:val="0"/>
                <w:iCs/>
              </w:rPr>
            </w:pPr>
            <w:r w:rsidRPr="00A26463">
              <w:rPr>
                <w:b w:val="0"/>
                <w:bCs w:val="0"/>
                <w:i w:val="0"/>
                <w:iCs/>
              </w:rPr>
              <w:t>Pre-Test</w:t>
            </w:r>
          </w:p>
        </w:tc>
        <w:tc>
          <w:tcPr>
            <w:tcW w:w="663" w:type="dxa"/>
            <w:tcBorders>
              <w:left w:val="nil"/>
              <w:bottom w:val="single" w:sz="4" w:space="0" w:color="auto"/>
              <w:right w:val="nil"/>
            </w:tcBorders>
          </w:tcPr>
          <w:p w14:paraId="2397194B" w14:textId="77777777" w:rsidR="002D170E" w:rsidRDefault="002D170E" w:rsidP="00D35775">
            <w:pPr>
              <w:pStyle w:val="Alishlah22heading2"/>
              <w:spacing w:before="0" w:after="0"/>
              <w:jc w:val="center"/>
              <w:rPr>
                <w:b w:val="0"/>
                <w:bCs w:val="0"/>
                <w:i w:val="0"/>
                <w:iCs/>
              </w:rPr>
            </w:pPr>
            <w:r w:rsidRPr="00A26463">
              <w:rPr>
                <w:b w:val="0"/>
                <w:bCs w:val="0"/>
                <w:i w:val="0"/>
                <w:iCs/>
              </w:rPr>
              <w:t>Post-Test</w:t>
            </w:r>
          </w:p>
        </w:tc>
        <w:tc>
          <w:tcPr>
            <w:tcW w:w="967" w:type="dxa"/>
            <w:tcBorders>
              <w:left w:val="nil"/>
              <w:bottom w:val="single" w:sz="4" w:space="0" w:color="auto"/>
              <w:right w:val="nil"/>
            </w:tcBorders>
          </w:tcPr>
          <w:p w14:paraId="76B21262" w14:textId="77777777" w:rsidR="002D170E" w:rsidRDefault="002D170E" w:rsidP="00D35775">
            <w:pPr>
              <w:pStyle w:val="Alishlah22heading2"/>
              <w:spacing w:before="0" w:after="0"/>
              <w:jc w:val="center"/>
              <w:rPr>
                <w:b w:val="0"/>
                <w:bCs w:val="0"/>
                <w:i w:val="0"/>
                <w:iCs/>
              </w:rPr>
            </w:pPr>
            <w:r w:rsidRPr="00A26463">
              <w:rPr>
                <w:b w:val="0"/>
                <w:bCs w:val="0"/>
                <w:i w:val="0"/>
                <w:iCs/>
              </w:rPr>
              <w:t>Average</w:t>
            </w:r>
          </w:p>
        </w:tc>
        <w:tc>
          <w:tcPr>
            <w:tcW w:w="4047" w:type="dxa"/>
            <w:tcBorders>
              <w:left w:val="nil"/>
              <w:bottom w:val="single" w:sz="4" w:space="0" w:color="auto"/>
            </w:tcBorders>
          </w:tcPr>
          <w:p w14:paraId="28782606" w14:textId="77777777" w:rsidR="002D170E" w:rsidRDefault="002D170E" w:rsidP="00D35775">
            <w:pPr>
              <w:pStyle w:val="Alishlah22heading2"/>
              <w:spacing w:before="0" w:after="0"/>
              <w:jc w:val="center"/>
              <w:rPr>
                <w:b w:val="0"/>
                <w:bCs w:val="0"/>
                <w:i w:val="0"/>
                <w:iCs/>
              </w:rPr>
            </w:pPr>
            <w:r>
              <w:rPr>
                <w:b w:val="0"/>
                <w:bCs w:val="0"/>
                <w:i w:val="0"/>
                <w:iCs/>
              </w:rPr>
              <w:t>Description</w:t>
            </w:r>
          </w:p>
        </w:tc>
      </w:tr>
      <w:tr w:rsidR="002D170E" w14:paraId="3D8DE9C3" w14:textId="77777777" w:rsidTr="00462B22">
        <w:trPr>
          <w:trHeight w:val="70"/>
          <w:jc w:val="center"/>
        </w:trPr>
        <w:tc>
          <w:tcPr>
            <w:tcW w:w="1780" w:type="dxa"/>
            <w:tcBorders>
              <w:bottom w:val="nil"/>
              <w:right w:val="nil"/>
            </w:tcBorders>
          </w:tcPr>
          <w:p w14:paraId="4CFEB25A" w14:textId="435CA0CA" w:rsidR="002D170E" w:rsidRPr="00462B22" w:rsidRDefault="00462B22" w:rsidP="00462B22">
            <w:pPr>
              <w:pStyle w:val="Alishlah22heading2"/>
              <w:spacing w:before="0" w:after="0"/>
              <w:rPr>
                <w:b w:val="0"/>
                <w:bCs w:val="0"/>
                <w:i w:val="0"/>
                <w:iCs/>
              </w:rPr>
            </w:pPr>
            <w:r w:rsidRPr="00462B22">
              <w:rPr>
                <w:b w:val="0"/>
                <w:bCs w:val="0"/>
                <w:i w:val="0"/>
                <w:iCs/>
              </w:rPr>
              <w:t>Accuracy of Deficiency Identification</w:t>
            </w:r>
          </w:p>
        </w:tc>
        <w:tc>
          <w:tcPr>
            <w:tcW w:w="585" w:type="dxa"/>
            <w:tcBorders>
              <w:left w:val="nil"/>
              <w:bottom w:val="nil"/>
              <w:right w:val="nil"/>
            </w:tcBorders>
          </w:tcPr>
          <w:p w14:paraId="620D00FB" w14:textId="41572D3C" w:rsidR="002D170E" w:rsidRDefault="00462B22" w:rsidP="00D35775">
            <w:pPr>
              <w:pStyle w:val="Alishlah22heading2"/>
              <w:spacing w:before="0" w:after="0"/>
              <w:jc w:val="both"/>
              <w:rPr>
                <w:b w:val="0"/>
                <w:bCs w:val="0"/>
                <w:i w:val="0"/>
                <w:iCs/>
              </w:rPr>
            </w:pPr>
            <w:r>
              <w:rPr>
                <w:b w:val="0"/>
                <w:bCs w:val="0"/>
                <w:i w:val="0"/>
                <w:iCs/>
              </w:rPr>
              <w:t>65</w:t>
            </w:r>
            <w:r w:rsidR="002D170E">
              <w:rPr>
                <w:b w:val="0"/>
                <w:bCs w:val="0"/>
                <w:i w:val="0"/>
                <w:iCs/>
              </w:rPr>
              <w:t>%</w:t>
            </w:r>
          </w:p>
        </w:tc>
        <w:tc>
          <w:tcPr>
            <w:tcW w:w="663" w:type="dxa"/>
            <w:tcBorders>
              <w:left w:val="nil"/>
              <w:bottom w:val="nil"/>
              <w:right w:val="nil"/>
            </w:tcBorders>
          </w:tcPr>
          <w:p w14:paraId="27EB98AB" w14:textId="6979539D" w:rsidR="002D170E" w:rsidRDefault="002D170E" w:rsidP="00D35775">
            <w:pPr>
              <w:pStyle w:val="Alishlah22heading2"/>
              <w:spacing w:before="0" w:after="0"/>
              <w:jc w:val="both"/>
              <w:rPr>
                <w:b w:val="0"/>
                <w:bCs w:val="0"/>
                <w:i w:val="0"/>
                <w:iCs/>
              </w:rPr>
            </w:pPr>
            <w:r>
              <w:rPr>
                <w:b w:val="0"/>
                <w:bCs w:val="0"/>
                <w:i w:val="0"/>
                <w:iCs/>
              </w:rPr>
              <w:t>8</w:t>
            </w:r>
            <w:r w:rsidR="00462B22">
              <w:rPr>
                <w:b w:val="0"/>
                <w:bCs w:val="0"/>
                <w:i w:val="0"/>
                <w:iCs/>
              </w:rPr>
              <w:t>0</w:t>
            </w:r>
            <w:r>
              <w:rPr>
                <w:b w:val="0"/>
                <w:bCs w:val="0"/>
                <w:i w:val="0"/>
                <w:iCs/>
              </w:rPr>
              <w:t>%</w:t>
            </w:r>
          </w:p>
        </w:tc>
        <w:tc>
          <w:tcPr>
            <w:tcW w:w="967" w:type="dxa"/>
            <w:tcBorders>
              <w:left w:val="nil"/>
              <w:bottom w:val="nil"/>
              <w:right w:val="nil"/>
            </w:tcBorders>
          </w:tcPr>
          <w:p w14:paraId="144C98CA" w14:textId="30088D33" w:rsidR="002D170E" w:rsidRPr="00A26463" w:rsidRDefault="002D170E" w:rsidP="00D35775">
            <w:pPr>
              <w:pStyle w:val="Alishlah22heading2"/>
              <w:spacing w:before="0" w:after="0"/>
              <w:jc w:val="both"/>
              <w:rPr>
                <w:b w:val="0"/>
                <w:bCs w:val="0"/>
                <w:i w:val="0"/>
                <w:iCs/>
              </w:rPr>
            </w:pPr>
            <w:r>
              <w:rPr>
                <w:b w:val="0"/>
                <w:bCs w:val="0"/>
                <w:i w:val="0"/>
                <w:iCs/>
              </w:rPr>
              <w:t>7</w:t>
            </w:r>
            <w:r w:rsidR="00462B22">
              <w:rPr>
                <w:b w:val="0"/>
                <w:bCs w:val="0"/>
                <w:i w:val="0"/>
                <w:iCs/>
              </w:rPr>
              <w:t>2</w:t>
            </w:r>
            <w:r>
              <w:rPr>
                <w:b w:val="0"/>
                <w:bCs w:val="0"/>
                <w:i w:val="0"/>
                <w:iCs/>
              </w:rPr>
              <w:t>,5%</w:t>
            </w:r>
          </w:p>
        </w:tc>
        <w:tc>
          <w:tcPr>
            <w:tcW w:w="4047" w:type="dxa"/>
            <w:tcBorders>
              <w:left w:val="nil"/>
              <w:bottom w:val="nil"/>
            </w:tcBorders>
          </w:tcPr>
          <w:p w14:paraId="598E277E" w14:textId="6B8D99CF" w:rsidR="002D170E" w:rsidRDefault="005D610B" w:rsidP="00D35775">
            <w:pPr>
              <w:pStyle w:val="Alishlah22heading2"/>
              <w:spacing w:before="0" w:after="0"/>
              <w:jc w:val="both"/>
              <w:rPr>
                <w:b w:val="0"/>
                <w:bCs w:val="0"/>
                <w:i w:val="0"/>
                <w:iCs/>
              </w:rPr>
            </w:pPr>
            <w:r w:rsidRPr="005D610B">
              <w:rPr>
                <w:b w:val="0"/>
                <w:bCs w:val="0"/>
                <w:i w:val="0"/>
                <w:iCs/>
              </w:rPr>
              <w:t>Students improved in identifying flaws and weaknesses in a work or idea.</w:t>
            </w:r>
          </w:p>
        </w:tc>
      </w:tr>
      <w:tr w:rsidR="00462B22" w14:paraId="1706A411" w14:textId="77777777" w:rsidTr="00462B22">
        <w:trPr>
          <w:trHeight w:val="517"/>
          <w:jc w:val="center"/>
        </w:trPr>
        <w:tc>
          <w:tcPr>
            <w:tcW w:w="1780" w:type="dxa"/>
            <w:tcBorders>
              <w:top w:val="nil"/>
              <w:bottom w:val="nil"/>
              <w:right w:val="nil"/>
            </w:tcBorders>
          </w:tcPr>
          <w:p w14:paraId="084DA147" w14:textId="363305DE" w:rsidR="00462B22" w:rsidRPr="00462B22" w:rsidRDefault="00462B22" w:rsidP="00462B22">
            <w:pPr>
              <w:pStyle w:val="Alishlah22heading2"/>
              <w:spacing w:before="0" w:after="0"/>
              <w:rPr>
                <w:b w:val="0"/>
                <w:bCs w:val="0"/>
                <w:i w:val="0"/>
                <w:iCs/>
              </w:rPr>
            </w:pPr>
            <w:r w:rsidRPr="00462B22">
              <w:rPr>
                <w:b w:val="0"/>
                <w:bCs w:val="0"/>
                <w:i w:val="0"/>
                <w:iCs/>
              </w:rPr>
              <w:t>Accuracy of Analysis</w:t>
            </w:r>
          </w:p>
        </w:tc>
        <w:tc>
          <w:tcPr>
            <w:tcW w:w="585" w:type="dxa"/>
            <w:tcBorders>
              <w:top w:val="nil"/>
              <w:left w:val="nil"/>
              <w:bottom w:val="nil"/>
              <w:right w:val="nil"/>
            </w:tcBorders>
          </w:tcPr>
          <w:p w14:paraId="2530E68E" w14:textId="345B767B" w:rsidR="00462B22" w:rsidRDefault="00462B22" w:rsidP="00462B22">
            <w:pPr>
              <w:pStyle w:val="Alishlah22heading2"/>
              <w:spacing w:before="0" w:after="0"/>
              <w:jc w:val="both"/>
              <w:rPr>
                <w:b w:val="0"/>
                <w:bCs w:val="0"/>
                <w:i w:val="0"/>
                <w:iCs/>
              </w:rPr>
            </w:pPr>
            <w:r>
              <w:rPr>
                <w:b w:val="0"/>
                <w:bCs w:val="0"/>
                <w:i w:val="0"/>
                <w:iCs/>
              </w:rPr>
              <w:t>60%</w:t>
            </w:r>
          </w:p>
        </w:tc>
        <w:tc>
          <w:tcPr>
            <w:tcW w:w="663" w:type="dxa"/>
            <w:tcBorders>
              <w:top w:val="nil"/>
              <w:left w:val="nil"/>
              <w:bottom w:val="nil"/>
              <w:right w:val="nil"/>
            </w:tcBorders>
          </w:tcPr>
          <w:p w14:paraId="60098D2E" w14:textId="25B40540" w:rsidR="00462B22" w:rsidRDefault="00462B22" w:rsidP="00462B22">
            <w:pPr>
              <w:pStyle w:val="Alishlah22heading2"/>
              <w:spacing w:before="0" w:after="0"/>
              <w:jc w:val="both"/>
              <w:rPr>
                <w:b w:val="0"/>
                <w:bCs w:val="0"/>
                <w:i w:val="0"/>
                <w:iCs/>
              </w:rPr>
            </w:pPr>
            <w:r>
              <w:rPr>
                <w:b w:val="0"/>
                <w:bCs w:val="0"/>
                <w:i w:val="0"/>
                <w:iCs/>
              </w:rPr>
              <w:t>75%</w:t>
            </w:r>
          </w:p>
        </w:tc>
        <w:tc>
          <w:tcPr>
            <w:tcW w:w="967" w:type="dxa"/>
            <w:tcBorders>
              <w:top w:val="nil"/>
              <w:left w:val="nil"/>
              <w:bottom w:val="nil"/>
              <w:right w:val="nil"/>
            </w:tcBorders>
          </w:tcPr>
          <w:p w14:paraId="697A155F" w14:textId="7A21E5B7" w:rsidR="00462B22" w:rsidRDefault="00462B22" w:rsidP="00462B22">
            <w:pPr>
              <w:pStyle w:val="Alishlah22heading2"/>
              <w:spacing w:before="0" w:after="0"/>
              <w:jc w:val="both"/>
              <w:rPr>
                <w:b w:val="0"/>
                <w:bCs w:val="0"/>
                <w:i w:val="0"/>
                <w:iCs/>
              </w:rPr>
            </w:pPr>
            <w:r>
              <w:rPr>
                <w:b w:val="0"/>
                <w:bCs w:val="0"/>
                <w:i w:val="0"/>
                <w:iCs/>
              </w:rPr>
              <w:t>67,5%</w:t>
            </w:r>
          </w:p>
        </w:tc>
        <w:tc>
          <w:tcPr>
            <w:tcW w:w="4047" w:type="dxa"/>
            <w:tcBorders>
              <w:top w:val="nil"/>
              <w:left w:val="nil"/>
              <w:bottom w:val="nil"/>
            </w:tcBorders>
          </w:tcPr>
          <w:p w14:paraId="0B92BA6D" w14:textId="75D7D054" w:rsidR="00462B22" w:rsidRDefault="005D610B" w:rsidP="00462B22">
            <w:pPr>
              <w:pStyle w:val="Alishlah22heading2"/>
              <w:spacing w:before="0" w:after="0"/>
              <w:jc w:val="both"/>
              <w:rPr>
                <w:b w:val="0"/>
                <w:bCs w:val="0"/>
                <w:i w:val="0"/>
                <w:iCs/>
              </w:rPr>
            </w:pPr>
            <w:r w:rsidRPr="005D610B">
              <w:rPr>
                <w:b w:val="0"/>
                <w:bCs w:val="0"/>
                <w:i w:val="0"/>
                <w:iCs/>
              </w:rPr>
              <w:t>Students showed better accuracy and objectivity in analyzing flaws</w:t>
            </w:r>
          </w:p>
        </w:tc>
      </w:tr>
      <w:tr w:rsidR="00462B22" w14:paraId="335CFFD7" w14:textId="77777777" w:rsidTr="00462B22">
        <w:trPr>
          <w:trHeight w:val="776"/>
          <w:jc w:val="center"/>
        </w:trPr>
        <w:tc>
          <w:tcPr>
            <w:tcW w:w="1780" w:type="dxa"/>
            <w:tcBorders>
              <w:top w:val="nil"/>
              <w:bottom w:val="nil"/>
              <w:right w:val="nil"/>
            </w:tcBorders>
          </w:tcPr>
          <w:p w14:paraId="74D0EA0D" w14:textId="5F9AFA11" w:rsidR="00462B22" w:rsidRPr="00462B22" w:rsidRDefault="00462B22" w:rsidP="00462B22">
            <w:pPr>
              <w:pStyle w:val="Alishlah22heading2"/>
              <w:spacing w:before="0" w:after="0"/>
              <w:rPr>
                <w:b w:val="0"/>
                <w:bCs w:val="0"/>
                <w:i w:val="0"/>
                <w:iCs/>
              </w:rPr>
            </w:pPr>
            <w:r w:rsidRPr="00462B22">
              <w:rPr>
                <w:b w:val="0"/>
                <w:bCs w:val="0"/>
                <w:i w:val="0"/>
                <w:iCs/>
              </w:rPr>
              <w:t>Clarity of Feedback</w:t>
            </w:r>
          </w:p>
        </w:tc>
        <w:tc>
          <w:tcPr>
            <w:tcW w:w="585" w:type="dxa"/>
            <w:tcBorders>
              <w:top w:val="nil"/>
              <w:left w:val="nil"/>
              <w:bottom w:val="nil"/>
              <w:right w:val="nil"/>
            </w:tcBorders>
          </w:tcPr>
          <w:p w14:paraId="0DAFF8AD" w14:textId="3354B104" w:rsidR="00462B22" w:rsidRDefault="00462B22" w:rsidP="00462B22">
            <w:pPr>
              <w:pStyle w:val="Alishlah22heading2"/>
              <w:spacing w:before="0" w:after="0"/>
              <w:jc w:val="both"/>
              <w:rPr>
                <w:b w:val="0"/>
                <w:bCs w:val="0"/>
                <w:i w:val="0"/>
                <w:iCs/>
              </w:rPr>
            </w:pPr>
            <w:r>
              <w:rPr>
                <w:b w:val="0"/>
                <w:bCs w:val="0"/>
                <w:i w:val="0"/>
                <w:iCs/>
              </w:rPr>
              <w:t>70%</w:t>
            </w:r>
          </w:p>
        </w:tc>
        <w:tc>
          <w:tcPr>
            <w:tcW w:w="663" w:type="dxa"/>
            <w:tcBorders>
              <w:top w:val="nil"/>
              <w:left w:val="nil"/>
              <w:bottom w:val="nil"/>
              <w:right w:val="nil"/>
            </w:tcBorders>
          </w:tcPr>
          <w:p w14:paraId="32E3B361" w14:textId="4FFC9D25" w:rsidR="00462B22" w:rsidRDefault="00462B22" w:rsidP="00462B22">
            <w:pPr>
              <w:pStyle w:val="Alishlah22heading2"/>
              <w:spacing w:before="0" w:after="0"/>
              <w:jc w:val="both"/>
              <w:rPr>
                <w:b w:val="0"/>
                <w:bCs w:val="0"/>
                <w:i w:val="0"/>
                <w:iCs/>
              </w:rPr>
            </w:pPr>
            <w:r>
              <w:rPr>
                <w:b w:val="0"/>
                <w:bCs w:val="0"/>
                <w:i w:val="0"/>
                <w:iCs/>
              </w:rPr>
              <w:t>85%</w:t>
            </w:r>
          </w:p>
        </w:tc>
        <w:tc>
          <w:tcPr>
            <w:tcW w:w="967" w:type="dxa"/>
            <w:tcBorders>
              <w:top w:val="nil"/>
              <w:left w:val="nil"/>
              <w:bottom w:val="nil"/>
              <w:right w:val="nil"/>
            </w:tcBorders>
          </w:tcPr>
          <w:p w14:paraId="6465625C" w14:textId="66FDCB04" w:rsidR="00462B22" w:rsidRDefault="00462B22" w:rsidP="00462B22">
            <w:pPr>
              <w:pStyle w:val="Alishlah22heading2"/>
              <w:spacing w:before="0" w:after="0"/>
              <w:jc w:val="both"/>
              <w:rPr>
                <w:b w:val="0"/>
                <w:bCs w:val="0"/>
                <w:i w:val="0"/>
                <w:iCs/>
              </w:rPr>
            </w:pPr>
            <w:r>
              <w:rPr>
                <w:b w:val="0"/>
                <w:bCs w:val="0"/>
                <w:i w:val="0"/>
                <w:iCs/>
              </w:rPr>
              <w:t>77,5%</w:t>
            </w:r>
          </w:p>
        </w:tc>
        <w:tc>
          <w:tcPr>
            <w:tcW w:w="4047" w:type="dxa"/>
            <w:tcBorders>
              <w:top w:val="nil"/>
              <w:left w:val="nil"/>
              <w:bottom w:val="nil"/>
            </w:tcBorders>
          </w:tcPr>
          <w:p w14:paraId="207B4043" w14:textId="257CD216" w:rsidR="00462B22" w:rsidRDefault="005D610B" w:rsidP="00462B22">
            <w:pPr>
              <w:pStyle w:val="Alishlah22heading2"/>
              <w:spacing w:before="0" w:after="0"/>
              <w:jc w:val="both"/>
              <w:rPr>
                <w:b w:val="0"/>
                <w:bCs w:val="0"/>
                <w:i w:val="0"/>
                <w:iCs/>
              </w:rPr>
            </w:pPr>
            <w:r w:rsidRPr="005D610B">
              <w:rPr>
                <w:b w:val="0"/>
                <w:bCs w:val="0"/>
                <w:i w:val="0"/>
                <w:iCs/>
              </w:rPr>
              <w:t>Students demonstrated clear and constructive feedback skills.</w:t>
            </w:r>
          </w:p>
        </w:tc>
      </w:tr>
      <w:tr w:rsidR="00462B22" w14:paraId="22E6E5D4" w14:textId="77777777" w:rsidTr="005D610B">
        <w:trPr>
          <w:trHeight w:val="289"/>
          <w:jc w:val="center"/>
        </w:trPr>
        <w:tc>
          <w:tcPr>
            <w:tcW w:w="1780" w:type="dxa"/>
            <w:tcBorders>
              <w:top w:val="nil"/>
              <w:bottom w:val="single" w:sz="4" w:space="0" w:color="auto"/>
              <w:right w:val="nil"/>
            </w:tcBorders>
          </w:tcPr>
          <w:p w14:paraId="11CFA91C" w14:textId="04C8AD87" w:rsidR="00462B22" w:rsidRPr="00462B22" w:rsidRDefault="00462B22" w:rsidP="00462B22">
            <w:pPr>
              <w:pStyle w:val="Alishlah22heading2"/>
              <w:spacing w:before="0" w:after="0"/>
              <w:jc w:val="both"/>
              <w:rPr>
                <w:b w:val="0"/>
                <w:bCs w:val="0"/>
                <w:i w:val="0"/>
                <w:iCs/>
              </w:rPr>
            </w:pPr>
            <w:r w:rsidRPr="00462B22">
              <w:rPr>
                <w:b w:val="0"/>
                <w:bCs w:val="0"/>
                <w:i w:val="0"/>
                <w:iCs/>
              </w:rPr>
              <w:t>Recommendation Accuracy</w:t>
            </w:r>
          </w:p>
        </w:tc>
        <w:tc>
          <w:tcPr>
            <w:tcW w:w="585" w:type="dxa"/>
            <w:tcBorders>
              <w:top w:val="nil"/>
              <w:left w:val="nil"/>
              <w:bottom w:val="single" w:sz="4" w:space="0" w:color="auto"/>
              <w:right w:val="nil"/>
            </w:tcBorders>
          </w:tcPr>
          <w:p w14:paraId="66974E04" w14:textId="20EAE501" w:rsidR="00462B22" w:rsidRDefault="00462B22" w:rsidP="00462B22">
            <w:pPr>
              <w:pStyle w:val="Alishlah22heading2"/>
              <w:spacing w:before="0" w:after="0"/>
              <w:jc w:val="both"/>
              <w:rPr>
                <w:b w:val="0"/>
                <w:bCs w:val="0"/>
                <w:i w:val="0"/>
                <w:iCs/>
              </w:rPr>
            </w:pPr>
            <w:r>
              <w:rPr>
                <w:b w:val="0"/>
                <w:bCs w:val="0"/>
                <w:i w:val="0"/>
                <w:iCs/>
              </w:rPr>
              <w:t>55%</w:t>
            </w:r>
          </w:p>
        </w:tc>
        <w:tc>
          <w:tcPr>
            <w:tcW w:w="663" w:type="dxa"/>
            <w:tcBorders>
              <w:top w:val="nil"/>
              <w:left w:val="nil"/>
              <w:bottom w:val="single" w:sz="4" w:space="0" w:color="auto"/>
              <w:right w:val="nil"/>
            </w:tcBorders>
          </w:tcPr>
          <w:p w14:paraId="5598EE28" w14:textId="79B797D8" w:rsidR="00462B22" w:rsidRDefault="00462B22" w:rsidP="00462B22">
            <w:pPr>
              <w:pStyle w:val="Alishlah22heading2"/>
              <w:spacing w:before="0" w:after="0"/>
              <w:jc w:val="both"/>
              <w:rPr>
                <w:b w:val="0"/>
                <w:bCs w:val="0"/>
                <w:i w:val="0"/>
                <w:iCs/>
              </w:rPr>
            </w:pPr>
            <w:r>
              <w:rPr>
                <w:b w:val="0"/>
                <w:bCs w:val="0"/>
                <w:i w:val="0"/>
                <w:iCs/>
              </w:rPr>
              <w:t>70%</w:t>
            </w:r>
          </w:p>
        </w:tc>
        <w:tc>
          <w:tcPr>
            <w:tcW w:w="967" w:type="dxa"/>
            <w:tcBorders>
              <w:top w:val="nil"/>
              <w:left w:val="nil"/>
              <w:bottom w:val="single" w:sz="4" w:space="0" w:color="auto"/>
              <w:right w:val="nil"/>
            </w:tcBorders>
          </w:tcPr>
          <w:p w14:paraId="66F5544A" w14:textId="33999DA0" w:rsidR="00462B22" w:rsidRDefault="00462B22" w:rsidP="00462B22">
            <w:pPr>
              <w:pStyle w:val="Alishlah22heading2"/>
              <w:spacing w:before="0" w:after="0"/>
              <w:jc w:val="both"/>
              <w:rPr>
                <w:b w:val="0"/>
                <w:bCs w:val="0"/>
                <w:i w:val="0"/>
                <w:iCs/>
              </w:rPr>
            </w:pPr>
            <w:r>
              <w:rPr>
                <w:b w:val="0"/>
                <w:bCs w:val="0"/>
                <w:i w:val="0"/>
                <w:iCs/>
              </w:rPr>
              <w:t>62,5%</w:t>
            </w:r>
          </w:p>
        </w:tc>
        <w:tc>
          <w:tcPr>
            <w:tcW w:w="4047" w:type="dxa"/>
            <w:tcBorders>
              <w:top w:val="nil"/>
              <w:left w:val="nil"/>
              <w:bottom w:val="single" w:sz="4" w:space="0" w:color="auto"/>
            </w:tcBorders>
          </w:tcPr>
          <w:p w14:paraId="6CAF79F7" w14:textId="039B979D" w:rsidR="00462B22" w:rsidRDefault="005D610B" w:rsidP="00462B22">
            <w:pPr>
              <w:pStyle w:val="Alishlah22heading2"/>
              <w:spacing w:before="0" w:after="0"/>
              <w:jc w:val="both"/>
              <w:rPr>
                <w:b w:val="0"/>
                <w:bCs w:val="0"/>
                <w:i w:val="0"/>
                <w:iCs/>
              </w:rPr>
            </w:pPr>
            <w:r w:rsidRPr="005D610B">
              <w:rPr>
                <w:b w:val="0"/>
                <w:bCs w:val="0"/>
                <w:i w:val="0"/>
                <w:iCs/>
              </w:rPr>
              <w:t>Students improved in giving effective recommendations to address weaknesses.</w:t>
            </w:r>
          </w:p>
        </w:tc>
      </w:tr>
    </w:tbl>
    <w:p w14:paraId="671BD72D" w14:textId="77777777" w:rsidR="00947DB3" w:rsidRDefault="00947DB3" w:rsidP="000720F1">
      <w:pPr>
        <w:spacing w:after="0" w:line="240" w:lineRule="auto"/>
        <w:ind w:left="1134" w:firstLine="720"/>
        <w:jc w:val="both"/>
        <w:rPr>
          <w:rFonts w:ascii="Times New Roman" w:hAnsi="Times New Roman"/>
          <w:sz w:val="24"/>
          <w:szCs w:val="24"/>
          <w:lang w:val="id-ID" w:eastAsia="id-ID"/>
        </w:rPr>
      </w:pPr>
    </w:p>
    <w:p w14:paraId="6FB99782" w14:textId="26EDF21B" w:rsidR="00462B22" w:rsidRPr="00081C72" w:rsidRDefault="00AE1C5B" w:rsidP="00AE1C5B">
      <w:pPr>
        <w:pStyle w:val="trt0xe"/>
        <w:spacing w:before="0" w:beforeAutospacing="0" w:after="0" w:afterAutospacing="0"/>
        <w:ind w:firstLine="360"/>
        <w:jc w:val="both"/>
        <w:rPr>
          <w:rFonts w:ascii="Palatino Linotype" w:hAnsi="Palatino Linotype"/>
          <w:sz w:val="20"/>
          <w:szCs w:val="20"/>
        </w:rPr>
      </w:pPr>
      <w:bookmarkStart w:id="2" w:name="_Hlk162211705"/>
      <w:r w:rsidRPr="00081C72">
        <w:rPr>
          <w:rFonts w:ascii="Palatino Linotype" w:hAnsi="Palatino Linotype"/>
          <w:sz w:val="20"/>
          <w:szCs w:val="20"/>
        </w:rPr>
        <w:lastRenderedPageBreak/>
        <w:t>The table highlights significant improvements in students' abilities to critically assess and provide constructive feedback on various works or ideas after the learning intervention. In the area of accurately identifying deficiencies, students' performance increased from a pre-test score of 65% to a post-test score of 80%, with an average of 72.5%, indicating their growing proficiency in recognizing flaws and weaknesses in a given work or idea. This suggests a more refined ability to detect problems, a critical skill in both academic and real-world contexts. Similarly, the accuracy of their analysis improved from 60% to 75%, averaging at 67.5%, reflecting that students became more objective and thorough in their approach to evaluating deficiencies. Their feedback delivery also saw a marked improvement, with clarity of feedback scores rising from 70% to 85%, resulting in an average of 77.5%. This demonstrates that students became more capable of offering feedback that is not only clear but also constructive and actionable, an important aspect of collaborative work and peer evaluation. Finally, the students' ability to offer accurate and effective recommendations for addressing identified weaknesses improved from 55% to 70%, with an average of 62.5%, showcasing their enhanced capability in problem-solving and in providing practical solutions to improve upon identified flaws. Overall, the data reflects a holistic growth in students' critical thinking, analytical accuracy, and their ability to contribute meaningfully to the improvement of ideas and projects. These skills are essential for higher-level cognitive development and real-world application, underscoring the value of the implemented teaching strategy.</w:t>
      </w:r>
    </w:p>
    <w:bookmarkEnd w:id="2"/>
    <w:p w14:paraId="6C0FC4E4" w14:textId="07BF8F98" w:rsidR="00D25F1F" w:rsidRPr="00CF5063" w:rsidRDefault="00D25F1F" w:rsidP="00CF5063">
      <w:pPr>
        <w:pStyle w:val="Alishlah21heading1"/>
        <w:numPr>
          <w:ilvl w:val="1"/>
          <w:numId w:val="19"/>
        </w:numPr>
        <w:rPr>
          <w:i/>
          <w:iCs/>
        </w:rPr>
      </w:pPr>
      <w:r w:rsidRPr="00CF5063">
        <w:rPr>
          <w:i/>
          <w:iCs/>
        </w:rPr>
        <w:t>Integration of Jigsaw in the Context of Social Science</w:t>
      </w:r>
    </w:p>
    <w:p w14:paraId="311DE4E2" w14:textId="35BA0138" w:rsidR="00D25F1F" w:rsidRPr="00D25F1F" w:rsidRDefault="00D25F1F" w:rsidP="00D25F1F">
      <w:pPr>
        <w:spacing w:after="0" w:line="240" w:lineRule="auto"/>
        <w:jc w:val="both"/>
        <w:rPr>
          <w:rFonts w:ascii="Palatino Linotype" w:hAnsi="Palatino Linotype"/>
          <w:sz w:val="20"/>
          <w:szCs w:val="20"/>
        </w:rPr>
      </w:pPr>
      <w:r w:rsidRPr="00D25F1F">
        <w:rPr>
          <w:rFonts w:ascii="Palatino Linotype" w:hAnsi="Palatino Linotype"/>
          <w:sz w:val="20"/>
          <w:szCs w:val="20"/>
        </w:rPr>
        <w:tab/>
        <w:t>The use of the Jigsaw learning strategy offers a unique opportunity to integrate a collaborative approach with Social Science content</w:t>
      </w:r>
      <w:r w:rsidR="00B11C1B">
        <w:rPr>
          <w:rFonts w:ascii="Palatino Linotype" w:hAnsi="Palatino Linotype"/>
          <w:sz w:val="20"/>
          <w:szCs w:val="20"/>
        </w:rPr>
        <w:t xml:space="preserve"> </w:t>
      </w:r>
      <w:r w:rsidRPr="00D25F1F">
        <w:rPr>
          <w:rFonts w:ascii="Palatino Linotype" w:hAnsi="Palatino Linotype"/>
          <w:sz w:val="20"/>
          <w:szCs w:val="20"/>
        </w:rPr>
        <w:fldChar w:fldCharType="begin"/>
      </w:r>
      <w:r w:rsidR="00A0227A">
        <w:rPr>
          <w:rFonts w:ascii="Palatino Linotype" w:hAnsi="Palatino Linotype"/>
          <w:sz w:val="20"/>
          <w:szCs w:val="20"/>
        </w:rPr>
        <w:instrText xml:space="preserve"> ADDIN ZOTERO_ITEM CSL_CITATION {"citationID":"2VPtZFjG","properties":{"formattedCitation":"(Eysink et al., 2020)","plainCitation":"(Eysink et al., 2020)","noteIndex":0},"citationItems":[{"id":"hiqTCfwy/4JO5MBPs","uris":["http://zotero.org/users/local/Pjdjlz4D/items/2ME6RBTS"],"itemData":{"id":1158,"type":"article-journal","abstract":"Abstract\n            This paper describes the development of the BE COOL! learning environment that gives all children, gifted and non-gifted, the opportunity to learn at a level matching their specific needs and abilities within the social context of regular education. BE COOL! uses the ability-adjusted jigsaw method, in which children of varying ability levels work together on a design for which they acquire knowledge by working on tailored assignments in groups with children with the same ability level. This differentiation method unites elements of learning by design, learning together, and learning by inquiry. In this article, we first present the conceptual foundations underlying BE COOL! Next, we describe the learning environment and its components as incorporated in a seven-week science lesson series in which fourth to sixth graders must design a liveable house on the moon for a family of four. Then, we describe our design process, in which research and development alternated and we end with a brief presentation of the learning environment’s added value for educational practice.","container-title":"Educational Technology Research and Development","DOI":"10.1007/s11423-020-09754-9","ISSN":"1042-1629, 1556-6501","issue":"5","journalAbbreviation":"Education Tech Research Dev","language":"en","page":"2373-2393","source":"DOI.org (Crossref)","title":"BE COOL! a digital learning environment to challenge and socially include gifted learners","volume":"68","author":[{"family":"Eysink","given":"Tessa H. S."},{"family":"Van Dijk","given":"Alieke M."},{"family":"De Jong","given":"Ton"}],"issued":{"date-parts":[["2020",10]]}}}],"schema":"https://github.com/citation-style-language/schema/raw/master/csl-citation.json"} </w:instrText>
      </w:r>
      <w:r w:rsidRPr="00D25F1F">
        <w:rPr>
          <w:rFonts w:ascii="Palatino Linotype" w:hAnsi="Palatino Linotype"/>
          <w:sz w:val="20"/>
          <w:szCs w:val="20"/>
        </w:rPr>
        <w:fldChar w:fldCharType="separate"/>
      </w:r>
      <w:r w:rsidRPr="00D25F1F">
        <w:rPr>
          <w:rFonts w:ascii="Palatino Linotype" w:hAnsi="Palatino Linotype"/>
          <w:sz w:val="20"/>
          <w:szCs w:val="18"/>
        </w:rPr>
        <w:t>(</w:t>
      </w:r>
      <w:proofErr w:type="spellStart"/>
      <w:r w:rsidRPr="00D25F1F">
        <w:rPr>
          <w:rFonts w:ascii="Palatino Linotype" w:hAnsi="Palatino Linotype"/>
          <w:sz w:val="20"/>
          <w:szCs w:val="18"/>
        </w:rPr>
        <w:t>Eysink</w:t>
      </w:r>
      <w:proofErr w:type="spellEnd"/>
      <w:r w:rsidRPr="00D25F1F">
        <w:rPr>
          <w:rFonts w:ascii="Palatino Linotype" w:hAnsi="Palatino Linotype"/>
          <w:sz w:val="20"/>
          <w:szCs w:val="18"/>
        </w:rPr>
        <w:t xml:space="preserve"> et al., 2020)</w:t>
      </w:r>
      <w:r w:rsidRPr="00D25F1F">
        <w:rPr>
          <w:rFonts w:ascii="Palatino Linotype" w:hAnsi="Palatino Linotype"/>
          <w:sz w:val="20"/>
          <w:szCs w:val="20"/>
        </w:rPr>
        <w:fldChar w:fldCharType="end"/>
      </w:r>
      <w:r w:rsidR="00B11C1B">
        <w:rPr>
          <w:rFonts w:ascii="Palatino Linotype" w:hAnsi="Palatino Linotype"/>
          <w:sz w:val="20"/>
          <w:szCs w:val="20"/>
        </w:rPr>
        <w:t>.</w:t>
      </w:r>
      <w:r w:rsidRPr="00D25F1F">
        <w:rPr>
          <w:rFonts w:ascii="Palatino Linotype" w:hAnsi="Palatino Linotype"/>
          <w:sz w:val="20"/>
          <w:szCs w:val="20"/>
        </w:rPr>
        <w:t xml:space="preserve"> This strategy, which places students in small groups to understand and master specific content, enables learning focused on interaction and cooperation. In the Social Science context, material integrity becomes a critical factor in the success of the Jigsaw strategy. The selection of topics relevant to the Social Science curriculum and considering group dynamics is an essential initial step. The implementation of Jigsaw strategy should be directed towards creating a strong connection between Social Science material and group activities. Effective group dynamics can enrich the learning process, ensuring that each group member not only understands concepts individually but also contributes collaboratively to the formation of holistic understanding</w:t>
      </w:r>
      <w:r w:rsidR="00B11C1B">
        <w:rPr>
          <w:rFonts w:ascii="Palatino Linotype" w:hAnsi="Palatino Linotype"/>
          <w:sz w:val="20"/>
          <w:szCs w:val="20"/>
        </w:rPr>
        <w:t xml:space="preserve">. </w:t>
      </w:r>
      <w:r w:rsidRPr="00D25F1F">
        <w:rPr>
          <w:rFonts w:ascii="Palatino Linotype" w:hAnsi="Palatino Linotype"/>
          <w:sz w:val="20"/>
          <w:szCs w:val="20"/>
        </w:rPr>
        <w:t>The integration of the Jigsaw strategy with Social Science content also plays a crucial role in the development of higher-order thinking skills. Group discussions, joint analysis, and information synthesis processes not only reinforce the understanding of concepts but also stimulate students to think critically and creatively</w:t>
      </w:r>
      <w:r w:rsidR="00431018">
        <w:rPr>
          <w:rFonts w:ascii="Palatino Linotype" w:hAnsi="Palatino Linotype"/>
          <w:sz w:val="20"/>
          <w:szCs w:val="20"/>
        </w:rPr>
        <w:t xml:space="preserve"> </w:t>
      </w:r>
      <w:r w:rsidR="00431018">
        <w:rPr>
          <w:rFonts w:ascii="Palatino Linotype" w:hAnsi="Palatino Linotype"/>
          <w:sz w:val="20"/>
          <w:szCs w:val="20"/>
        </w:rPr>
        <w:fldChar w:fldCharType="begin"/>
      </w:r>
      <w:r w:rsidR="00431018">
        <w:rPr>
          <w:rFonts w:ascii="Palatino Linotype" w:hAnsi="Palatino Linotype"/>
          <w:sz w:val="20"/>
          <w:szCs w:val="20"/>
        </w:rPr>
        <w:instrText xml:space="preserve"> ADDIN ZOTERO_ITEM CSL_CITATION {"citationID":"DvlxVFps","properties":{"formattedCitation":"(Santos-Garcia et al., 2018)","plainCitation":"(Santos-Garcia et al., 2018)","noteIndex":0},"citationItems":[{"id":805,"uris":["http://zotero.org/users/local/Wqqix2jN/items/5T7R8U5L"],"itemData":{"id":805,"type":"article-journal","container-title":"Frontiers in Microbiology","DOI":"10.3389/fmicb.2018.02254","ISSN":"1664-302X","journalAbbreviation":"Front. Microbiol.","page":"2254","source":"DOI.org (Crossref)","title":"To B or Not to B: Comparative Genomics Suggests Arsenophonus as a Source of B Vitamins in Whiteflies","title-short":"To B or Not to B","volume":"9","author":[{"family":"Santos-Garcia","given":"Diego"},{"family":"Juravel","given":"Ksenia"},{"family":"Freilich","given":"Shiri"},{"family":"Zchori-Fein","given":"Einat"},{"family":"Latorre","given":"Amparo"},{"family":"Moya","given":"Andrés"},{"family":"Morin","given":"Shai"},{"family":"Silva","given":"Francisco J."}],"issued":{"date-parts":[["2018",9,25]]}}}],"schema":"https://github.com/citation-style-language/schema/raw/master/csl-citation.json"} </w:instrText>
      </w:r>
      <w:r w:rsidR="00431018">
        <w:rPr>
          <w:rFonts w:ascii="Palatino Linotype" w:hAnsi="Palatino Linotype"/>
          <w:sz w:val="20"/>
          <w:szCs w:val="20"/>
        </w:rPr>
        <w:fldChar w:fldCharType="separate"/>
      </w:r>
      <w:r w:rsidR="00431018" w:rsidRPr="00431018">
        <w:rPr>
          <w:rFonts w:ascii="Palatino Linotype" w:hAnsi="Palatino Linotype"/>
          <w:sz w:val="20"/>
        </w:rPr>
        <w:t>(Santos-Garcia et al., 2018)</w:t>
      </w:r>
      <w:r w:rsidR="00431018">
        <w:rPr>
          <w:rFonts w:ascii="Palatino Linotype" w:hAnsi="Palatino Linotype"/>
          <w:sz w:val="20"/>
          <w:szCs w:val="20"/>
        </w:rPr>
        <w:fldChar w:fldCharType="end"/>
      </w:r>
      <w:r w:rsidRPr="00D25F1F">
        <w:rPr>
          <w:rFonts w:ascii="Palatino Linotype" w:hAnsi="Palatino Linotype"/>
          <w:sz w:val="20"/>
          <w:szCs w:val="20"/>
        </w:rPr>
        <w:t>. Therefore, a good connection between the Jigsaw strategy and Social Science material can serve as the foundation for achieving comprehensive learning goals, maximizing students' potential in developing deep conceptual understanding and higher-order thinking skills</w:t>
      </w:r>
      <w:r w:rsidR="00B11C1B">
        <w:rPr>
          <w:rFonts w:ascii="Palatino Linotype" w:hAnsi="Palatino Linotype"/>
          <w:sz w:val="20"/>
          <w:szCs w:val="20"/>
        </w:rPr>
        <w:t xml:space="preserve"> </w:t>
      </w:r>
      <w:r w:rsidRPr="00D25F1F">
        <w:rPr>
          <w:rFonts w:ascii="Palatino Linotype" w:hAnsi="Palatino Linotype"/>
          <w:sz w:val="20"/>
          <w:szCs w:val="20"/>
        </w:rPr>
        <w:fldChar w:fldCharType="begin"/>
      </w:r>
      <w:r w:rsidR="00A0227A">
        <w:rPr>
          <w:rFonts w:ascii="Palatino Linotype" w:hAnsi="Palatino Linotype"/>
          <w:sz w:val="20"/>
          <w:szCs w:val="20"/>
        </w:rPr>
        <w:instrText xml:space="preserve"> ADDIN ZOTERO_ITEM CSL_CITATION {"citationID":"eaC6bjCn","properties":{"formattedCitation":"(Gobo, 2021)","plainCitation":"(Gobo, 2021)","noteIndex":0},"citationItems":[{"id":"hiqTCfwy/DZbTSfDf","uris":["http://zotero.org/users/local/Pjdjlz4D/items/R57RGCP7"],"itemData":{"id":1160,"type":"article-journal","abstract":"Replicability is a term that not only comes with different meanings in the literature of many domains but is often associated or confused with other terms such as ‘reproducibility,’ ‘repeatability,’ ‘reliability,’ ‘validity,’ and so on. To add to the confusion, it can even be used differently across diverse disciplines. Though all named concepts are important, what makes them barely advantageous is that they do not cover some peculiar aspects of the replicability and validation processes, i.e., appropriateness of conceptualization; trustworthiness of operational definition and operational acts; accuracy of researcher’s description, categorization and/or measurement; successfulness of observational (or field) relation. Moreover, in social sciences and organization studies, the concept of validity of data is highly questionable due to the quite frequent shortage of real statuses of the observed objects. The present paper aims to challenge the received view on the concept of ‘replicability,’ by proposing a “situational approach” based on the idea that replicability works under certain organizational and socio-technic conditions, and that it is heavily influenced by the way that different stakeholders (scientists, technicians, participants artifacts, and technologies) respond to them. Consequently, it is important to understand how and why replicability works in different contexts. Its main purpose, without denying the importance of current conventional perspectives on replicability and its siblings, is to widen and change them to include an organizational setting and a reflexive epistemology. This implies the pursuit of a third way of replicability, between the postmodernist negation of its possibility and its opposite, i.e., a naïve naturalism. A way asserting that replicability is a jigsaw puzzle or a mosaic, constituted by discursive practices (poetics) and organizational achievements guiding the politics of accountability, validation and legitimation. The domain here considered pertains to the social and organizational sciences. However, though going beyond the aim of this essay, many issues could be reframed and adapted to medical, natural and physical sciences, as some of the following examples can show.","container-title":"Frontiers in Psychology","DOI":"10.3389/fpsyg.2020.608451","ISSN":"1664-1078","journalAbbreviation":"Front. Psychol.","page":"608451","source":"DOI.org (Crossref)","title":"Replicability. Politics and Poetics of Accountability, Validation and Legitimation","volume":"11","author":[{"family":"Gobo","given":"Giampietro"}],"issued":{"date-parts":[["2021",1,15]]}}}],"schema":"https://github.com/citation-style-language/schema/raw/master/csl-citation.json"} </w:instrText>
      </w:r>
      <w:r w:rsidRPr="00D25F1F">
        <w:rPr>
          <w:rFonts w:ascii="Palatino Linotype" w:hAnsi="Palatino Linotype"/>
          <w:sz w:val="20"/>
          <w:szCs w:val="20"/>
        </w:rPr>
        <w:fldChar w:fldCharType="separate"/>
      </w:r>
      <w:r w:rsidRPr="00D25F1F">
        <w:rPr>
          <w:rFonts w:ascii="Palatino Linotype" w:hAnsi="Palatino Linotype"/>
          <w:sz w:val="20"/>
          <w:szCs w:val="18"/>
        </w:rPr>
        <w:t>(Gobo, 2021)</w:t>
      </w:r>
      <w:r w:rsidRPr="00D25F1F">
        <w:rPr>
          <w:rFonts w:ascii="Palatino Linotype" w:hAnsi="Palatino Linotype"/>
          <w:sz w:val="20"/>
          <w:szCs w:val="20"/>
        </w:rPr>
        <w:fldChar w:fldCharType="end"/>
      </w:r>
      <w:r w:rsidR="00B11C1B">
        <w:rPr>
          <w:rFonts w:ascii="Palatino Linotype" w:hAnsi="Palatino Linotype"/>
          <w:sz w:val="20"/>
          <w:szCs w:val="20"/>
        </w:rPr>
        <w:t>.</w:t>
      </w:r>
    </w:p>
    <w:p w14:paraId="62E276BC" w14:textId="701226C3" w:rsidR="00D25F1F" w:rsidRPr="00D25F1F" w:rsidRDefault="00D25F1F" w:rsidP="00D25F1F">
      <w:pPr>
        <w:spacing w:after="0" w:line="240" w:lineRule="auto"/>
        <w:jc w:val="both"/>
        <w:rPr>
          <w:rFonts w:ascii="Palatino Linotype" w:hAnsi="Palatino Linotype"/>
          <w:sz w:val="20"/>
          <w:szCs w:val="20"/>
        </w:rPr>
      </w:pPr>
      <w:r w:rsidRPr="00D25F1F">
        <w:rPr>
          <w:rFonts w:ascii="Palatino Linotype" w:hAnsi="Palatino Linotype"/>
          <w:sz w:val="20"/>
          <w:szCs w:val="20"/>
        </w:rPr>
        <w:tab/>
        <w:t xml:space="preserve">Jigsaw in the context of Social Science subjects has a significant positive impact on the development of students' higher-order thinking skills. By emphasizing group work and implementing the principle of positive interdependence, the Jigsaw strategy creates a learning environment that effectively stimulates the development of higher-order thinking skills. One striking impact is the improvement in students' ability to critically </w:t>
      </w:r>
      <w:proofErr w:type="spellStart"/>
      <w:r w:rsidRPr="00D25F1F">
        <w:rPr>
          <w:rFonts w:ascii="Palatino Linotype" w:hAnsi="Palatino Linotype"/>
          <w:sz w:val="20"/>
          <w:szCs w:val="20"/>
        </w:rPr>
        <w:t>analyze</w:t>
      </w:r>
      <w:proofErr w:type="spellEnd"/>
      <w:r w:rsidRPr="00D25F1F">
        <w:rPr>
          <w:rFonts w:ascii="Palatino Linotype" w:hAnsi="Palatino Linotype"/>
          <w:sz w:val="20"/>
          <w:szCs w:val="20"/>
        </w:rPr>
        <w:t xml:space="preserve"> information. Through group discussions, where each member is responsible for understanding and presenting a specific part of the material, students are trained to engage in reading, understanding, and dissecting information deeply, stimulating analytical thinking. The integration of the Jigsaw strategy also significantly contributes to the development of students' synthesis skills</w:t>
      </w:r>
      <w:r w:rsidR="00B11C1B">
        <w:rPr>
          <w:rFonts w:ascii="Palatino Linotype" w:hAnsi="Palatino Linotype"/>
          <w:sz w:val="20"/>
          <w:szCs w:val="20"/>
        </w:rPr>
        <w:t xml:space="preserve"> </w:t>
      </w:r>
      <w:r w:rsidRPr="00D25F1F">
        <w:rPr>
          <w:rFonts w:ascii="Palatino Linotype" w:hAnsi="Palatino Linotype"/>
          <w:sz w:val="20"/>
          <w:szCs w:val="20"/>
        </w:rPr>
        <w:fldChar w:fldCharType="begin"/>
      </w:r>
      <w:r w:rsidR="00A0227A">
        <w:rPr>
          <w:rFonts w:ascii="Palatino Linotype" w:hAnsi="Palatino Linotype"/>
          <w:sz w:val="20"/>
          <w:szCs w:val="20"/>
        </w:rPr>
        <w:instrText xml:space="preserve"> ADDIN ZOTERO_ITEM CSL_CITATION {"citationID":"drmtO4kU","properties":{"formattedCitation":"(Shammout, 2020)","plainCitation":"(Shammout, 2020)","noteIndex":0},"citationItems":[{"id":"hiqTCfwy/yhneJQzR","uris":["http://zotero.org/users/local/Pjdjlz4D/items/VSFREULV"],"itemData":{"id":1176,"type":"article-journal","abstract":"This paper aims at enhancing writing skills by using cooperative learning strategies since recent methodologies in foreign language teaching have deviated the shift of focus from traditional teacher-oriented classes to more learner-centered contexts. Among the methods endorsed in teaching writing is the application of Cooperative Learning (CL). The use of CL has become an increasingly popular method to improve the learner’s linguistic, social and communicative competence. This research investigated the effects of CL to improve the writing skill of AIU students. A questionnaire was done to spot their problems and weak points. The quasi experimental design was used, with pre-test and post-test of two different kinds of essay as an instrument. Two different kinds of studies were employed qualitatively and quantitatively to analyze the data. The students’ writing was scored on the five writing components which were content, vocabulary, organization, grammar and mechanics see (Yusuf, Jusoh, &amp; Yusuf, 2019). After analyzing the results of the post test, it was noted that there was a significant increase in the scores of students’ writing in comparison with their marks of the pretest as a result of implementing cooperative learning. Subsequently, the results lent credence to the positive effects of cooperative learning in enhancing writing performance and teachers were able to involve more students to participate and the class environment was very encouraging and intriguing. EFL participants in a cooperative learning ambience managed to foster the linguistic competence that they need to acquire which was also tackled in the paper.","container-title":"Theory and Practice in Language Studies","DOI":"10.17507/tpls.1007.10","ISSN":"1799-2591","issue":"7","journalAbbreviation":"TPLS","page":"791","source":"DOI.org (Crossref)","title":"The Effect of Cooperative Learning Activities on Enhancing the Writing Skills of Syrian EFL Learners at Arab International University","volume":"10","author":[{"family":"Shammout","given":"Manal"}],"issued":{"date-parts":[["2020",7,1]]}}}],"schema":"https://github.com/citation-style-language/schema/raw/master/csl-citation.json"} </w:instrText>
      </w:r>
      <w:r w:rsidRPr="00D25F1F">
        <w:rPr>
          <w:rFonts w:ascii="Palatino Linotype" w:hAnsi="Palatino Linotype"/>
          <w:sz w:val="20"/>
          <w:szCs w:val="20"/>
        </w:rPr>
        <w:fldChar w:fldCharType="separate"/>
      </w:r>
      <w:r w:rsidRPr="00D25F1F">
        <w:rPr>
          <w:rFonts w:ascii="Palatino Linotype" w:hAnsi="Palatino Linotype"/>
          <w:sz w:val="20"/>
          <w:szCs w:val="18"/>
        </w:rPr>
        <w:t>(</w:t>
      </w:r>
      <w:proofErr w:type="spellStart"/>
      <w:r w:rsidRPr="00D25F1F">
        <w:rPr>
          <w:rFonts w:ascii="Palatino Linotype" w:hAnsi="Palatino Linotype"/>
          <w:sz w:val="20"/>
          <w:szCs w:val="18"/>
        </w:rPr>
        <w:t>Shammout</w:t>
      </w:r>
      <w:proofErr w:type="spellEnd"/>
      <w:r w:rsidRPr="00D25F1F">
        <w:rPr>
          <w:rFonts w:ascii="Palatino Linotype" w:hAnsi="Palatino Linotype"/>
          <w:sz w:val="20"/>
          <w:szCs w:val="18"/>
        </w:rPr>
        <w:t>, 2020)</w:t>
      </w:r>
      <w:r w:rsidRPr="00D25F1F">
        <w:rPr>
          <w:rFonts w:ascii="Palatino Linotype" w:hAnsi="Palatino Linotype"/>
          <w:sz w:val="20"/>
          <w:szCs w:val="20"/>
        </w:rPr>
        <w:fldChar w:fldCharType="end"/>
      </w:r>
      <w:r w:rsidR="00B11C1B">
        <w:rPr>
          <w:rFonts w:ascii="Palatino Linotype" w:hAnsi="Palatino Linotype"/>
          <w:sz w:val="20"/>
          <w:szCs w:val="20"/>
        </w:rPr>
        <w:t>.</w:t>
      </w:r>
      <w:r w:rsidRPr="00D25F1F">
        <w:rPr>
          <w:rFonts w:ascii="Palatino Linotype" w:hAnsi="Palatino Linotype"/>
          <w:sz w:val="20"/>
          <w:szCs w:val="20"/>
        </w:rPr>
        <w:t xml:space="preserve"> In the dynamics of the group, where each member is responsible for different information, students are tasked with organizing and combining this information into a coherent whole. This process encourages students to synthesize information from various sources, creating an integrated understanding of the learning topic</w:t>
      </w:r>
      <w:r w:rsidR="00B11C1B">
        <w:rPr>
          <w:rFonts w:ascii="Palatino Linotype" w:hAnsi="Palatino Linotype"/>
          <w:sz w:val="20"/>
          <w:szCs w:val="20"/>
        </w:rPr>
        <w:t xml:space="preserve"> </w:t>
      </w:r>
      <w:r w:rsidRPr="00D25F1F">
        <w:rPr>
          <w:rFonts w:ascii="Palatino Linotype" w:hAnsi="Palatino Linotype"/>
          <w:sz w:val="20"/>
          <w:szCs w:val="20"/>
        </w:rPr>
        <w:fldChar w:fldCharType="begin"/>
      </w:r>
      <w:r w:rsidR="00A0227A">
        <w:rPr>
          <w:rFonts w:ascii="Palatino Linotype" w:hAnsi="Palatino Linotype"/>
          <w:sz w:val="20"/>
          <w:szCs w:val="20"/>
        </w:rPr>
        <w:instrText xml:space="preserve"> ADDIN ZOTERO_ITEM CSL_CITATION {"citationID":"lrhiNtFi","properties":{"formattedCitation":"(Rahmayanti et al., 2023)","plainCitation":"(Rahmayanti et al., 2023)","noteIndex":0},"citationItems":[{"id":"hiqTCfwy/XKLTN7xt","uris":["http://zotero.org/users/local/Pjdjlz4D/items/CU2J996X"],"itemData":{"id":824,"type":"article-journal","container-title":"Procedia Computer Science","DOI":"10.1016/j.procs.2023.01.402","ISSN":"18770509","journalAbbreviation":"Procedia Computer Science","language":"en","page":"1200-1207","source":"DOI.org (Crossref)","title":"Caregiver Segmentation Using The Integration of The Modified Burden Dimensions and Fuzzy C-Means","volume":"219","author":[{"family":"Rahmayanti","given":"Nabillah"},{"family":"Vinarti","given":"Retno"},{"family":"Djunaidy","given":"Arif"},{"family":"Tjin","given":"Anna"},{"family":"Liu","given":"Jeng"}],"issued":{"date-parts":[["2023"]]}}}],"schema":"https://github.com/citation-style-language/schema/raw/master/csl-citation.json"} </w:instrText>
      </w:r>
      <w:r w:rsidRPr="00D25F1F">
        <w:rPr>
          <w:rFonts w:ascii="Palatino Linotype" w:hAnsi="Palatino Linotype"/>
          <w:sz w:val="20"/>
          <w:szCs w:val="20"/>
        </w:rPr>
        <w:fldChar w:fldCharType="separate"/>
      </w:r>
      <w:r w:rsidRPr="00D25F1F">
        <w:rPr>
          <w:rFonts w:ascii="Palatino Linotype" w:hAnsi="Palatino Linotype"/>
          <w:sz w:val="20"/>
          <w:szCs w:val="18"/>
        </w:rPr>
        <w:t>(</w:t>
      </w:r>
      <w:proofErr w:type="spellStart"/>
      <w:r w:rsidRPr="00D25F1F">
        <w:rPr>
          <w:rFonts w:ascii="Palatino Linotype" w:hAnsi="Palatino Linotype"/>
          <w:sz w:val="20"/>
          <w:szCs w:val="18"/>
        </w:rPr>
        <w:t>Rahmayanti</w:t>
      </w:r>
      <w:proofErr w:type="spellEnd"/>
      <w:r w:rsidRPr="00D25F1F">
        <w:rPr>
          <w:rFonts w:ascii="Palatino Linotype" w:hAnsi="Palatino Linotype"/>
          <w:sz w:val="20"/>
          <w:szCs w:val="18"/>
        </w:rPr>
        <w:t xml:space="preserve"> et al., 2023)</w:t>
      </w:r>
      <w:r w:rsidRPr="00D25F1F">
        <w:rPr>
          <w:rFonts w:ascii="Palatino Linotype" w:hAnsi="Palatino Linotype"/>
          <w:sz w:val="20"/>
          <w:szCs w:val="20"/>
        </w:rPr>
        <w:fldChar w:fldCharType="end"/>
      </w:r>
      <w:r w:rsidR="00B11C1B">
        <w:rPr>
          <w:rFonts w:ascii="Palatino Linotype" w:hAnsi="Palatino Linotype"/>
          <w:sz w:val="20"/>
          <w:szCs w:val="20"/>
        </w:rPr>
        <w:t>.</w:t>
      </w:r>
    </w:p>
    <w:p w14:paraId="2A2403D9" w14:textId="63D01DE4" w:rsidR="000720F1" w:rsidRPr="00B11C1B" w:rsidRDefault="00D25F1F" w:rsidP="00B11C1B">
      <w:pPr>
        <w:spacing w:after="0" w:line="240" w:lineRule="auto"/>
        <w:jc w:val="both"/>
        <w:rPr>
          <w:rFonts w:ascii="Palatino Linotype" w:hAnsi="Palatino Linotype"/>
          <w:sz w:val="20"/>
          <w:szCs w:val="20"/>
        </w:rPr>
      </w:pPr>
      <w:r w:rsidRPr="00D25F1F">
        <w:rPr>
          <w:rFonts w:ascii="Palatino Linotype" w:hAnsi="Palatino Linotype"/>
          <w:sz w:val="20"/>
          <w:szCs w:val="20"/>
        </w:rPr>
        <w:tab/>
        <w:t xml:space="preserve">The integration of the Jigsaw strategy influences the improvement of students' evaluation skills. In this group learning framework, students are naturally involved in assessing each group </w:t>
      </w:r>
      <w:r w:rsidRPr="00D25F1F">
        <w:rPr>
          <w:rFonts w:ascii="Palatino Linotype" w:hAnsi="Palatino Linotype"/>
          <w:sz w:val="20"/>
          <w:szCs w:val="20"/>
        </w:rPr>
        <w:lastRenderedPageBreak/>
        <w:t>member's contribution to overall understanding</w:t>
      </w:r>
      <w:r w:rsidR="00B11C1B">
        <w:rPr>
          <w:rFonts w:ascii="Palatino Linotype" w:hAnsi="Palatino Linotype"/>
          <w:sz w:val="20"/>
          <w:szCs w:val="20"/>
        </w:rPr>
        <w:t xml:space="preserve"> </w:t>
      </w:r>
      <w:r w:rsidRPr="00D25F1F">
        <w:rPr>
          <w:rFonts w:ascii="Palatino Linotype" w:hAnsi="Palatino Linotype"/>
          <w:sz w:val="20"/>
          <w:szCs w:val="20"/>
        </w:rPr>
        <w:fldChar w:fldCharType="begin"/>
      </w:r>
      <w:r w:rsidR="00A0227A">
        <w:rPr>
          <w:rFonts w:ascii="Palatino Linotype" w:hAnsi="Palatino Linotype"/>
          <w:sz w:val="20"/>
          <w:szCs w:val="20"/>
        </w:rPr>
        <w:instrText xml:space="preserve"> ADDIN ZOTERO_ITEM CSL_CITATION {"citationID":"DLjAuPG4","properties":{"formattedCitation":"(Cornide-Reyes et al., 2020)","plainCitation":"(Cornide-Reyes et al., 2020)","noteIndex":0},"citationItems":[{"id":"hiqTCfwy/CszcWj3g","uris":["http://zotero.org/users/local/Pjdjlz4D/items/YRYI7MHA"],"itemData":{"id":1165,"type":"article-journal","abstract":"While technology has helped improve process efficiency in several domains, it still has an outstanding debt to education. In this article, we introduce NAIRA, a Multimodal Learning Analytics platform that provides Real-Time Feedback to foster collaborative learning activities’ efficiency. NAIRA provides real-time visualizations for students’ verbal interactions when working in groups, allowing teachers to perform precise interventions to ensure learning activities’ correct execution. We present a case study with 24 undergraduate subjects performing a remote collaborative learning activity based on the Jigsaw learning technique within the COVID-19 pandemic context. The main goals of the study are (1) to qualitatively describe how the teacher used NAIRA’s visualizations to perform interventions and (2) to identify quantitative differences in the number and time between students’ spoken interactions among two different stages of the activity, one of them supported by NAIRA’s visualizations. The case study showed that NAIRA allowed the teacher to monitor and facilitate the learning activity’s supervised stage execution, even in a remote learning context, with students working in separate virtual classrooms with their video cameras off. The quantitative comparison of spoken interactions suggests the existence of differences in the distribution between the monitored and unmonitored stages of the activity, with a more homogeneous speaking time distribution in the NAIRA supported stage.","container-title":"Sensors","DOI":"10.3390/s20216337","ISSN":"1424-8220","issue":"21","journalAbbreviation":"Sensors","language":"en","page":"6337","source":"DOI.org (Crossref)","title":"A Multimodal Real-Time Feedback Platform Based on Spoken Interactions for Remote Active Learning Support","volume":"20","author":[{"family":"Cornide-Reyes","given":"Hector"},{"family":"Riquelme","given":"Fabián"},{"family":"Monsalves","given":"Diego"},{"family":"Noel","given":"Rene"},{"family":"Cechinel","given":"Cristian"},{"family":"Villarroel","given":"Rodolfo"},{"family":"Ponce","given":"Francisco"},{"family":"Munoz","given":"Roberto"}],"issued":{"date-parts":[["2020",11,6]]}}}],"schema":"https://github.com/citation-style-language/schema/raw/master/csl-citation.json"} </w:instrText>
      </w:r>
      <w:r w:rsidRPr="00D25F1F">
        <w:rPr>
          <w:rFonts w:ascii="Palatino Linotype" w:hAnsi="Palatino Linotype"/>
          <w:sz w:val="20"/>
          <w:szCs w:val="20"/>
        </w:rPr>
        <w:fldChar w:fldCharType="separate"/>
      </w:r>
      <w:r w:rsidRPr="00D25F1F">
        <w:rPr>
          <w:rFonts w:ascii="Palatino Linotype" w:hAnsi="Palatino Linotype"/>
          <w:sz w:val="20"/>
          <w:szCs w:val="18"/>
        </w:rPr>
        <w:t>(</w:t>
      </w:r>
      <w:proofErr w:type="spellStart"/>
      <w:r w:rsidRPr="00D25F1F">
        <w:rPr>
          <w:rFonts w:ascii="Palatino Linotype" w:hAnsi="Palatino Linotype"/>
          <w:sz w:val="20"/>
          <w:szCs w:val="18"/>
        </w:rPr>
        <w:t>Cornide</w:t>
      </w:r>
      <w:proofErr w:type="spellEnd"/>
      <w:r w:rsidRPr="00D25F1F">
        <w:rPr>
          <w:rFonts w:ascii="Palatino Linotype" w:hAnsi="Palatino Linotype"/>
          <w:sz w:val="20"/>
          <w:szCs w:val="18"/>
        </w:rPr>
        <w:t>-Reyes et al., 2020)</w:t>
      </w:r>
      <w:r w:rsidRPr="00D25F1F">
        <w:rPr>
          <w:rFonts w:ascii="Palatino Linotype" w:hAnsi="Palatino Linotype"/>
          <w:sz w:val="20"/>
          <w:szCs w:val="20"/>
        </w:rPr>
        <w:fldChar w:fldCharType="end"/>
      </w:r>
      <w:r w:rsidR="00B11C1B">
        <w:rPr>
          <w:rFonts w:ascii="Palatino Linotype" w:hAnsi="Palatino Linotype"/>
          <w:sz w:val="20"/>
          <w:szCs w:val="20"/>
        </w:rPr>
        <w:t>.</w:t>
      </w:r>
      <w:r w:rsidRPr="00D25F1F">
        <w:rPr>
          <w:rFonts w:ascii="Palatino Linotype" w:hAnsi="Palatino Linotype"/>
          <w:sz w:val="20"/>
          <w:szCs w:val="20"/>
        </w:rPr>
        <w:t xml:space="preserve"> This assessment includes not only conceptual understanding but also evaluations of presentation skills and understanding of different perspectives. The implementation of the Jigsaw strategy in Social Science learning has a positive impact on the development of students' higher-order thinking skills. Analytical, synthesis, and evaluation skills honed through this collaboration make a significant contribution to shaping students as critical, reflective learners capable of facing complex intellectual challenges</w:t>
      </w:r>
      <w:r w:rsidR="00B11C1B">
        <w:rPr>
          <w:rFonts w:ascii="Palatino Linotype" w:hAnsi="Palatino Linotype"/>
          <w:sz w:val="20"/>
          <w:szCs w:val="20"/>
        </w:rPr>
        <w:t xml:space="preserve"> </w:t>
      </w:r>
      <w:r w:rsidRPr="00D25F1F">
        <w:rPr>
          <w:rFonts w:ascii="Palatino Linotype" w:hAnsi="Palatino Linotype"/>
          <w:sz w:val="20"/>
          <w:szCs w:val="20"/>
        </w:rPr>
        <w:fldChar w:fldCharType="begin"/>
      </w:r>
      <w:r w:rsidR="00A0227A">
        <w:rPr>
          <w:rFonts w:ascii="Palatino Linotype" w:hAnsi="Palatino Linotype"/>
          <w:sz w:val="20"/>
          <w:szCs w:val="20"/>
        </w:rPr>
        <w:instrText xml:space="preserve"> ADDIN ZOTERO_ITEM CSL_CITATION {"citationID":"56AH8orP","properties":{"formattedCitation":"(Baena-Morales et al., 2020)","plainCitation":"(Baena-Morales et al., 2020)","noteIndex":0},"citationItems":[{"id":"hiqTCfwy/Ftg1foWb","uris":["http://zotero.org/users/local/Pjdjlz4D/items/SUEBWCRR"],"itemData":{"id":1163,"type":"article-journal","abstract":"The UN Sustainable Development Goals (SDG) show how education is essential for creating values in students. In particular, SDG 4 (quality education) and SDG 5 (gender equality) indicate how co-education should be a sustainable benchmark. Co-educational methodologies have been studied for decades. Among them, cooperative learning is considered a valid technique for developing social relations and competences. This study aims to describe and characterize the gender differences between university students regarding their impressions and behaviors when working cooperatively. One hundred and seventy-seven university students (98 women and 79 men), from Physical Education and Primary Education degree courses, worked with Aronson’s Jigsaw technique. After its completion, they completed a questionnaire to analyze cooperative work in higher education (ACOES). The results are organized into seven dimensions. The main gender differences found show that women gave a higher evaluation to relating cooperative learning to future teaching roles (p = 0.017) and to understanding the need for cooperative tasks (p = 0.035). Additionally, female students prefer groups to be organized according to academic criteria and that they should remain stable throughout the academic period. Both genders value Aronson’s Jigsaw as a good method for developing social competences, although they are more neutral when considering it effective at improving academic performance. These findings help to generate a gender-cooperation profile that will enable future research to discuss results more accurately.","container-title":"Sustainability","DOI":"10.3390/su12219292","ISSN":"2071-1050","issue":"21","journalAbbreviation":"Sustainability","language":"en","page":"9292","source":"DOI.org (Crossref)","title":"The Use of a Cooperative-Learning Activity with University Students: A Gender Experience","title-short":"The Use of a Cooperative-Learning Activity with University Students","volume":"12","author":[{"family":"Baena-Morales","given":"Salvador"},{"family":"Jerez-Mayorga","given":"Daniel"},{"family":"Fernández-González","given":"Francisco Tomás"},{"family":"López-Morales","given":"Juan"}],"issued":{"date-parts":[["2020",11,9]]}}}],"schema":"https://github.com/citation-style-language/schema/raw/master/csl-citation.json"} </w:instrText>
      </w:r>
      <w:r w:rsidRPr="00D25F1F">
        <w:rPr>
          <w:rFonts w:ascii="Palatino Linotype" w:hAnsi="Palatino Linotype"/>
          <w:sz w:val="20"/>
          <w:szCs w:val="20"/>
        </w:rPr>
        <w:fldChar w:fldCharType="separate"/>
      </w:r>
      <w:r w:rsidRPr="00D25F1F">
        <w:rPr>
          <w:rFonts w:ascii="Palatino Linotype" w:hAnsi="Palatino Linotype"/>
          <w:sz w:val="20"/>
          <w:szCs w:val="18"/>
        </w:rPr>
        <w:t>(Baena-Morales et al., 2020)</w:t>
      </w:r>
      <w:r w:rsidRPr="00D25F1F">
        <w:rPr>
          <w:rFonts w:ascii="Palatino Linotype" w:hAnsi="Palatino Linotype"/>
          <w:sz w:val="20"/>
          <w:szCs w:val="20"/>
        </w:rPr>
        <w:fldChar w:fldCharType="end"/>
      </w:r>
      <w:r w:rsidR="00B11C1B">
        <w:rPr>
          <w:rFonts w:ascii="Palatino Linotype" w:hAnsi="Palatino Linotype"/>
          <w:sz w:val="20"/>
          <w:szCs w:val="20"/>
        </w:rPr>
        <w:t>.</w:t>
      </w:r>
      <w:r w:rsidR="00431018">
        <w:rPr>
          <w:rFonts w:ascii="Palatino Linotype" w:hAnsi="Palatino Linotype"/>
          <w:sz w:val="20"/>
          <w:szCs w:val="20"/>
        </w:rPr>
        <w:t xml:space="preserve"> </w:t>
      </w:r>
      <w:r w:rsidRPr="00D25F1F">
        <w:rPr>
          <w:rFonts w:ascii="Palatino Linotype" w:hAnsi="Palatino Linotype"/>
          <w:sz w:val="20"/>
          <w:szCs w:val="20"/>
        </w:rPr>
        <w:t>The alignment between Jigsaw implementation steps and the characteristics of Social Science material creates a relevant learning context that supports students' conceptual understanding</w:t>
      </w:r>
      <w:r w:rsidR="00B11C1B">
        <w:rPr>
          <w:rFonts w:ascii="Palatino Linotype" w:hAnsi="Palatino Linotype"/>
          <w:sz w:val="20"/>
          <w:szCs w:val="20"/>
        </w:rPr>
        <w:t xml:space="preserve"> </w:t>
      </w:r>
      <w:r w:rsidRPr="00D25F1F">
        <w:rPr>
          <w:rFonts w:ascii="Palatino Linotype" w:hAnsi="Palatino Linotype"/>
          <w:sz w:val="20"/>
          <w:szCs w:val="20"/>
        </w:rPr>
        <w:fldChar w:fldCharType="begin"/>
      </w:r>
      <w:r w:rsidR="00A0227A">
        <w:rPr>
          <w:rFonts w:ascii="Palatino Linotype" w:hAnsi="Palatino Linotype"/>
          <w:sz w:val="20"/>
          <w:szCs w:val="20"/>
        </w:rPr>
        <w:instrText xml:space="preserve"> ADDIN ZOTERO_ITEM CSL_CITATION {"citationID":"ZfTdyd6e","properties":{"formattedCitation":"(Camerer et al., 2018)","plainCitation":"(Camerer et al., 2018)","noteIndex":0},"citationItems":[{"id":"hiqTCfwy/X1I2jOlk","uris":["http://zotero.org/users/local/Pjdjlz4D/items/KWMLQLP5"],"itemData":{"id":1061,"type":"article-journal","container-title":"Nature Human Behaviour","DOI":"10.1038/s41562-018-0399-z","ISSN":"2397-3374","issue":"9","journalAbbreviation":"Nat Hum Behav","language":"en","page":"637-644","source":"DOI.org (Crossref)","title":"Evaluating the replicability of social science experiments in Nature and Science between 2010 and 2015","volume":"2","author":[{"family":"Camerer","given":"Colin F."},{"family":"Dreber","given":"Anna"},{"family":"Holzmeister","given":"Felix"},{"family":"Ho","given":"Teck-Hua"},{"family":"Huber","given":"Jürgen"},{"family":"Johannesson","given":"Magnus"},{"family":"Kirchler","given":"Michael"},{"family":"Nave","given":"Gideon"},{"family":"Nosek","given":"Brian A."},{"family":"Pfeiffer","given":"Thomas"},{"family":"Altmejd","given":"Adam"},{"family":"Buttrick","given":"Nick"},{"family":"Chan","given":"Taizan"},{"family":"Chen","given":"Yiling"},{"family":"Forsell","given":"Eskil"},{"family":"Gampa","given":"Anup"},{"family":"Heikensten","given":"Emma"},{"family":"Hummer","given":"Lily"},{"family":"Imai","given":"Taisuke"},{"family":"Isaksson","given":"Siri"},{"family":"Manfredi","given":"Dylan"},{"family":"Rose","given":"Julia"},{"family":"Wagenmakers","given":"Eric-Jan"},{"family":"Wu","given":"Hang"}],"issued":{"date-parts":[["2018",8,27]]}}}],"schema":"https://github.com/citation-style-language/schema/raw/master/csl-citation.json"} </w:instrText>
      </w:r>
      <w:r w:rsidRPr="00D25F1F">
        <w:rPr>
          <w:rFonts w:ascii="Palatino Linotype" w:hAnsi="Palatino Linotype"/>
          <w:sz w:val="20"/>
          <w:szCs w:val="20"/>
        </w:rPr>
        <w:fldChar w:fldCharType="separate"/>
      </w:r>
      <w:r w:rsidRPr="00D25F1F">
        <w:rPr>
          <w:rFonts w:ascii="Palatino Linotype" w:hAnsi="Palatino Linotype"/>
          <w:sz w:val="20"/>
          <w:szCs w:val="18"/>
        </w:rPr>
        <w:t>(Camerer et al., 2018)</w:t>
      </w:r>
      <w:r w:rsidRPr="00D25F1F">
        <w:rPr>
          <w:rFonts w:ascii="Palatino Linotype" w:hAnsi="Palatino Linotype"/>
          <w:sz w:val="20"/>
          <w:szCs w:val="20"/>
        </w:rPr>
        <w:fldChar w:fldCharType="end"/>
      </w:r>
      <w:r w:rsidR="00B11C1B">
        <w:rPr>
          <w:rFonts w:ascii="Palatino Linotype" w:hAnsi="Palatino Linotype"/>
          <w:sz w:val="20"/>
          <w:szCs w:val="20"/>
        </w:rPr>
        <w:t>.</w:t>
      </w:r>
      <w:r w:rsidRPr="00D25F1F">
        <w:rPr>
          <w:rFonts w:ascii="Palatino Linotype" w:hAnsi="Palatino Linotype"/>
          <w:sz w:val="20"/>
          <w:szCs w:val="20"/>
        </w:rPr>
        <w:t xml:space="preserve"> The positive impact of the Jigsaw strategy integration is not limited to conceptual understanding but also involves the enhancement of students' higher-order thinking skills (HOTS). Through collaboration and interaction among students, the Jigsaw strategy stimulates the development of analytical, synthesis, and evaluation skills</w:t>
      </w:r>
      <w:r w:rsidR="00431018">
        <w:rPr>
          <w:rFonts w:ascii="Palatino Linotype" w:hAnsi="Palatino Linotype"/>
          <w:sz w:val="20"/>
          <w:szCs w:val="20"/>
        </w:rPr>
        <w:t xml:space="preserve"> </w:t>
      </w:r>
      <w:r w:rsidR="00431018">
        <w:rPr>
          <w:rFonts w:ascii="Palatino Linotype" w:hAnsi="Palatino Linotype"/>
          <w:sz w:val="20"/>
          <w:szCs w:val="20"/>
        </w:rPr>
        <w:fldChar w:fldCharType="begin"/>
      </w:r>
      <w:r w:rsidR="00431018">
        <w:rPr>
          <w:rFonts w:ascii="Palatino Linotype" w:hAnsi="Palatino Linotype"/>
          <w:sz w:val="20"/>
          <w:szCs w:val="20"/>
        </w:rPr>
        <w:instrText xml:space="preserve"> ADDIN ZOTERO_ITEM CSL_CITATION {"citationID":"3tuDFzNB","properties":{"formattedCitation":"(Limniou et al., 2018)","plainCitation":"(Limniou et al., 2018)","noteIndex":0},"citationItems":[{"id":801,"uris":["http://zotero.org/users/local/Wqqix2jN/items/NBLGNPHD"],"itemData":{"id":801,"type":"article-journal","container-title":"Education and Information Technologies","DOI":"10.1007/s10639-017-9636-8","ISSN":"1360-2357, 1573-7608","issue":"2","journalAbbreviation":"Educ Inf Technol","language":"en","page":"797-817","source":"DOI.org (Crossref)","title":"Traditional and flipped classroom approaches delivered by two different teachers: the student perspective","title-short":"Traditional and flipped classroom approaches delivered by two different teachers","volume":"23","author":[{"family":"Limniou","given":"Maria"},{"family":"Schermbrucker","given":"Ian"},{"family":"Lyons","given":"Minna"}],"issued":{"date-parts":[["2018",3]]}}}],"schema":"https://github.com/citation-style-language/schema/raw/master/csl-citation.json"} </w:instrText>
      </w:r>
      <w:r w:rsidR="00431018">
        <w:rPr>
          <w:rFonts w:ascii="Palatino Linotype" w:hAnsi="Palatino Linotype"/>
          <w:sz w:val="20"/>
          <w:szCs w:val="20"/>
        </w:rPr>
        <w:fldChar w:fldCharType="separate"/>
      </w:r>
      <w:r w:rsidR="00431018" w:rsidRPr="00431018">
        <w:rPr>
          <w:rFonts w:ascii="Palatino Linotype" w:hAnsi="Palatino Linotype"/>
          <w:sz w:val="20"/>
        </w:rPr>
        <w:t>(</w:t>
      </w:r>
      <w:proofErr w:type="spellStart"/>
      <w:r w:rsidR="00431018" w:rsidRPr="00431018">
        <w:rPr>
          <w:rFonts w:ascii="Palatino Linotype" w:hAnsi="Palatino Linotype"/>
          <w:sz w:val="20"/>
        </w:rPr>
        <w:t>Limniou</w:t>
      </w:r>
      <w:proofErr w:type="spellEnd"/>
      <w:r w:rsidR="00431018" w:rsidRPr="00431018">
        <w:rPr>
          <w:rFonts w:ascii="Palatino Linotype" w:hAnsi="Palatino Linotype"/>
          <w:sz w:val="20"/>
        </w:rPr>
        <w:t xml:space="preserve"> et al., 2018)</w:t>
      </w:r>
      <w:r w:rsidR="00431018">
        <w:rPr>
          <w:rFonts w:ascii="Palatino Linotype" w:hAnsi="Palatino Linotype"/>
          <w:sz w:val="20"/>
          <w:szCs w:val="20"/>
        </w:rPr>
        <w:fldChar w:fldCharType="end"/>
      </w:r>
      <w:r w:rsidRPr="00D25F1F">
        <w:rPr>
          <w:rFonts w:ascii="Palatino Linotype" w:hAnsi="Palatino Linotype"/>
          <w:sz w:val="20"/>
          <w:szCs w:val="20"/>
        </w:rPr>
        <w:t>, opening opportunities for holistic learning goal achievement</w:t>
      </w:r>
      <w:r w:rsidR="00B11C1B">
        <w:rPr>
          <w:rFonts w:ascii="Palatino Linotype" w:hAnsi="Palatino Linotype"/>
          <w:sz w:val="20"/>
          <w:szCs w:val="20"/>
        </w:rPr>
        <w:t xml:space="preserve"> </w:t>
      </w:r>
      <w:r w:rsidRPr="00D25F1F">
        <w:rPr>
          <w:rFonts w:ascii="Palatino Linotype" w:hAnsi="Palatino Linotype"/>
          <w:sz w:val="20"/>
          <w:szCs w:val="20"/>
        </w:rPr>
        <w:fldChar w:fldCharType="begin"/>
      </w:r>
      <w:r w:rsidR="00A0227A">
        <w:rPr>
          <w:rFonts w:ascii="Palatino Linotype" w:hAnsi="Palatino Linotype"/>
          <w:sz w:val="20"/>
          <w:szCs w:val="20"/>
        </w:rPr>
        <w:instrText xml:space="preserve"> ADDIN ZOTERO_ITEM CSL_CITATION {"citationID":"pQVmEvcR","properties":{"formattedCitation":"(Yoshida, 2018)","plainCitation":"(Yoshida, 2018)","noteIndex":0},"citationItems":[{"id":"hiqTCfwy/wCwLOWi4","uris":["http://zotero.org/users/local/Pjdjlz4D/items/XZTGXGXL"],"itemData":{"id":1167,"type":"article-journal","abstract":"This study examined the Communication Jigsaw as a novel, applied jigsaw strategy aimed to extend scholarly communication between university students. As the defining characteristic of the Communication Jigsaw, writing sheets were used as resources for reports and discussions. This documentation method enabled students to access all reports. In addition, a comment session was introduced to provide educational access to all subtopics. Contents were entrusted to each student and a student’s actuation for self-directed, deep learning appeared in the quality of their comments and their selection of reports for comment. All reports and commenting activities were facilitated by e-Learning technologies and monitored. Then, collected data were analyzed using social graphs. \r\nThis study revealed that the comment session nurtured critical competencies toward applying acquired knowledge and finding information. Additionally, the Communication Jigsaw enabled the identification of outstanding performances among students and their connections. The Communication Jigsaw facilitated finding and analyzing the process of forming academic hubs and cliques within the scholarly community. The distribution spectrum of connections in the comment section did not conform to Gaussian distribution principles but rather the distinct distribution pattern characteristic of social communication. Taken together, this study showed a concrete example of lesson design and evaluation method to be adaptable to the flat world communication.","container-title":"International Journal of Emerging Technologies in Learning (iJET)","DOI":"10.3991/ijet.v13i10.8850","ISSN":"1863-0383","issue":"10","journalAbbreviation":"Int. J. Emerg. Technol. Learn.","page":"208","source":"DOI.org (Crossref)","title":"Communication Jigsaw: A Teaching Method that Promotes Scholarly Communication","title-short":"Communication Jigsaw","volume":"13","author":[{"family":"Yoshida","given":"Masami"}],"issued":{"date-parts":[["2018",10,26]]}}}],"schema":"https://github.com/citation-style-language/schema/raw/master/csl-citation.json"} </w:instrText>
      </w:r>
      <w:r w:rsidRPr="00D25F1F">
        <w:rPr>
          <w:rFonts w:ascii="Palatino Linotype" w:hAnsi="Palatino Linotype"/>
          <w:sz w:val="20"/>
          <w:szCs w:val="20"/>
        </w:rPr>
        <w:fldChar w:fldCharType="separate"/>
      </w:r>
      <w:r w:rsidRPr="00D25F1F">
        <w:rPr>
          <w:rFonts w:ascii="Palatino Linotype" w:hAnsi="Palatino Linotype"/>
          <w:sz w:val="20"/>
          <w:szCs w:val="18"/>
        </w:rPr>
        <w:t>(Yoshida, 2018)</w:t>
      </w:r>
      <w:r w:rsidRPr="00D25F1F">
        <w:rPr>
          <w:rFonts w:ascii="Palatino Linotype" w:hAnsi="Palatino Linotype"/>
          <w:sz w:val="20"/>
          <w:szCs w:val="20"/>
        </w:rPr>
        <w:fldChar w:fldCharType="end"/>
      </w:r>
      <w:r w:rsidR="00B11C1B">
        <w:rPr>
          <w:rFonts w:ascii="Palatino Linotype" w:hAnsi="Palatino Linotype"/>
          <w:sz w:val="20"/>
          <w:szCs w:val="20"/>
        </w:rPr>
        <w:t>.</w:t>
      </w:r>
      <w:r w:rsidRPr="00D25F1F">
        <w:rPr>
          <w:rFonts w:ascii="Palatino Linotype" w:hAnsi="Palatino Linotype"/>
          <w:sz w:val="20"/>
          <w:szCs w:val="20"/>
        </w:rPr>
        <w:t xml:space="preserve"> Careful integration between the learning strategy and Social Science teaching material provides a solid foundation for student progress. The use of the Jigsaw strategy in Social Science learning can make a significant contribution to students' conceptual understanding and the development of higher-order thinking skills, creating a dynamic and effective learning environment.</w:t>
      </w:r>
    </w:p>
    <w:p w14:paraId="2E398EB3" w14:textId="77777777" w:rsidR="005B5AEC" w:rsidRPr="00723B12" w:rsidRDefault="005B5AEC" w:rsidP="002A02C2">
      <w:pPr>
        <w:pStyle w:val="Alishlah21heading1"/>
        <w:rPr>
          <w:rFonts w:eastAsia="Arial"/>
        </w:rPr>
      </w:pPr>
      <w:r w:rsidRPr="00723B12">
        <w:rPr>
          <w:rFonts w:eastAsia="Arial"/>
        </w:rPr>
        <w:t xml:space="preserve">CONCLUSION </w:t>
      </w:r>
    </w:p>
    <w:p w14:paraId="26CDAE60" w14:textId="1F819AD5" w:rsidR="00A0227A" w:rsidRDefault="00A0227A" w:rsidP="00A0227A">
      <w:pPr>
        <w:pStyle w:val="Alishlah31text"/>
      </w:pPr>
      <w:r>
        <w:t xml:space="preserve">The conclusion of this research indicates that the implementation of the Jigsaw learning strategy has a significant impact on improving student learning outcomes in Social Studies for eighth-grade students at MTSS </w:t>
      </w:r>
      <w:proofErr w:type="spellStart"/>
      <w:r>
        <w:t>Ashhabul</w:t>
      </w:r>
      <w:proofErr w:type="spellEnd"/>
      <w:r>
        <w:t xml:space="preserve"> Yamin </w:t>
      </w:r>
      <w:proofErr w:type="spellStart"/>
      <w:r>
        <w:t>Lasi</w:t>
      </w:r>
      <w:proofErr w:type="spellEnd"/>
      <w:r>
        <w:t>. Pretest data showed an initial difference between the experimental and control classes, with an average pretest score of 60.44 for the experimental class and 68.26 for the control class. However, after the application of the Jigsaw strategy, a significant improvement was observed in the posttest results, with the experimental class achieving an average score of 84.89, compared to only 71.07 in the control class. This suggests that the Jigsaw strategy provides an advantage in helping students better master the subject matter compared to conventional teaching methods. Through this approach, students are not passively receiving knowledge but are actively involved in the learning process, both by individually deepening their understanding of the material and by participating in group discussions. The responsibility given to each student to master and teach a specific portion of the material strengthens individual comprehension and social skills. This collaborative learning environment fosters more dynamic interactions, where students can share their understanding, ask questions, and assess each other, making the learning process richer and more meaningful.</w:t>
      </w:r>
    </w:p>
    <w:p w14:paraId="63A4163A" w14:textId="311D419E" w:rsidR="00A0227A" w:rsidRDefault="00A0227A" w:rsidP="00AE1C5B">
      <w:pPr>
        <w:pStyle w:val="Alishlah31text"/>
      </w:pPr>
      <w:r>
        <w:t xml:space="preserve">The </w:t>
      </w:r>
      <w:r>
        <w:t>impact on academic achievement, the Jigsaw strategy has also proven to significantly enhance students’ Higher Order Thinking Skills (HOTS). Statistical analysis shows that the calculated t-value of 0.744 with a degree of freedom (</w:t>
      </w:r>
      <w:proofErr w:type="spellStart"/>
      <w:r>
        <w:t>df</w:t>
      </w:r>
      <w:proofErr w:type="spellEnd"/>
      <w:r>
        <w:t xml:space="preserve">) = 54 is smaller than the t-table value of 1.673, indicating a significant difference. This improvement in HOTS is marked by students' increased ability to think analytically, critically evaluate information, and generate creative solutions to the problems they face. The collaborative group process not only encourages mastery of concepts but also challenges students to view problems from different perspectives. This stimulates deeper and more critical thinking, which is essential for addressing real-world challenges. Thus, the implementation of the Jigsaw strategy not only improves academic achievement but also equips students with vital critical thinking and collaborative skills. This conclusion encourages schools and educational institutions to consider adopting this learning model more broadly across various subjects to enhance learning quality and student competencies. </w:t>
      </w:r>
      <w:r w:rsidR="004E46F9">
        <w:t>T</w:t>
      </w:r>
      <w:r>
        <w:t xml:space="preserve">his research </w:t>
      </w:r>
      <w:proofErr w:type="gramStart"/>
      <w:r>
        <w:t>are</w:t>
      </w:r>
      <w:proofErr w:type="gramEnd"/>
      <w:r>
        <w:t xml:space="preserve"> expected to serve as a reference for policymakers in education, school principals, teachers, and future researchers in their efforts to improve the quality of education in Indonesia.</w:t>
      </w:r>
    </w:p>
    <w:p w14:paraId="7CBEAC1F" w14:textId="77777777" w:rsidR="003B06AC" w:rsidRPr="00AE1C5B" w:rsidRDefault="003B06AC" w:rsidP="00AE1C5B">
      <w:pPr>
        <w:pStyle w:val="Alishlah31text"/>
      </w:pPr>
    </w:p>
    <w:p w14:paraId="2600C695" w14:textId="460C5EF7" w:rsidR="005B5AEC" w:rsidRDefault="005B5AEC" w:rsidP="002A02C2">
      <w:pPr>
        <w:pStyle w:val="Alishlah21heading1"/>
        <w:numPr>
          <w:ilvl w:val="0"/>
          <w:numId w:val="0"/>
        </w:numPr>
        <w:rPr>
          <w:rFonts w:eastAsia="Arial"/>
        </w:rPr>
      </w:pPr>
      <w:r w:rsidRPr="00723B12">
        <w:rPr>
          <w:rFonts w:eastAsia="Arial"/>
        </w:rPr>
        <w:lastRenderedPageBreak/>
        <w:t>REFERENCES</w:t>
      </w:r>
    </w:p>
    <w:p w14:paraId="177DF0CB" w14:textId="77777777" w:rsidR="00431018" w:rsidRPr="00431018" w:rsidRDefault="00AE1C5B" w:rsidP="00431018">
      <w:pPr>
        <w:pStyle w:val="Bibliography"/>
        <w:spacing w:line="240" w:lineRule="auto"/>
        <w:jc w:val="both"/>
        <w:rPr>
          <w:rFonts w:ascii="Palatino Linotype" w:hAnsi="Palatino Linotype"/>
          <w:sz w:val="20"/>
        </w:rPr>
      </w:pPr>
      <w:r>
        <w:fldChar w:fldCharType="begin"/>
      </w:r>
      <w:r>
        <w:instrText xml:space="preserve"> ADDIN ZOTERO_BIBL {"uncited":[],"omitted":[],"custom":[]} CSL_BIBLIOGRAPHY </w:instrText>
      </w:r>
      <w:r>
        <w:fldChar w:fldCharType="separate"/>
      </w:r>
      <w:r w:rsidR="00431018" w:rsidRPr="00431018">
        <w:rPr>
          <w:rFonts w:ascii="Palatino Linotype" w:hAnsi="Palatino Linotype"/>
          <w:sz w:val="20"/>
        </w:rPr>
        <w:t xml:space="preserve">Abdullah, A. H., Mokhtar, M., Abd Halim, N. D., Ali, D. F., Mohd Tahir, L., &amp; Abdul Kohar, U. H. (2016). Mathematics Teachers’ Level of Knowledge and Practice on the Implementation of Higher-Order Thinking Skills (HOTS). </w:t>
      </w:r>
      <w:r w:rsidR="00431018" w:rsidRPr="00431018">
        <w:rPr>
          <w:rFonts w:ascii="Palatino Linotype" w:hAnsi="Palatino Linotype"/>
          <w:i/>
          <w:iCs/>
          <w:sz w:val="20"/>
        </w:rPr>
        <w:t>EURASIA Journal of Mathematics, Science and Technology Education</w:t>
      </w:r>
      <w:r w:rsidR="00431018" w:rsidRPr="00431018">
        <w:rPr>
          <w:rFonts w:ascii="Palatino Linotype" w:hAnsi="Palatino Linotype"/>
          <w:sz w:val="20"/>
        </w:rPr>
        <w:t xml:space="preserve">, </w:t>
      </w:r>
      <w:r w:rsidR="00431018" w:rsidRPr="00431018">
        <w:rPr>
          <w:rFonts w:ascii="Palatino Linotype" w:hAnsi="Palatino Linotype"/>
          <w:i/>
          <w:iCs/>
          <w:sz w:val="20"/>
        </w:rPr>
        <w:t>13</w:t>
      </w:r>
      <w:r w:rsidR="00431018" w:rsidRPr="00431018">
        <w:rPr>
          <w:rFonts w:ascii="Palatino Linotype" w:hAnsi="Palatino Linotype"/>
          <w:sz w:val="20"/>
        </w:rPr>
        <w:t>(1). https://doi.org/10.12973/eurasia.2017.00601a</w:t>
      </w:r>
    </w:p>
    <w:p w14:paraId="558B54EA"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Baena-Morales, S., Jerez-Mayorga, D., Fernández-González, F. T., &amp; López-Morales, J. (2020). The Use of a Cooperative-Learning Activity with University Students: A Gender Experience. </w:t>
      </w:r>
      <w:r w:rsidRPr="00431018">
        <w:rPr>
          <w:rFonts w:ascii="Palatino Linotype" w:hAnsi="Palatino Linotype"/>
          <w:i/>
          <w:iCs/>
          <w:sz w:val="20"/>
        </w:rPr>
        <w:t>Sustainability</w:t>
      </w:r>
      <w:r w:rsidRPr="00431018">
        <w:rPr>
          <w:rFonts w:ascii="Palatino Linotype" w:hAnsi="Palatino Linotype"/>
          <w:sz w:val="20"/>
        </w:rPr>
        <w:t xml:space="preserve">, </w:t>
      </w:r>
      <w:r w:rsidRPr="00431018">
        <w:rPr>
          <w:rFonts w:ascii="Palatino Linotype" w:hAnsi="Palatino Linotype"/>
          <w:i/>
          <w:iCs/>
          <w:sz w:val="20"/>
        </w:rPr>
        <w:t>12</w:t>
      </w:r>
      <w:r w:rsidRPr="00431018">
        <w:rPr>
          <w:rFonts w:ascii="Palatino Linotype" w:hAnsi="Palatino Linotype"/>
          <w:sz w:val="20"/>
        </w:rPr>
        <w:t>(21), 9292. https://doi.org/10.3390/su12219292</w:t>
      </w:r>
    </w:p>
    <w:p w14:paraId="5D45858C"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Bhebhe, N., Williams, P. A. C., Rosales-Guzmán, C., Rodriguez-Fajardo, V., &amp; Forbes, A. (2018). A vector holographic optical trap. </w:t>
      </w:r>
      <w:r w:rsidRPr="00431018">
        <w:rPr>
          <w:rFonts w:ascii="Palatino Linotype" w:hAnsi="Palatino Linotype"/>
          <w:i/>
          <w:iCs/>
          <w:sz w:val="20"/>
        </w:rPr>
        <w:t>Scientific Reports</w:t>
      </w:r>
      <w:r w:rsidRPr="00431018">
        <w:rPr>
          <w:rFonts w:ascii="Palatino Linotype" w:hAnsi="Palatino Linotype"/>
          <w:sz w:val="20"/>
        </w:rPr>
        <w:t xml:space="preserve">, </w:t>
      </w:r>
      <w:r w:rsidRPr="00431018">
        <w:rPr>
          <w:rFonts w:ascii="Palatino Linotype" w:hAnsi="Palatino Linotype"/>
          <w:i/>
          <w:iCs/>
          <w:sz w:val="20"/>
        </w:rPr>
        <w:t>8</w:t>
      </w:r>
      <w:r w:rsidRPr="00431018">
        <w:rPr>
          <w:rFonts w:ascii="Palatino Linotype" w:hAnsi="Palatino Linotype"/>
          <w:sz w:val="20"/>
        </w:rPr>
        <w:t>(1), 17387. https://doi.org/10.1038/s41598-018-35889-0</w:t>
      </w:r>
    </w:p>
    <w:p w14:paraId="4F214551"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Binti </w:t>
      </w:r>
      <w:proofErr w:type="spellStart"/>
      <w:r w:rsidRPr="00431018">
        <w:rPr>
          <w:rFonts w:ascii="Palatino Linotype" w:hAnsi="Palatino Linotype"/>
          <w:sz w:val="20"/>
        </w:rPr>
        <w:t>Misrom</w:t>
      </w:r>
      <w:proofErr w:type="spellEnd"/>
      <w:r w:rsidRPr="00431018">
        <w:rPr>
          <w:rFonts w:ascii="Palatino Linotype" w:hAnsi="Palatino Linotype"/>
          <w:sz w:val="20"/>
        </w:rPr>
        <w:t xml:space="preserve">, N. S., Muhammad, A. S., Abdullah, A. H., Osman, S., Hamzah, M. H., &amp; </w:t>
      </w:r>
      <w:proofErr w:type="spellStart"/>
      <w:r w:rsidRPr="00431018">
        <w:rPr>
          <w:rFonts w:ascii="Palatino Linotype" w:hAnsi="Palatino Linotype"/>
          <w:sz w:val="20"/>
        </w:rPr>
        <w:t>Fauzan</w:t>
      </w:r>
      <w:proofErr w:type="spellEnd"/>
      <w:r w:rsidRPr="00431018">
        <w:rPr>
          <w:rFonts w:ascii="Palatino Linotype" w:hAnsi="Palatino Linotype"/>
          <w:sz w:val="20"/>
        </w:rPr>
        <w:t xml:space="preserve">, A. (2020). Enhancing Students’ Higher-Order Thinking Skills (HOTS) Through an Inductive Reasoning Strategy Using </w:t>
      </w:r>
      <w:proofErr w:type="spellStart"/>
      <w:r w:rsidRPr="00431018">
        <w:rPr>
          <w:rFonts w:ascii="Palatino Linotype" w:hAnsi="Palatino Linotype"/>
          <w:sz w:val="20"/>
        </w:rPr>
        <w:t>Geogebra</w:t>
      </w:r>
      <w:proofErr w:type="spellEnd"/>
      <w:r w:rsidRPr="00431018">
        <w:rPr>
          <w:rFonts w:ascii="Palatino Linotype" w:hAnsi="Palatino Linotype"/>
          <w:sz w:val="20"/>
        </w:rPr>
        <w:t xml:space="preserve">. </w:t>
      </w:r>
      <w:r w:rsidRPr="00431018">
        <w:rPr>
          <w:rFonts w:ascii="Palatino Linotype" w:hAnsi="Palatino Linotype"/>
          <w:i/>
          <w:iCs/>
          <w:sz w:val="20"/>
        </w:rPr>
        <w:t>International Journal of Emerging Technologies in Learning (</w:t>
      </w:r>
      <w:proofErr w:type="spellStart"/>
      <w:r w:rsidRPr="00431018">
        <w:rPr>
          <w:rFonts w:ascii="Palatino Linotype" w:hAnsi="Palatino Linotype"/>
          <w:i/>
          <w:iCs/>
          <w:sz w:val="20"/>
        </w:rPr>
        <w:t>iJET</w:t>
      </w:r>
      <w:proofErr w:type="spellEnd"/>
      <w:r w:rsidRPr="00431018">
        <w:rPr>
          <w:rFonts w:ascii="Palatino Linotype" w:hAnsi="Palatino Linotype"/>
          <w:i/>
          <w:iCs/>
          <w:sz w:val="20"/>
        </w:rPr>
        <w:t>)</w:t>
      </w:r>
      <w:r w:rsidRPr="00431018">
        <w:rPr>
          <w:rFonts w:ascii="Palatino Linotype" w:hAnsi="Palatino Linotype"/>
          <w:sz w:val="20"/>
        </w:rPr>
        <w:t xml:space="preserve">, </w:t>
      </w:r>
      <w:r w:rsidRPr="00431018">
        <w:rPr>
          <w:rFonts w:ascii="Palatino Linotype" w:hAnsi="Palatino Linotype"/>
          <w:i/>
          <w:iCs/>
          <w:sz w:val="20"/>
        </w:rPr>
        <w:t>15</w:t>
      </w:r>
      <w:r w:rsidRPr="00431018">
        <w:rPr>
          <w:rFonts w:ascii="Palatino Linotype" w:hAnsi="Palatino Linotype"/>
          <w:sz w:val="20"/>
        </w:rPr>
        <w:t>(03), 156. https://doi.org/10.3991/ijet.v15i03.9839</w:t>
      </w:r>
    </w:p>
    <w:p w14:paraId="4A6D1F20"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Camerer, C. F., </w:t>
      </w:r>
      <w:proofErr w:type="spellStart"/>
      <w:r w:rsidRPr="00431018">
        <w:rPr>
          <w:rFonts w:ascii="Palatino Linotype" w:hAnsi="Palatino Linotype"/>
          <w:sz w:val="20"/>
        </w:rPr>
        <w:t>Dreber</w:t>
      </w:r>
      <w:proofErr w:type="spellEnd"/>
      <w:r w:rsidRPr="00431018">
        <w:rPr>
          <w:rFonts w:ascii="Palatino Linotype" w:hAnsi="Palatino Linotype"/>
          <w:sz w:val="20"/>
        </w:rPr>
        <w:t xml:space="preserve">, A., Holzmeister, F., Ho, T.-H., Huber, J., Johannesson, M., </w:t>
      </w:r>
      <w:proofErr w:type="spellStart"/>
      <w:r w:rsidRPr="00431018">
        <w:rPr>
          <w:rFonts w:ascii="Palatino Linotype" w:hAnsi="Palatino Linotype"/>
          <w:sz w:val="20"/>
        </w:rPr>
        <w:t>Kirchler</w:t>
      </w:r>
      <w:proofErr w:type="spellEnd"/>
      <w:r w:rsidRPr="00431018">
        <w:rPr>
          <w:rFonts w:ascii="Palatino Linotype" w:hAnsi="Palatino Linotype"/>
          <w:sz w:val="20"/>
        </w:rPr>
        <w:t xml:space="preserve">, M., Nave, G., Nosek, B. A., Pfeiffer, T., </w:t>
      </w:r>
      <w:proofErr w:type="spellStart"/>
      <w:r w:rsidRPr="00431018">
        <w:rPr>
          <w:rFonts w:ascii="Palatino Linotype" w:hAnsi="Palatino Linotype"/>
          <w:sz w:val="20"/>
        </w:rPr>
        <w:t>Altmejd</w:t>
      </w:r>
      <w:proofErr w:type="spellEnd"/>
      <w:r w:rsidRPr="00431018">
        <w:rPr>
          <w:rFonts w:ascii="Palatino Linotype" w:hAnsi="Palatino Linotype"/>
          <w:sz w:val="20"/>
        </w:rPr>
        <w:t xml:space="preserve">, A., Buttrick, N., Chan, T., Chen, Y., Forsell, E., </w:t>
      </w:r>
      <w:proofErr w:type="spellStart"/>
      <w:r w:rsidRPr="00431018">
        <w:rPr>
          <w:rFonts w:ascii="Palatino Linotype" w:hAnsi="Palatino Linotype"/>
          <w:sz w:val="20"/>
        </w:rPr>
        <w:t>Gampa</w:t>
      </w:r>
      <w:proofErr w:type="spellEnd"/>
      <w:r w:rsidRPr="00431018">
        <w:rPr>
          <w:rFonts w:ascii="Palatino Linotype" w:hAnsi="Palatino Linotype"/>
          <w:sz w:val="20"/>
        </w:rPr>
        <w:t xml:space="preserve">, A., </w:t>
      </w:r>
      <w:proofErr w:type="spellStart"/>
      <w:r w:rsidRPr="00431018">
        <w:rPr>
          <w:rFonts w:ascii="Palatino Linotype" w:hAnsi="Palatino Linotype"/>
          <w:sz w:val="20"/>
        </w:rPr>
        <w:t>Heikensten</w:t>
      </w:r>
      <w:proofErr w:type="spellEnd"/>
      <w:r w:rsidRPr="00431018">
        <w:rPr>
          <w:rFonts w:ascii="Palatino Linotype" w:hAnsi="Palatino Linotype"/>
          <w:sz w:val="20"/>
        </w:rPr>
        <w:t xml:space="preserve">, E., Hummer, L., Imai, T., … Wu, H. (2018). Evaluating the replicability of social science experiments in Nature and Science between 2010 and 2015. </w:t>
      </w:r>
      <w:r w:rsidRPr="00431018">
        <w:rPr>
          <w:rFonts w:ascii="Palatino Linotype" w:hAnsi="Palatino Linotype"/>
          <w:i/>
          <w:iCs/>
          <w:sz w:val="20"/>
        </w:rPr>
        <w:t>Nature Human Behaviour</w:t>
      </w:r>
      <w:r w:rsidRPr="00431018">
        <w:rPr>
          <w:rFonts w:ascii="Palatino Linotype" w:hAnsi="Palatino Linotype"/>
          <w:sz w:val="20"/>
        </w:rPr>
        <w:t xml:space="preserve">, </w:t>
      </w:r>
      <w:r w:rsidRPr="00431018">
        <w:rPr>
          <w:rFonts w:ascii="Palatino Linotype" w:hAnsi="Palatino Linotype"/>
          <w:i/>
          <w:iCs/>
          <w:sz w:val="20"/>
        </w:rPr>
        <w:t>2</w:t>
      </w:r>
      <w:r w:rsidRPr="00431018">
        <w:rPr>
          <w:rFonts w:ascii="Palatino Linotype" w:hAnsi="Palatino Linotype"/>
          <w:sz w:val="20"/>
        </w:rPr>
        <w:t>(9), 637–644. https://doi.org/10.1038/s41562-018-0399-z</w:t>
      </w:r>
    </w:p>
    <w:p w14:paraId="574FDB47"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Cornide</w:t>
      </w:r>
      <w:proofErr w:type="spellEnd"/>
      <w:r w:rsidRPr="00431018">
        <w:rPr>
          <w:rFonts w:ascii="Palatino Linotype" w:hAnsi="Palatino Linotype"/>
          <w:sz w:val="20"/>
        </w:rPr>
        <w:t xml:space="preserve">-Reyes, H., Riquelme, F., </w:t>
      </w:r>
      <w:proofErr w:type="spellStart"/>
      <w:r w:rsidRPr="00431018">
        <w:rPr>
          <w:rFonts w:ascii="Palatino Linotype" w:hAnsi="Palatino Linotype"/>
          <w:sz w:val="20"/>
        </w:rPr>
        <w:t>Monsalves</w:t>
      </w:r>
      <w:proofErr w:type="spellEnd"/>
      <w:r w:rsidRPr="00431018">
        <w:rPr>
          <w:rFonts w:ascii="Palatino Linotype" w:hAnsi="Palatino Linotype"/>
          <w:sz w:val="20"/>
        </w:rPr>
        <w:t xml:space="preserve">, D., Noel, R., </w:t>
      </w:r>
      <w:proofErr w:type="spellStart"/>
      <w:r w:rsidRPr="00431018">
        <w:rPr>
          <w:rFonts w:ascii="Palatino Linotype" w:hAnsi="Palatino Linotype"/>
          <w:sz w:val="20"/>
        </w:rPr>
        <w:t>Cechinel</w:t>
      </w:r>
      <w:proofErr w:type="spellEnd"/>
      <w:r w:rsidRPr="00431018">
        <w:rPr>
          <w:rFonts w:ascii="Palatino Linotype" w:hAnsi="Palatino Linotype"/>
          <w:sz w:val="20"/>
        </w:rPr>
        <w:t xml:space="preserve">, C., Villarroel, R., Ponce, F., &amp; Munoz, R. (2020). A Multimodal Real-Time Feedback Platform Based on Spoken Interactions for Remote Active Learning Support. </w:t>
      </w:r>
      <w:r w:rsidRPr="00431018">
        <w:rPr>
          <w:rFonts w:ascii="Palatino Linotype" w:hAnsi="Palatino Linotype"/>
          <w:i/>
          <w:iCs/>
          <w:sz w:val="20"/>
        </w:rPr>
        <w:t>Sensors</w:t>
      </w:r>
      <w:r w:rsidRPr="00431018">
        <w:rPr>
          <w:rFonts w:ascii="Palatino Linotype" w:hAnsi="Palatino Linotype"/>
          <w:sz w:val="20"/>
        </w:rPr>
        <w:t xml:space="preserve">, </w:t>
      </w:r>
      <w:r w:rsidRPr="00431018">
        <w:rPr>
          <w:rFonts w:ascii="Palatino Linotype" w:hAnsi="Palatino Linotype"/>
          <w:i/>
          <w:iCs/>
          <w:sz w:val="20"/>
        </w:rPr>
        <w:t>20</w:t>
      </w:r>
      <w:r w:rsidRPr="00431018">
        <w:rPr>
          <w:rFonts w:ascii="Palatino Linotype" w:hAnsi="Palatino Linotype"/>
          <w:sz w:val="20"/>
        </w:rPr>
        <w:t>(21), 6337. https://doi.org/10.3390/s20216337</w:t>
      </w:r>
    </w:p>
    <w:p w14:paraId="2D9C05AA"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Dharmawan</w:t>
      </w:r>
      <w:proofErr w:type="spellEnd"/>
      <w:r w:rsidRPr="00431018">
        <w:rPr>
          <w:rFonts w:ascii="Palatino Linotype" w:hAnsi="Palatino Linotype"/>
          <w:sz w:val="20"/>
        </w:rPr>
        <w:t xml:space="preserve">, D., </w:t>
      </w:r>
      <w:proofErr w:type="spellStart"/>
      <w:r w:rsidRPr="00431018">
        <w:rPr>
          <w:rFonts w:ascii="Palatino Linotype" w:hAnsi="Palatino Linotype"/>
          <w:sz w:val="20"/>
        </w:rPr>
        <w:t>Trisnamansyah</w:t>
      </w:r>
      <w:proofErr w:type="spellEnd"/>
      <w:r w:rsidRPr="00431018">
        <w:rPr>
          <w:rFonts w:ascii="Palatino Linotype" w:hAnsi="Palatino Linotype"/>
          <w:sz w:val="20"/>
        </w:rPr>
        <w:t xml:space="preserve">, S., </w:t>
      </w:r>
      <w:proofErr w:type="spellStart"/>
      <w:r w:rsidRPr="00431018">
        <w:rPr>
          <w:rFonts w:ascii="Palatino Linotype" w:hAnsi="Palatino Linotype"/>
          <w:sz w:val="20"/>
        </w:rPr>
        <w:t>Mulyasana</w:t>
      </w:r>
      <w:proofErr w:type="spellEnd"/>
      <w:r w:rsidRPr="00431018">
        <w:rPr>
          <w:rFonts w:ascii="Palatino Linotype" w:hAnsi="Palatino Linotype"/>
          <w:sz w:val="20"/>
        </w:rPr>
        <w:t xml:space="preserve">, D., &amp; </w:t>
      </w:r>
      <w:proofErr w:type="spellStart"/>
      <w:r w:rsidRPr="00431018">
        <w:rPr>
          <w:rFonts w:ascii="Palatino Linotype" w:hAnsi="Palatino Linotype"/>
          <w:sz w:val="20"/>
        </w:rPr>
        <w:t>Fiah</w:t>
      </w:r>
      <w:proofErr w:type="spellEnd"/>
      <w:r w:rsidRPr="00431018">
        <w:rPr>
          <w:rFonts w:ascii="Palatino Linotype" w:hAnsi="Palatino Linotype"/>
          <w:sz w:val="20"/>
        </w:rPr>
        <w:t xml:space="preserve">, H. (2022). Management Of Character Education Strengthening Program </w:t>
      </w:r>
      <w:proofErr w:type="gramStart"/>
      <w:r w:rsidRPr="00431018">
        <w:rPr>
          <w:rFonts w:ascii="Palatino Linotype" w:hAnsi="Palatino Linotype"/>
          <w:sz w:val="20"/>
        </w:rPr>
        <w:t>In</w:t>
      </w:r>
      <w:proofErr w:type="gramEnd"/>
      <w:r w:rsidRPr="00431018">
        <w:rPr>
          <w:rFonts w:ascii="Palatino Linotype" w:hAnsi="Palatino Linotype"/>
          <w:sz w:val="20"/>
        </w:rPr>
        <w:t xml:space="preserve"> Building The National Soul Of Vocational School Students In Bandung City (Case Study at SMKN 9 and SMKN 13 Bandung). </w:t>
      </w:r>
      <w:r w:rsidRPr="00431018">
        <w:rPr>
          <w:rFonts w:ascii="Palatino Linotype" w:hAnsi="Palatino Linotype"/>
          <w:i/>
          <w:iCs/>
          <w:sz w:val="20"/>
        </w:rPr>
        <w:t>International Journal of Educational Research &amp; Social Sciences</w:t>
      </w:r>
      <w:r w:rsidRPr="00431018">
        <w:rPr>
          <w:rFonts w:ascii="Palatino Linotype" w:hAnsi="Palatino Linotype"/>
          <w:sz w:val="20"/>
        </w:rPr>
        <w:t xml:space="preserve">, </w:t>
      </w:r>
      <w:r w:rsidRPr="00431018">
        <w:rPr>
          <w:rFonts w:ascii="Palatino Linotype" w:hAnsi="Palatino Linotype"/>
          <w:i/>
          <w:iCs/>
          <w:sz w:val="20"/>
        </w:rPr>
        <w:t>3</w:t>
      </w:r>
      <w:r w:rsidRPr="00431018">
        <w:rPr>
          <w:rFonts w:ascii="Palatino Linotype" w:hAnsi="Palatino Linotype"/>
          <w:sz w:val="20"/>
        </w:rPr>
        <w:t>(1), 351–359. https://doi.org/10.51601/ijersc.v3i1.271</w:t>
      </w:r>
    </w:p>
    <w:p w14:paraId="5592208D"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Dikdas</w:t>
      </w:r>
      <w:proofErr w:type="spellEnd"/>
      <w:r w:rsidRPr="00431018">
        <w:rPr>
          <w:rFonts w:ascii="Palatino Linotype" w:hAnsi="Palatino Linotype"/>
          <w:sz w:val="20"/>
        </w:rPr>
        <w:t xml:space="preserve">, H. (2021). ANALISIS HOTS PADA SOAL PENILAIAN TENGAH SEMESTER DALAM MATA PELAJARAN ILMU PENGETAHUAN SOSIAL DI KELAS IV. </w:t>
      </w:r>
      <w:r w:rsidRPr="00431018">
        <w:rPr>
          <w:rFonts w:ascii="Palatino Linotype" w:hAnsi="Palatino Linotype"/>
          <w:i/>
          <w:iCs/>
          <w:sz w:val="20"/>
        </w:rPr>
        <w:t xml:space="preserve">JURNAL PAJAR (Pendidikan Dan </w:t>
      </w:r>
      <w:proofErr w:type="spellStart"/>
      <w:r w:rsidRPr="00431018">
        <w:rPr>
          <w:rFonts w:ascii="Palatino Linotype" w:hAnsi="Palatino Linotype"/>
          <w:i/>
          <w:iCs/>
          <w:sz w:val="20"/>
        </w:rPr>
        <w:t>Pengajaran</w:t>
      </w:r>
      <w:proofErr w:type="spellEnd"/>
      <w:r w:rsidRPr="00431018">
        <w:rPr>
          <w:rFonts w:ascii="Palatino Linotype" w:hAnsi="Palatino Linotype"/>
          <w:i/>
          <w:iCs/>
          <w:sz w:val="20"/>
        </w:rPr>
        <w:t>)</w:t>
      </w:r>
      <w:r w:rsidRPr="00431018">
        <w:rPr>
          <w:rFonts w:ascii="Palatino Linotype" w:hAnsi="Palatino Linotype"/>
          <w:sz w:val="20"/>
        </w:rPr>
        <w:t xml:space="preserve">, </w:t>
      </w:r>
      <w:r w:rsidRPr="00431018">
        <w:rPr>
          <w:rFonts w:ascii="Palatino Linotype" w:hAnsi="Palatino Linotype"/>
          <w:i/>
          <w:iCs/>
          <w:sz w:val="20"/>
        </w:rPr>
        <w:t>5</w:t>
      </w:r>
      <w:r w:rsidRPr="00431018">
        <w:rPr>
          <w:rFonts w:ascii="Palatino Linotype" w:hAnsi="Palatino Linotype"/>
          <w:sz w:val="20"/>
        </w:rPr>
        <w:t>(4). https://doi.org/10.33578/pjr.v5i4.8218</w:t>
      </w:r>
    </w:p>
    <w:p w14:paraId="61F79A3C"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Eysink</w:t>
      </w:r>
      <w:proofErr w:type="spellEnd"/>
      <w:r w:rsidRPr="00431018">
        <w:rPr>
          <w:rFonts w:ascii="Palatino Linotype" w:hAnsi="Palatino Linotype"/>
          <w:sz w:val="20"/>
        </w:rPr>
        <w:t xml:space="preserve">, T. H. S., Van Dijk, A. M., &amp; De Jong, T. (2020). BE COOL! a digital learning environment to challenge and socially include gifted learners. </w:t>
      </w:r>
      <w:r w:rsidRPr="00431018">
        <w:rPr>
          <w:rFonts w:ascii="Palatino Linotype" w:hAnsi="Palatino Linotype"/>
          <w:i/>
          <w:iCs/>
          <w:sz w:val="20"/>
        </w:rPr>
        <w:t>Educational Technology Research and Development</w:t>
      </w:r>
      <w:r w:rsidRPr="00431018">
        <w:rPr>
          <w:rFonts w:ascii="Palatino Linotype" w:hAnsi="Palatino Linotype"/>
          <w:sz w:val="20"/>
        </w:rPr>
        <w:t xml:space="preserve">, </w:t>
      </w:r>
      <w:r w:rsidRPr="00431018">
        <w:rPr>
          <w:rFonts w:ascii="Palatino Linotype" w:hAnsi="Palatino Linotype"/>
          <w:i/>
          <w:iCs/>
          <w:sz w:val="20"/>
        </w:rPr>
        <w:t>68</w:t>
      </w:r>
      <w:r w:rsidRPr="00431018">
        <w:rPr>
          <w:rFonts w:ascii="Palatino Linotype" w:hAnsi="Palatino Linotype"/>
          <w:sz w:val="20"/>
        </w:rPr>
        <w:t>(5), 2373–2393. https://doi.org/10.1007/s11423-020-09754-9</w:t>
      </w:r>
    </w:p>
    <w:p w14:paraId="72E4E7E7"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Gobo, G. (2021). Replicability. Politics and Poetics of Accountability, Validation and Legitimation. </w:t>
      </w:r>
      <w:r w:rsidRPr="00431018">
        <w:rPr>
          <w:rFonts w:ascii="Palatino Linotype" w:hAnsi="Palatino Linotype"/>
          <w:i/>
          <w:iCs/>
          <w:sz w:val="20"/>
        </w:rPr>
        <w:t>Frontiers in Psychology</w:t>
      </w:r>
      <w:r w:rsidRPr="00431018">
        <w:rPr>
          <w:rFonts w:ascii="Palatino Linotype" w:hAnsi="Palatino Linotype"/>
          <w:sz w:val="20"/>
        </w:rPr>
        <w:t xml:space="preserve">, </w:t>
      </w:r>
      <w:r w:rsidRPr="00431018">
        <w:rPr>
          <w:rFonts w:ascii="Palatino Linotype" w:hAnsi="Palatino Linotype"/>
          <w:i/>
          <w:iCs/>
          <w:sz w:val="20"/>
        </w:rPr>
        <w:t>11</w:t>
      </w:r>
      <w:r w:rsidRPr="00431018">
        <w:rPr>
          <w:rFonts w:ascii="Palatino Linotype" w:hAnsi="Palatino Linotype"/>
          <w:sz w:val="20"/>
        </w:rPr>
        <w:t>, 608451. https://doi.org/10.3389/fpsyg.2020.608451</w:t>
      </w:r>
    </w:p>
    <w:p w14:paraId="52A18FA3"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Ichsan</w:t>
      </w:r>
      <w:proofErr w:type="spellEnd"/>
      <w:r w:rsidRPr="00431018">
        <w:rPr>
          <w:rFonts w:ascii="Palatino Linotype" w:hAnsi="Palatino Linotype"/>
          <w:sz w:val="20"/>
        </w:rPr>
        <w:t xml:space="preserve">, I. Z., </w:t>
      </w:r>
      <w:proofErr w:type="spellStart"/>
      <w:r w:rsidRPr="00431018">
        <w:rPr>
          <w:rFonts w:ascii="Palatino Linotype" w:hAnsi="Palatino Linotype"/>
          <w:sz w:val="20"/>
        </w:rPr>
        <w:t>Sigit</w:t>
      </w:r>
      <w:proofErr w:type="spellEnd"/>
      <w:r w:rsidRPr="00431018">
        <w:rPr>
          <w:rFonts w:ascii="Palatino Linotype" w:hAnsi="Palatino Linotype"/>
          <w:sz w:val="20"/>
        </w:rPr>
        <w:t xml:space="preserve">, D. V., </w:t>
      </w:r>
      <w:proofErr w:type="spellStart"/>
      <w:r w:rsidRPr="00431018">
        <w:rPr>
          <w:rFonts w:ascii="Palatino Linotype" w:hAnsi="Palatino Linotype"/>
          <w:sz w:val="20"/>
        </w:rPr>
        <w:t>Miarsyah</w:t>
      </w:r>
      <w:proofErr w:type="spellEnd"/>
      <w:r w:rsidRPr="00431018">
        <w:rPr>
          <w:rFonts w:ascii="Palatino Linotype" w:hAnsi="Palatino Linotype"/>
          <w:sz w:val="20"/>
        </w:rPr>
        <w:t xml:space="preserve">, M., Ali, A., Arif, W. P., &amp; </w:t>
      </w:r>
      <w:proofErr w:type="spellStart"/>
      <w:r w:rsidRPr="00431018">
        <w:rPr>
          <w:rFonts w:ascii="Palatino Linotype" w:hAnsi="Palatino Linotype"/>
          <w:sz w:val="20"/>
        </w:rPr>
        <w:t>Prayitno</w:t>
      </w:r>
      <w:proofErr w:type="spellEnd"/>
      <w:r w:rsidRPr="00431018">
        <w:rPr>
          <w:rFonts w:ascii="Palatino Linotype" w:hAnsi="Palatino Linotype"/>
          <w:sz w:val="20"/>
        </w:rPr>
        <w:t xml:space="preserve">, T. A. (2019). HOTS-AEP: Higher Order Thinking Skills from Elementary to Master Students in Environmental Learning. </w:t>
      </w:r>
      <w:r w:rsidRPr="00431018">
        <w:rPr>
          <w:rFonts w:ascii="Palatino Linotype" w:hAnsi="Palatino Linotype"/>
          <w:i/>
          <w:iCs/>
          <w:sz w:val="20"/>
        </w:rPr>
        <w:t>European Journal of Educational Research</w:t>
      </w:r>
      <w:r w:rsidRPr="00431018">
        <w:rPr>
          <w:rFonts w:ascii="Palatino Linotype" w:hAnsi="Palatino Linotype"/>
          <w:sz w:val="20"/>
        </w:rPr>
        <w:t xml:space="preserve">, </w:t>
      </w:r>
      <w:r w:rsidRPr="00431018">
        <w:rPr>
          <w:rFonts w:ascii="Palatino Linotype" w:hAnsi="Palatino Linotype"/>
          <w:i/>
          <w:iCs/>
          <w:sz w:val="20"/>
        </w:rPr>
        <w:t>volume–8–2019</w:t>
      </w:r>
      <w:r w:rsidRPr="00431018">
        <w:rPr>
          <w:rFonts w:ascii="Palatino Linotype" w:hAnsi="Palatino Linotype"/>
          <w:sz w:val="20"/>
        </w:rPr>
        <w:t>(volume8-issue4.html), 935–942. https://doi.org/10.12973/eu-jer.8.4.935</w:t>
      </w:r>
    </w:p>
    <w:p w14:paraId="1B1050D6"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Klerkx, L., Jakku, E., &amp; Labarthe, P. (2019). A review of social science on digital agriculture, smart farming and agriculture 4.0: New contributions and a future research agenda. </w:t>
      </w:r>
      <w:r w:rsidRPr="00431018">
        <w:rPr>
          <w:rFonts w:ascii="Palatino Linotype" w:hAnsi="Palatino Linotype"/>
          <w:i/>
          <w:iCs/>
          <w:sz w:val="20"/>
        </w:rPr>
        <w:t>NJAS: Wageningen Journal of Life Sciences</w:t>
      </w:r>
      <w:r w:rsidRPr="00431018">
        <w:rPr>
          <w:rFonts w:ascii="Palatino Linotype" w:hAnsi="Palatino Linotype"/>
          <w:sz w:val="20"/>
        </w:rPr>
        <w:t xml:space="preserve">, </w:t>
      </w:r>
      <w:r w:rsidRPr="00431018">
        <w:rPr>
          <w:rFonts w:ascii="Palatino Linotype" w:hAnsi="Palatino Linotype"/>
          <w:i/>
          <w:iCs/>
          <w:sz w:val="20"/>
        </w:rPr>
        <w:t>90–91</w:t>
      </w:r>
      <w:r w:rsidRPr="00431018">
        <w:rPr>
          <w:rFonts w:ascii="Palatino Linotype" w:hAnsi="Palatino Linotype"/>
          <w:sz w:val="20"/>
        </w:rPr>
        <w:t>(1), 1–16. https://doi.org/10.1016/j.njas.2019.100315</w:t>
      </w:r>
    </w:p>
    <w:p w14:paraId="5BF9D571"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Lagorce</w:t>
      </w:r>
      <w:proofErr w:type="spellEnd"/>
      <w:r w:rsidRPr="00431018">
        <w:rPr>
          <w:rFonts w:ascii="Palatino Linotype" w:hAnsi="Palatino Linotype"/>
          <w:sz w:val="20"/>
        </w:rPr>
        <w:t xml:space="preserve">, X., Orchard, G., Galluppi, F., Shi, B. E., &amp; </w:t>
      </w:r>
      <w:proofErr w:type="spellStart"/>
      <w:r w:rsidRPr="00431018">
        <w:rPr>
          <w:rFonts w:ascii="Palatino Linotype" w:hAnsi="Palatino Linotype"/>
          <w:sz w:val="20"/>
        </w:rPr>
        <w:t>Benosman</w:t>
      </w:r>
      <w:proofErr w:type="spellEnd"/>
      <w:r w:rsidRPr="00431018">
        <w:rPr>
          <w:rFonts w:ascii="Palatino Linotype" w:hAnsi="Palatino Linotype"/>
          <w:sz w:val="20"/>
        </w:rPr>
        <w:t xml:space="preserve">, R. B. (2017). HOTS: A Hierarchy of Event-Based Time-Surfaces for Pattern Recognition. </w:t>
      </w:r>
      <w:r w:rsidRPr="00431018">
        <w:rPr>
          <w:rFonts w:ascii="Palatino Linotype" w:hAnsi="Palatino Linotype"/>
          <w:i/>
          <w:iCs/>
          <w:sz w:val="20"/>
        </w:rPr>
        <w:t>IEEE Transactions on Pattern Analysis and Machine Intelligence</w:t>
      </w:r>
      <w:r w:rsidRPr="00431018">
        <w:rPr>
          <w:rFonts w:ascii="Palatino Linotype" w:hAnsi="Palatino Linotype"/>
          <w:sz w:val="20"/>
        </w:rPr>
        <w:t xml:space="preserve">, </w:t>
      </w:r>
      <w:r w:rsidRPr="00431018">
        <w:rPr>
          <w:rFonts w:ascii="Palatino Linotype" w:hAnsi="Palatino Linotype"/>
          <w:i/>
          <w:iCs/>
          <w:sz w:val="20"/>
        </w:rPr>
        <w:t>39</w:t>
      </w:r>
      <w:r w:rsidRPr="00431018">
        <w:rPr>
          <w:rFonts w:ascii="Palatino Linotype" w:hAnsi="Palatino Linotype"/>
          <w:sz w:val="20"/>
        </w:rPr>
        <w:t>(7), 1346–1359. https://doi.org/10.1109/TPAMI.2016.2574707</w:t>
      </w:r>
    </w:p>
    <w:p w14:paraId="1A7E36A1"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Lazer, D. M. J., Pentland, A., Watts, D. J., Aral, S., Athey, S., Contractor, N., Freelon, D., Gonzalez-Bailon, S., King, G., Margetts, H., Nelson, A., </w:t>
      </w:r>
      <w:proofErr w:type="spellStart"/>
      <w:r w:rsidRPr="00431018">
        <w:rPr>
          <w:rFonts w:ascii="Palatino Linotype" w:hAnsi="Palatino Linotype"/>
          <w:sz w:val="20"/>
        </w:rPr>
        <w:t>Salganik</w:t>
      </w:r>
      <w:proofErr w:type="spellEnd"/>
      <w:r w:rsidRPr="00431018">
        <w:rPr>
          <w:rFonts w:ascii="Palatino Linotype" w:hAnsi="Palatino Linotype"/>
          <w:sz w:val="20"/>
        </w:rPr>
        <w:t xml:space="preserve">, M. J., Strohmaier, M., </w:t>
      </w:r>
      <w:proofErr w:type="spellStart"/>
      <w:r w:rsidRPr="00431018">
        <w:rPr>
          <w:rFonts w:ascii="Palatino Linotype" w:hAnsi="Palatino Linotype"/>
          <w:sz w:val="20"/>
        </w:rPr>
        <w:t>Vespignani</w:t>
      </w:r>
      <w:proofErr w:type="spellEnd"/>
      <w:r w:rsidRPr="00431018">
        <w:rPr>
          <w:rFonts w:ascii="Palatino Linotype" w:hAnsi="Palatino Linotype"/>
          <w:sz w:val="20"/>
        </w:rPr>
        <w:t xml:space="preserve">, A., &amp; Wagner, C. (2020). Computational social science: Obstacles and opportunities. </w:t>
      </w:r>
      <w:r w:rsidRPr="00431018">
        <w:rPr>
          <w:rFonts w:ascii="Palatino Linotype" w:hAnsi="Palatino Linotype"/>
          <w:i/>
          <w:iCs/>
          <w:sz w:val="20"/>
        </w:rPr>
        <w:t>Science</w:t>
      </w:r>
      <w:r w:rsidRPr="00431018">
        <w:rPr>
          <w:rFonts w:ascii="Palatino Linotype" w:hAnsi="Palatino Linotype"/>
          <w:sz w:val="20"/>
        </w:rPr>
        <w:t xml:space="preserve">, </w:t>
      </w:r>
      <w:r w:rsidRPr="00431018">
        <w:rPr>
          <w:rFonts w:ascii="Palatino Linotype" w:hAnsi="Palatino Linotype"/>
          <w:i/>
          <w:iCs/>
          <w:sz w:val="20"/>
        </w:rPr>
        <w:t>369</w:t>
      </w:r>
      <w:r w:rsidRPr="00431018">
        <w:rPr>
          <w:rFonts w:ascii="Palatino Linotype" w:hAnsi="Palatino Linotype"/>
          <w:sz w:val="20"/>
        </w:rPr>
        <w:t>(6507), 1060–1062. https://doi.org/10.1126/science.aaz8170</w:t>
      </w:r>
    </w:p>
    <w:p w14:paraId="77028B83"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lastRenderedPageBreak/>
        <w:t xml:space="preserve">Lee, K.-W. (2023). Effectiveness of gamification and selection of appropriate teaching methods of creativity: Students’ perspectives. </w:t>
      </w:r>
      <w:proofErr w:type="spellStart"/>
      <w:r w:rsidRPr="00431018">
        <w:rPr>
          <w:rFonts w:ascii="Palatino Linotype" w:hAnsi="Palatino Linotype"/>
          <w:i/>
          <w:iCs/>
          <w:sz w:val="20"/>
        </w:rPr>
        <w:t>Heliyon</w:t>
      </w:r>
      <w:proofErr w:type="spellEnd"/>
      <w:r w:rsidRPr="00431018">
        <w:rPr>
          <w:rFonts w:ascii="Palatino Linotype" w:hAnsi="Palatino Linotype"/>
          <w:sz w:val="20"/>
        </w:rPr>
        <w:t xml:space="preserve">, </w:t>
      </w:r>
      <w:r w:rsidRPr="00431018">
        <w:rPr>
          <w:rFonts w:ascii="Palatino Linotype" w:hAnsi="Palatino Linotype"/>
          <w:i/>
          <w:iCs/>
          <w:sz w:val="20"/>
        </w:rPr>
        <w:t>9</w:t>
      </w:r>
      <w:r w:rsidRPr="00431018">
        <w:rPr>
          <w:rFonts w:ascii="Palatino Linotype" w:hAnsi="Palatino Linotype"/>
          <w:sz w:val="20"/>
        </w:rPr>
        <w:t>(10), e20420. https://doi.org/10.1016/j.heliyon.2023.e20420</w:t>
      </w:r>
    </w:p>
    <w:p w14:paraId="37AF164E"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Lee Perry, W., Clements, B., Ma, X., &amp; Mang, J. T. (2018). Relating microstructure, temperature, and chemistry to explosive ignition and shock sensitivity. </w:t>
      </w:r>
      <w:r w:rsidRPr="00431018">
        <w:rPr>
          <w:rFonts w:ascii="Palatino Linotype" w:hAnsi="Palatino Linotype"/>
          <w:i/>
          <w:iCs/>
          <w:sz w:val="20"/>
        </w:rPr>
        <w:t>Combustion and Flame</w:t>
      </w:r>
      <w:r w:rsidRPr="00431018">
        <w:rPr>
          <w:rFonts w:ascii="Palatino Linotype" w:hAnsi="Palatino Linotype"/>
          <w:sz w:val="20"/>
        </w:rPr>
        <w:t xml:space="preserve">, </w:t>
      </w:r>
      <w:r w:rsidRPr="00431018">
        <w:rPr>
          <w:rFonts w:ascii="Palatino Linotype" w:hAnsi="Palatino Linotype"/>
          <w:i/>
          <w:iCs/>
          <w:sz w:val="20"/>
        </w:rPr>
        <w:t>190</w:t>
      </w:r>
      <w:r w:rsidRPr="00431018">
        <w:rPr>
          <w:rFonts w:ascii="Palatino Linotype" w:hAnsi="Palatino Linotype"/>
          <w:sz w:val="20"/>
        </w:rPr>
        <w:t>, 171–176. https://doi.org/10.1016/j.combustflame.2017.11.017</w:t>
      </w:r>
    </w:p>
    <w:p w14:paraId="52F76F99"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Lestari, F., </w:t>
      </w:r>
      <w:proofErr w:type="spellStart"/>
      <w:r w:rsidRPr="00431018">
        <w:rPr>
          <w:rFonts w:ascii="Palatino Linotype" w:hAnsi="Palatino Linotype"/>
          <w:sz w:val="20"/>
        </w:rPr>
        <w:t>Saryantono</w:t>
      </w:r>
      <w:proofErr w:type="spellEnd"/>
      <w:r w:rsidRPr="00431018">
        <w:rPr>
          <w:rFonts w:ascii="Palatino Linotype" w:hAnsi="Palatino Linotype"/>
          <w:sz w:val="20"/>
        </w:rPr>
        <w:t xml:space="preserve">, B., </w:t>
      </w:r>
      <w:proofErr w:type="spellStart"/>
      <w:r w:rsidRPr="00431018">
        <w:rPr>
          <w:rFonts w:ascii="Palatino Linotype" w:hAnsi="Palatino Linotype"/>
          <w:sz w:val="20"/>
        </w:rPr>
        <w:t>Syazali</w:t>
      </w:r>
      <w:proofErr w:type="spellEnd"/>
      <w:r w:rsidRPr="00431018">
        <w:rPr>
          <w:rFonts w:ascii="Palatino Linotype" w:hAnsi="Palatino Linotype"/>
          <w:sz w:val="20"/>
        </w:rPr>
        <w:t xml:space="preserve">, M., </w:t>
      </w:r>
      <w:proofErr w:type="spellStart"/>
      <w:r w:rsidRPr="00431018">
        <w:rPr>
          <w:rFonts w:ascii="Palatino Linotype" w:hAnsi="Palatino Linotype"/>
          <w:sz w:val="20"/>
        </w:rPr>
        <w:t>Saregar</w:t>
      </w:r>
      <w:proofErr w:type="spellEnd"/>
      <w:r w:rsidRPr="00431018">
        <w:rPr>
          <w:rFonts w:ascii="Palatino Linotype" w:hAnsi="Palatino Linotype"/>
          <w:sz w:val="20"/>
        </w:rPr>
        <w:t xml:space="preserve">, A., </w:t>
      </w:r>
      <w:proofErr w:type="spellStart"/>
      <w:r w:rsidRPr="00431018">
        <w:rPr>
          <w:rFonts w:ascii="Palatino Linotype" w:hAnsi="Palatino Linotype"/>
          <w:sz w:val="20"/>
        </w:rPr>
        <w:t>Madiyo</w:t>
      </w:r>
      <w:proofErr w:type="spellEnd"/>
      <w:r w:rsidRPr="00431018">
        <w:rPr>
          <w:rFonts w:ascii="Palatino Linotype" w:hAnsi="Palatino Linotype"/>
          <w:sz w:val="20"/>
        </w:rPr>
        <w:t xml:space="preserve">, M., </w:t>
      </w:r>
      <w:proofErr w:type="spellStart"/>
      <w:r w:rsidRPr="00431018">
        <w:rPr>
          <w:rFonts w:ascii="Palatino Linotype" w:hAnsi="Palatino Linotype"/>
          <w:sz w:val="20"/>
        </w:rPr>
        <w:t>Jauhariyah</w:t>
      </w:r>
      <w:proofErr w:type="spellEnd"/>
      <w:r w:rsidRPr="00431018">
        <w:rPr>
          <w:rFonts w:ascii="Palatino Linotype" w:hAnsi="Palatino Linotype"/>
          <w:sz w:val="20"/>
        </w:rPr>
        <w:t xml:space="preserve">, D., &amp; </w:t>
      </w:r>
      <w:proofErr w:type="spellStart"/>
      <w:r w:rsidRPr="00431018">
        <w:rPr>
          <w:rFonts w:ascii="Palatino Linotype" w:hAnsi="Palatino Linotype"/>
          <w:sz w:val="20"/>
        </w:rPr>
        <w:t>Umam</w:t>
      </w:r>
      <w:proofErr w:type="spellEnd"/>
      <w:r w:rsidRPr="00431018">
        <w:rPr>
          <w:rFonts w:ascii="Palatino Linotype" w:hAnsi="Palatino Linotype"/>
          <w:sz w:val="20"/>
        </w:rPr>
        <w:t xml:space="preserve">, R. (2019). Cooperative Learning Application with the Method of “Network Tree Concept Map”: Based on Japanese Learning System Approach. </w:t>
      </w:r>
      <w:r w:rsidRPr="00431018">
        <w:rPr>
          <w:rFonts w:ascii="Palatino Linotype" w:hAnsi="Palatino Linotype"/>
          <w:i/>
          <w:iCs/>
          <w:sz w:val="20"/>
        </w:rPr>
        <w:t>Journal for the Education of Gifted Young Scientists</w:t>
      </w:r>
      <w:r w:rsidRPr="00431018">
        <w:rPr>
          <w:rFonts w:ascii="Palatino Linotype" w:hAnsi="Palatino Linotype"/>
          <w:sz w:val="20"/>
        </w:rPr>
        <w:t xml:space="preserve">, </w:t>
      </w:r>
      <w:r w:rsidRPr="00431018">
        <w:rPr>
          <w:rFonts w:ascii="Palatino Linotype" w:hAnsi="Palatino Linotype"/>
          <w:i/>
          <w:iCs/>
          <w:sz w:val="20"/>
        </w:rPr>
        <w:t>7</w:t>
      </w:r>
      <w:r w:rsidRPr="00431018">
        <w:rPr>
          <w:rFonts w:ascii="Palatino Linotype" w:hAnsi="Palatino Linotype"/>
          <w:sz w:val="20"/>
        </w:rPr>
        <w:t>(1), 15–32. https://doi.org/10.17478/jegys.471466</w:t>
      </w:r>
    </w:p>
    <w:p w14:paraId="7981226F"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Li, J., &amp; Li, J. (2019). Educational Policy Development in China in the 21st Century: A Multi-Flows Approach. </w:t>
      </w:r>
      <w:r w:rsidRPr="00431018">
        <w:rPr>
          <w:rFonts w:ascii="Palatino Linotype" w:hAnsi="Palatino Linotype"/>
          <w:i/>
          <w:iCs/>
          <w:sz w:val="20"/>
        </w:rPr>
        <w:t>Beijing International Review of Education</w:t>
      </w:r>
      <w:r w:rsidRPr="00431018">
        <w:rPr>
          <w:rFonts w:ascii="Palatino Linotype" w:hAnsi="Palatino Linotype"/>
          <w:sz w:val="20"/>
        </w:rPr>
        <w:t xml:space="preserve">, </w:t>
      </w:r>
      <w:r w:rsidRPr="00431018">
        <w:rPr>
          <w:rFonts w:ascii="Palatino Linotype" w:hAnsi="Palatino Linotype"/>
          <w:i/>
          <w:iCs/>
          <w:sz w:val="20"/>
        </w:rPr>
        <w:t>1</w:t>
      </w:r>
      <w:r w:rsidRPr="00431018">
        <w:rPr>
          <w:rFonts w:ascii="Palatino Linotype" w:hAnsi="Palatino Linotype"/>
          <w:sz w:val="20"/>
        </w:rPr>
        <w:t>(1), 196–220. https://doi.org/10.1163/25902547-00101014</w:t>
      </w:r>
    </w:p>
    <w:p w14:paraId="6A130511"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Limniou</w:t>
      </w:r>
      <w:proofErr w:type="spellEnd"/>
      <w:r w:rsidRPr="00431018">
        <w:rPr>
          <w:rFonts w:ascii="Palatino Linotype" w:hAnsi="Palatino Linotype"/>
          <w:sz w:val="20"/>
        </w:rPr>
        <w:t xml:space="preserve">, M., </w:t>
      </w:r>
      <w:proofErr w:type="spellStart"/>
      <w:r w:rsidRPr="00431018">
        <w:rPr>
          <w:rFonts w:ascii="Palatino Linotype" w:hAnsi="Palatino Linotype"/>
          <w:sz w:val="20"/>
        </w:rPr>
        <w:t>Schermbrucker</w:t>
      </w:r>
      <w:proofErr w:type="spellEnd"/>
      <w:r w:rsidRPr="00431018">
        <w:rPr>
          <w:rFonts w:ascii="Palatino Linotype" w:hAnsi="Palatino Linotype"/>
          <w:sz w:val="20"/>
        </w:rPr>
        <w:t xml:space="preserve">, I., &amp; Lyons, M. (2018). Traditional and flipped classroom approaches delivered by two different teachers: The student perspective. </w:t>
      </w:r>
      <w:r w:rsidRPr="00431018">
        <w:rPr>
          <w:rFonts w:ascii="Palatino Linotype" w:hAnsi="Palatino Linotype"/>
          <w:i/>
          <w:iCs/>
          <w:sz w:val="20"/>
        </w:rPr>
        <w:t>Education and Information Technologies</w:t>
      </w:r>
      <w:r w:rsidRPr="00431018">
        <w:rPr>
          <w:rFonts w:ascii="Palatino Linotype" w:hAnsi="Palatino Linotype"/>
          <w:sz w:val="20"/>
        </w:rPr>
        <w:t xml:space="preserve">, </w:t>
      </w:r>
      <w:r w:rsidRPr="00431018">
        <w:rPr>
          <w:rFonts w:ascii="Palatino Linotype" w:hAnsi="Palatino Linotype"/>
          <w:i/>
          <w:iCs/>
          <w:sz w:val="20"/>
        </w:rPr>
        <w:t>23</w:t>
      </w:r>
      <w:r w:rsidRPr="00431018">
        <w:rPr>
          <w:rFonts w:ascii="Palatino Linotype" w:hAnsi="Palatino Linotype"/>
          <w:sz w:val="20"/>
        </w:rPr>
        <w:t>(2), 797–817. https://doi.org/10.1007/s10639-017-9636-8</w:t>
      </w:r>
    </w:p>
    <w:p w14:paraId="76B64A0B"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Lu, K., Yang, H. H., Shi, Y., &amp; Wang, X. (2021). Examining the key influencing factors on college students’ higher-order thinking skills in the smart classroom environment. </w:t>
      </w:r>
      <w:r w:rsidRPr="00431018">
        <w:rPr>
          <w:rFonts w:ascii="Palatino Linotype" w:hAnsi="Palatino Linotype"/>
          <w:i/>
          <w:iCs/>
          <w:sz w:val="20"/>
        </w:rPr>
        <w:t>International Journal of Educational Technology in Higher Education</w:t>
      </w:r>
      <w:r w:rsidRPr="00431018">
        <w:rPr>
          <w:rFonts w:ascii="Palatino Linotype" w:hAnsi="Palatino Linotype"/>
          <w:sz w:val="20"/>
        </w:rPr>
        <w:t xml:space="preserve">, </w:t>
      </w:r>
      <w:r w:rsidRPr="00431018">
        <w:rPr>
          <w:rFonts w:ascii="Palatino Linotype" w:hAnsi="Palatino Linotype"/>
          <w:i/>
          <w:iCs/>
          <w:sz w:val="20"/>
        </w:rPr>
        <w:t>18</w:t>
      </w:r>
      <w:r w:rsidRPr="00431018">
        <w:rPr>
          <w:rFonts w:ascii="Palatino Linotype" w:hAnsi="Palatino Linotype"/>
          <w:sz w:val="20"/>
        </w:rPr>
        <w:t>(1), 1. https://doi.org/10.1186/s41239-020-00238-7</w:t>
      </w:r>
    </w:p>
    <w:p w14:paraId="4A438547"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Rahmayanti</w:t>
      </w:r>
      <w:proofErr w:type="spellEnd"/>
      <w:r w:rsidRPr="00431018">
        <w:rPr>
          <w:rFonts w:ascii="Palatino Linotype" w:hAnsi="Palatino Linotype"/>
          <w:sz w:val="20"/>
        </w:rPr>
        <w:t xml:space="preserve">, N., </w:t>
      </w:r>
      <w:proofErr w:type="spellStart"/>
      <w:r w:rsidRPr="00431018">
        <w:rPr>
          <w:rFonts w:ascii="Palatino Linotype" w:hAnsi="Palatino Linotype"/>
          <w:sz w:val="20"/>
        </w:rPr>
        <w:t>Vinarti</w:t>
      </w:r>
      <w:proofErr w:type="spellEnd"/>
      <w:r w:rsidRPr="00431018">
        <w:rPr>
          <w:rFonts w:ascii="Palatino Linotype" w:hAnsi="Palatino Linotype"/>
          <w:sz w:val="20"/>
        </w:rPr>
        <w:t xml:space="preserve">, R., </w:t>
      </w:r>
      <w:proofErr w:type="spellStart"/>
      <w:r w:rsidRPr="00431018">
        <w:rPr>
          <w:rFonts w:ascii="Palatino Linotype" w:hAnsi="Palatino Linotype"/>
          <w:sz w:val="20"/>
        </w:rPr>
        <w:t>Djunaidy</w:t>
      </w:r>
      <w:proofErr w:type="spellEnd"/>
      <w:r w:rsidRPr="00431018">
        <w:rPr>
          <w:rFonts w:ascii="Palatino Linotype" w:hAnsi="Palatino Linotype"/>
          <w:sz w:val="20"/>
        </w:rPr>
        <w:t xml:space="preserve">, A., </w:t>
      </w:r>
      <w:proofErr w:type="spellStart"/>
      <w:r w:rsidRPr="00431018">
        <w:rPr>
          <w:rFonts w:ascii="Palatino Linotype" w:hAnsi="Palatino Linotype"/>
          <w:sz w:val="20"/>
        </w:rPr>
        <w:t>Tjin</w:t>
      </w:r>
      <w:proofErr w:type="spellEnd"/>
      <w:r w:rsidRPr="00431018">
        <w:rPr>
          <w:rFonts w:ascii="Palatino Linotype" w:hAnsi="Palatino Linotype"/>
          <w:sz w:val="20"/>
        </w:rPr>
        <w:t xml:space="preserve">, A., &amp; Liu, J. (2023). Caregiver Segmentation Using </w:t>
      </w:r>
      <w:proofErr w:type="gramStart"/>
      <w:r w:rsidRPr="00431018">
        <w:rPr>
          <w:rFonts w:ascii="Palatino Linotype" w:hAnsi="Palatino Linotype"/>
          <w:sz w:val="20"/>
        </w:rPr>
        <w:t>The</w:t>
      </w:r>
      <w:proofErr w:type="gramEnd"/>
      <w:r w:rsidRPr="00431018">
        <w:rPr>
          <w:rFonts w:ascii="Palatino Linotype" w:hAnsi="Palatino Linotype"/>
          <w:sz w:val="20"/>
        </w:rPr>
        <w:t xml:space="preserve"> Integration of The Modified Burden Dimensions and Fuzzy C-Means. </w:t>
      </w:r>
      <w:r w:rsidRPr="00431018">
        <w:rPr>
          <w:rFonts w:ascii="Palatino Linotype" w:hAnsi="Palatino Linotype"/>
          <w:i/>
          <w:iCs/>
          <w:sz w:val="20"/>
        </w:rPr>
        <w:t>Procedia Computer Science</w:t>
      </w:r>
      <w:r w:rsidRPr="00431018">
        <w:rPr>
          <w:rFonts w:ascii="Palatino Linotype" w:hAnsi="Palatino Linotype"/>
          <w:sz w:val="20"/>
        </w:rPr>
        <w:t xml:space="preserve">, </w:t>
      </w:r>
      <w:r w:rsidRPr="00431018">
        <w:rPr>
          <w:rFonts w:ascii="Palatino Linotype" w:hAnsi="Palatino Linotype"/>
          <w:i/>
          <w:iCs/>
          <w:sz w:val="20"/>
        </w:rPr>
        <w:t>219</w:t>
      </w:r>
      <w:r w:rsidRPr="00431018">
        <w:rPr>
          <w:rFonts w:ascii="Palatino Linotype" w:hAnsi="Palatino Linotype"/>
          <w:sz w:val="20"/>
        </w:rPr>
        <w:t>, 1200–1207. https://doi.org/10.1016/j.procs.2023.01.402</w:t>
      </w:r>
    </w:p>
    <w:p w14:paraId="1B5CC33F"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Ritonga</w:t>
      </w:r>
      <w:proofErr w:type="spellEnd"/>
      <w:r w:rsidRPr="00431018">
        <w:rPr>
          <w:rFonts w:ascii="Palatino Linotype" w:hAnsi="Palatino Linotype"/>
          <w:sz w:val="20"/>
        </w:rPr>
        <w:t xml:space="preserve">, D. C. M., Faisal, F., &amp; Husna, R. (2022). </w:t>
      </w:r>
      <w:proofErr w:type="spellStart"/>
      <w:r w:rsidRPr="00431018">
        <w:rPr>
          <w:rFonts w:ascii="Palatino Linotype" w:hAnsi="Palatino Linotype"/>
          <w:sz w:val="20"/>
        </w:rPr>
        <w:t>Efektivitas</w:t>
      </w:r>
      <w:proofErr w:type="spellEnd"/>
      <w:r w:rsidRPr="00431018">
        <w:rPr>
          <w:rFonts w:ascii="Palatino Linotype" w:hAnsi="Palatino Linotype"/>
          <w:sz w:val="20"/>
        </w:rPr>
        <w:t xml:space="preserve"> Model </w:t>
      </w:r>
      <w:proofErr w:type="spellStart"/>
      <w:r w:rsidRPr="00431018">
        <w:rPr>
          <w:rFonts w:ascii="Palatino Linotype" w:hAnsi="Palatino Linotype"/>
          <w:sz w:val="20"/>
        </w:rPr>
        <w:t>Pembelajaran</w:t>
      </w:r>
      <w:proofErr w:type="spellEnd"/>
      <w:r w:rsidRPr="00431018">
        <w:rPr>
          <w:rFonts w:ascii="Palatino Linotype" w:hAnsi="Palatino Linotype"/>
          <w:sz w:val="20"/>
        </w:rPr>
        <w:t xml:space="preserve"> Jigsaw dan Numbered Head Together (NHT) </w:t>
      </w:r>
      <w:proofErr w:type="spellStart"/>
      <w:r w:rsidRPr="00431018">
        <w:rPr>
          <w:rFonts w:ascii="Palatino Linotype" w:hAnsi="Palatino Linotype"/>
          <w:sz w:val="20"/>
        </w:rPr>
        <w:t>dalam</w:t>
      </w:r>
      <w:proofErr w:type="spellEnd"/>
      <w:r w:rsidRPr="00431018">
        <w:rPr>
          <w:rFonts w:ascii="Palatino Linotype" w:hAnsi="Palatino Linotype"/>
          <w:sz w:val="20"/>
        </w:rPr>
        <w:t xml:space="preserve"> </w:t>
      </w:r>
      <w:proofErr w:type="spellStart"/>
      <w:r w:rsidRPr="00431018">
        <w:rPr>
          <w:rFonts w:ascii="Palatino Linotype" w:hAnsi="Palatino Linotype"/>
          <w:sz w:val="20"/>
        </w:rPr>
        <w:t>Pemecahan</w:t>
      </w:r>
      <w:proofErr w:type="spellEnd"/>
      <w:r w:rsidRPr="00431018">
        <w:rPr>
          <w:rFonts w:ascii="Palatino Linotype" w:hAnsi="Palatino Linotype"/>
          <w:sz w:val="20"/>
        </w:rPr>
        <w:t xml:space="preserve"> Soal-Soal HOTS Materi </w:t>
      </w:r>
      <w:proofErr w:type="spellStart"/>
      <w:r w:rsidRPr="00431018">
        <w:rPr>
          <w:rFonts w:ascii="Palatino Linotype" w:hAnsi="Palatino Linotype"/>
          <w:sz w:val="20"/>
        </w:rPr>
        <w:t>Pokok</w:t>
      </w:r>
      <w:proofErr w:type="spellEnd"/>
      <w:r w:rsidRPr="00431018">
        <w:rPr>
          <w:rFonts w:ascii="Palatino Linotype" w:hAnsi="Palatino Linotype"/>
          <w:sz w:val="20"/>
        </w:rPr>
        <w:t xml:space="preserve"> </w:t>
      </w:r>
      <w:proofErr w:type="spellStart"/>
      <w:r w:rsidRPr="00431018">
        <w:rPr>
          <w:rFonts w:ascii="Palatino Linotype" w:hAnsi="Palatino Linotype"/>
          <w:sz w:val="20"/>
        </w:rPr>
        <w:t>Fungsi</w:t>
      </w:r>
      <w:proofErr w:type="spellEnd"/>
      <w:r w:rsidRPr="00431018">
        <w:rPr>
          <w:rFonts w:ascii="Palatino Linotype" w:hAnsi="Palatino Linotype"/>
          <w:sz w:val="20"/>
        </w:rPr>
        <w:t xml:space="preserve"> </w:t>
      </w:r>
      <w:proofErr w:type="spellStart"/>
      <w:r w:rsidRPr="00431018">
        <w:rPr>
          <w:rFonts w:ascii="Palatino Linotype" w:hAnsi="Palatino Linotype"/>
          <w:sz w:val="20"/>
        </w:rPr>
        <w:t>Komposisi</w:t>
      </w:r>
      <w:proofErr w:type="spellEnd"/>
      <w:r w:rsidRPr="00431018">
        <w:rPr>
          <w:rFonts w:ascii="Palatino Linotype" w:hAnsi="Palatino Linotype"/>
          <w:sz w:val="20"/>
        </w:rPr>
        <w:t xml:space="preserve">. </w:t>
      </w:r>
      <w:proofErr w:type="spellStart"/>
      <w:r w:rsidRPr="00431018">
        <w:rPr>
          <w:rFonts w:ascii="Palatino Linotype" w:hAnsi="Palatino Linotype"/>
          <w:i/>
          <w:iCs/>
          <w:sz w:val="20"/>
        </w:rPr>
        <w:t>Jurnal</w:t>
      </w:r>
      <w:proofErr w:type="spellEnd"/>
      <w:r w:rsidRPr="00431018">
        <w:rPr>
          <w:rFonts w:ascii="Palatino Linotype" w:hAnsi="Palatino Linotype"/>
          <w:i/>
          <w:iCs/>
          <w:sz w:val="20"/>
        </w:rPr>
        <w:t xml:space="preserve"> </w:t>
      </w:r>
      <w:proofErr w:type="spellStart"/>
      <w:r w:rsidRPr="00431018">
        <w:rPr>
          <w:rFonts w:ascii="Palatino Linotype" w:hAnsi="Palatino Linotype"/>
          <w:i/>
          <w:iCs/>
          <w:sz w:val="20"/>
        </w:rPr>
        <w:t>Ilmiah</w:t>
      </w:r>
      <w:proofErr w:type="spellEnd"/>
      <w:r w:rsidRPr="00431018">
        <w:rPr>
          <w:rFonts w:ascii="Palatino Linotype" w:hAnsi="Palatino Linotype"/>
          <w:i/>
          <w:iCs/>
          <w:sz w:val="20"/>
        </w:rPr>
        <w:t xml:space="preserve"> Pendidikan </w:t>
      </w:r>
      <w:proofErr w:type="spellStart"/>
      <w:r w:rsidRPr="00431018">
        <w:rPr>
          <w:rFonts w:ascii="Palatino Linotype" w:hAnsi="Palatino Linotype"/>
          <w:i/>
          <w:iCs/>
          <w:sz w:val="20"/>
        </w:rPr>
        <w:t>Matematika</w:t>
      </w:r>
      <w:proofErr w:type="spellEnd"/>
      <w:r w:rsidRPr="00431018">
        <w:rPr>
          <w:rFonts w:ascii="Palatino Linotype" w:hAnsi="Palatino Linotype"/>
          <w:i/>
          <w:iCs/>
          <w:sz w:val="20"/>
        </w:rPr>
        <w:t xml:space="preserve"> Al </w:t>
      </w:r>
      <w:proofErr w:type="spellStart"/>
      <w:r w:rsidRPr="00431018">
        <w:rPr>
          <w:rFonts w:ascii="Palatino Linotype" w:hAnsi="Palatino Linotype"/>
          <w:i/>
          <w:iCs/>
          <w:sz w:val="20"/>
        </w:rPr>
        <w:t>Qalasadi</w:t>
      </w:r>
      <w:proofErr w:type="spellEnd"/>
      <w:r w:rsidRPr="00431018">
        <w:rPr>
          <w:rFonts w:ascii="Palatino Linotype" w:hAnsi="Palatino Linotype"/>
          <w:sz w:val="20"/>
        </w:rPr>
        <w:t xml:space="preserve">, </w:t>
      </w:r>
      <w:r w:rsidRPr="00431018">
        <w:rPr>
          <w:rFonts w:ascii="Palatino Linotype" w:hAnsi="Palatino Linotype"/>
          <w:i/>
          <w:iCs/>
          <w:sz w:val="20"/>
        </w:rPr>
        <w:t>6</w:t>
      </w:r>
      <w:r w:rsidRPr="00431018">
        <w:rPr>
          <w:rFonts w:ascii="Palatino Linotype" w:hAnsi="Palatino Linotype"/>
          <w:sz w:val="20"/>
        </w:rPr>
        <w:t>(2), 185–194. https://doi.org/10.32505/qalasadi.v6i2.4982</w:t>
      </w:r>
    </w:p>
    <w:p w14:paraId="50BB022E"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Santos-Garcia, D., </w:t>
      </w:r>
      <w:proofErr w:type="spellStart"/>
      <w:r w:rsidRPr="00431018">
        <w:rPr>
          <w:rFonts w:ascii="Palatino Linotype" w:hAnsi="Palatino Linotype"/>
          <w:sz w:val="20"/>
        </w:rPr>
        <w:t>Juravel</w:t>
      </w:r>
      <w:proofErr w:type="spellEnd"/>
      <w:r w:rsidRPr="00431018">
        <w:rPr>
          <w:rFonts w:ascii="Palatino Linotype" w:hAnsi="Palatino Linotype"/>
          <w:sz w:val="20"/>
        </w:rPr>
        <w:t xml:space="preserve">, K., Freilich, S., </w:t>
      </w:r>
      <w:proofErr w:type="spellStart"/>
      <w:r w:rsidRPr="00431018">
        <w:rPr>
          <w:rFonts w:ascii="Palatino Linotype" w:hAnsi="Palatino Linotype"/>
          <w:sz w:val="20"/>
        </w:rPr>
        <w:t>Zchori</w:t>
      </w:r>
      <w:proofErr w:type="spellEnd"/>
      <w:r w:rsidRPr="00431018">
        <w:rPr>
          <w:rFonts w:ascii="Palatino Linotype" w:hAnsi="Palatino Linotype"/>
          <w:sz w:val="20"/>
        </w:rPr>
        <w:t xml:space="preserve">-Fein, E., Latorre, A., Moya, A., Morin, S., &amp; Silva, F. J. (2018). To B or Not to B: Comparative Genomics Suggests </w:t>
      </w:r>
      <w:proofErr w:type="spellStart"/>
      <w:r w:rsidRPr="00431018">
        <w:rPr>
          <w:rFonts w:ascii="Palatino Linotype" w:hAnsi="Palatino Linotype"/>
          <w:sz w:val="20"/>
        </w:rPr>
        <w:t>Arsenophonus</w:t>
      </w:r>
      <w:proofErr w:type="spellEnd"/>
      <w:r w:rsidRPr="00431018">
        <w:rPr>
          <w:rFonts w:ascii="Palatino Linotype" w:hAnsi="Palatino Linotype"/>
          <w:sz w:val="20"/>
        </w:rPr>
        <w:t xml:space="preserve"> as a Source of B Vitamins in Whiteflies. </w:t>
      </w:r>
      <w:r w:rsidRPr="00431018">
        <w:rPr>
          <w:rFonts w:ascii="Palatino Linotype" w:hAnsi="Palatino Linotype"/>
          <w:i/>
          <w:iCs/>
          <w:sz w:val="20"/>
        </w:rPr>
        <w:t>Frontiers in Microbiology</w:t>
      </w:r>
      <w:r w:rsidRPr="00431018">
        <w:rPr>
          <w:rFonts w:ascii="Palatino Linotype" w:hAnsi="Palatino Linotype"/>
          <w:sz w:val="20"/>
        </w:rPr>
        <w:t xml:space="preserve">, </w:t>
      </w:r>
      <w:r w:rsidRPr="00431018">
        <w:rPr>
          <w:rFonts w:ascii="Palatino Linotype" w:hAnsi="Palatino Linotype"/>
          <w:i/>
          <w:iCs/>
          <w:sz w:val="20"/>
        </w:rPr>
        <w:t>9</w:t>
      </w:r>
      <w:r w:rsidRPr="00431018">
        <w:rPr>
          <w:rFonts w:ascii="Palatino Linotype" w:hAnsi="Palatino Linotype"/>
          <w:sz w:val="20"/>
        </w:rPr>
        <w:t>, 2254. https://doi.org/10.3389/fmicb.2018.02254</w:t>
      </w:r>
    </w:p>
    <w:p w14:paraId="314F84B1"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Shammout</w:t>
      </w:r>
      <w:proofErr w:type="spellEnd"/>
      <w:r w:rsidRPr="00431018">
        <w:rPr>
          <w:rFonts w:ascii="Palatino Linotype" w:hAnsi="Palatino Linotype"/>
          <w:sz w:val="20"/>
        </w:rPr>
        <w:t xml:space="preserve">, M. (2020). The Effect of Cooperative Learning Activities on Enhancing the Writing Skills of Syrian EFL Learners at Arab International University. </w:t>
      </w:r>
      <w:r w:rsidRPr="00431018">
        <w:rPr>
          <w:rFonts w:ascii="Palatino Linotype" w:hAnsi="Palatino Linotype"/>
          <w:i/>
          <w:iCs/>
          <w:sz w:val="20"/>
        </w:rPr>
        <w:t>Theory and Practice in Language Studies</w:t>
      </w:r>
      <w:r w:rsidRPr="00431018">
        <w:rPr>
          <w:rFonts w:ascii="Palatino Linotype" w:hAnsi="Palatino Linotype"/>
          <w:sz w:val="20"/>
        </w:rPr>
        <w:t xml:space="preserve">, </w:t>
      </w:r>
      <w:r w:rsidRPr="00431018">
        <w:rPr>
          <w:rFonts w:ascii="Palatino Linotype" w:hAnsi="Palatino Linotype"/>
          <w:i/>
          <w:iCs/>
          <w:sz w:val="20"/>
        </w:rPr>
        <w:t>10</w:t>
      </w:r>
      <w:r w:rsidRPr="00431018">
        <w:rPr>
          <w:rFonts w:ascii="Palatino Linotype" w:hAnsi="Palatino Linotype"/>
          <w:sz w:val="20"/>
        </w:rPr>
        <w:t>(7), 791. https://doi.org/10.17507/tpls.1007.10</w:t>
      </w:r>
    </w:p>
    <w:p w14:paraId="52A235F1"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Sinaga, M., </w:t>
      </w:r>
      <w:proofErr w:type="spellStart"/>
      <w:r w:rsidRPr="00431018">
        <w:rPr>
          <w:rFonts w:ascii="Palatino Linotype" w:hAnsi="Palatino Linotype"/>
          <w:sz w:val="20"/>
        </w:rPr>
        <w:t>Mursid</w:t>
      </w:r>
      <w:proofErr w:type="spellEnd"/>
      <w:r w:rsidRPr="00431018">
        <w:rPr>
          <w:rFonts w:ascii="Palatino Linotype" w:hAnsi="Palatino Linotype"/>
          <w:sz w:val="20"/>
        </w:rPr>
        <w:t xml:space="preserve">, R., </w:t>
      </w:r>
      <w:proofErr w:type="gramStart"/>
      <w:r w:rsidRPr="00431018">
        <w:rPr>
          <w:rFonts w:ascii="Palatino Linotype" w:hAnsi="Palatino Linotype"/>
          <w:sz w:val="20"/>
        </w:rPr>
        <w:t>&amp; .</w:t>
      </w:r>
      <w:proofErr w:type="gramEnd"/>
      <w:r w:rsidRPr="00431018">
        <w:rPr>
          <w:rFonts w:ascii="Palatino Linotype" w:hAnsi="Palatino Linotype"/>
          <w:sz w:val="20"/>
        </w:rPr>
        <w:t xml:space="preserve"> S. (2023). Development of Student Worksheets Based on Problem-Based Learning Integrated HOTS Social Science Subjects. </w:t>
      </w:r>
      <w:r w:rsidRPr="00431018">
        <w:rPr>
          <w:rFonts w:ascii="Palatino Linotype" w:hAnsi="Palatino Linotype"/>
          <w:i/>
          <w:iCs/>
          <w:sz w:val="20"/>
        </w:rPr>
        <w:t>International Journal of Computer Applications Technology and Research</w:t>
      </w:r>
      <w:r w:rsidRPr="00431018">
        <w:rPr>
          <w:rFonts w:ascii="Palatino Linotype" w:hAnsi="Palatino Linotype"/>
          <w:sz w:val="20"/>
        </w:rPr>
        <w:t>, 13–18. https://doi.org/10.7753/IJCATR1201.1003</w:t>
      </w:r>
    </w:p>
    <w:p w14:paraId="33FC4EDF"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Ubaidillah</w:t>
      </w:r>
      <w:proofErr w:type="spellEnd"/>
      <w:r w:rsidRPr="00431018">
        <w:rPr>
          <w:rFonts w:ascii="Palatino Linotype" w:hAnsi="Palatino Linotype"/>
          <w:sz w:val="20"/>
        </w:rPr>
        <w:t xml:space="preserve">, M., </w:t>
      </w:r>
      <w:proofErr w:type="spellStart"/>
      <w:r w:rsidRPr="00431018">
        <w:rPr>
          <w:rFonts w:ascii="Palatino Linotype" w:hAnsi="Palatino Linotype"/>
          <w:sz w:val="20"/>
        </w:rPr>
        <w:t>Marwoto</w:t>
      </w:r>
      <w:proofErr w:type="spellEnd"/>
      <w:r w:rsidRPr="00431018">
        <w:rPr>
          <w:rFonts w:ascii="Palatino Linotype" w:hAnsi="Palatino Linotype"/>
          <w:sz w:val="20"/>
        </w:rPr>
        <w:t xml:space="preserve">, P., </w:t>
      </w:r>
      <w:proofErr w:type="spellStart"/>
      <w:r w:rsidRPr="00431018">
        <w:rPr>
          <w:rFonts w:ascii="Palatino Linotype" w:hAnsi="Palatino Linotype"/>
          <w:sz w:val="20"/>
        </w:rPr>
        <w:t>Wiyanto</w:t>
      </w:r>
      <w:proofErr w:type="spellEnd"/>
      <w:r w:rsidRPr="00431018">
        <w:rPr>
          <w:rFonts w:ascii="Palatino Linotype" w:hAnsi="Palatino Linotype"/>
          <w:sz w:val="20"/>
        </w:rPr>
        <w:t xml:space="preserve">, W., &amp; Subali, B. (2023). Problem Solving and Decision-Making Skills for ESD: A Bibliometric Analysis. </w:t>
      </w:r>
      <w:r w:rsidRPr="00431018">
        <w:rPr>
          <w:rFonts w:ascii="Palatino Linotype" w:hAnsi="Palatino Linotype"/>
          <w:i/>
          <w:iCs/>
          <w:sz w:val="20"/>
        </w:rPr>
        <w:t>International Journal of Cognitive Research in Science, Engineering and Education (IJCRSEE)</w:t>
      </w:r>
      <w:r w:rsidRPr="00431018">
        <w:rPr>
          <w:rFonts w:ascii="Palatino Linotype" w:hAnsi="Palatino Linotype"/>
          <w:sz w:val="20"/>
        </w:rPr>
        <w:t xml:space="preserve">, </w:t>
      </w:r>
      <w:r w:rsidRPr="00431018">
        <w:rPr>
          <w:rFonts w:ascii="Palatino Linotype" w:hAnsi="Palatino Linotype"/>
          <w:i/>
          <w:iCs/>
          <w:sz w:val="20"/>
        </w:rPr>
        <w:t>11</w:t>
      </w:r>
      <w:r w:rsidRPr="00431018">
        <w:rPr>
          <w:rFonts w:ascii="Palatino Linotype" w:hAnsi="Palatino Linotype"/>
          <w:sz w:val="20"/>
        </w:rPr>
        <w:t>(3), 401–415. https://doi.org/10.23947/2334-8496-2023-11-3-401-415</w:t>
      </w:r>
    </w:p>
    <w:p w14:paraId="716A7F33"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Wahono, B., Lin, P.-L., &amp; Chang, C.-Y. (2020). Evidence of STEM enactment effectiveness in Asian student learning outcomes. </w:t>
      </w:r>
      <w:r w:rsidRPr="00431018">
        <w:rPr>
          <w:rFonts w:ascii="Palatino Linotype" w:hAnsi="Palatino Linotype"/>
          <w:i/>
          <w:iCs/>
          <w:sz w:val="20"/>
        </w:rPr>
        <w:t>International Journal of STEM Education</w:t>
      </w:r>
      <w:r w:rsidRPr="00431018">
        <w:rPr>
          <w:rFonts w:ascii="Palatino Linotype" w:hAnsi="Palatino Linotype"/>
          <w:sz w:val="20"/>
        </w:rPr>
        <w:t xml:space="preserve">, </w:t>
      </w:r>
      <w:r w:rsidRPr="00431018">
        <w:rPr>
          <w:rFonts w:ascii="Palatino Linotype" w:hAnsi="Palatino Linotype"/>
          <w:i/>
          <w:iCs/>
          <w:sz w:val="20"/>
        </w:rPr>
        <w:t>7</w:t>
      </w:r>
      <w:r w:rsidRPr="00431018">
        <w:rPr>
          <w:rFonts w:ascii="Palatino Linotype" w:hAnsi="Palatino Linotype"/>
          <w:sz w:val="20"/>
        </w:rPr>
        <w:t>(1), 36. https://doi.org/10.1186/s40594-020-00236-1</w:t>
      </w:r>
    </w:p>
    <w:p w14:paraId="1D9EBE97"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t>Wartono</w:t>
      </w:r>
      <w:proofErr w:type="spellEnd"/>
      <w:r w:rsidRPr="00431018">
        <w:rPr>
          <w:rFonts w:ascii="Palatino Linotype" w:hAnsi="Palatino Linotype"/>
          <w:sz w:val="20"/>
        </w:rPr>
        <w:t xml:space="preserve">, W., Hudha, M. N., &amp; </w:t>
      </w:r>
      <w:proofErr w:type="spellStart"/>
      <w:r w:rsidRPr="00431018">
        <w:rPr>
          <w:rFonts w:ascii="Palatino Linotype" w:hAnsi="Palatino Linotype"/>
          <w:sz w:val="20"/>
        </w:rPr>
        <w:t>Batlolona</w:t>
      </w:r>
      <w:proofErr w:type="spellEnd"/>
      <w:r w:rsidRPr="00431018">
        <w:rPr>
          <w:rFonts w:ascii="Palatino Linotype" w:hAnsi="Palatino Linotype"/>
          <w:sz w:val="20"/>
        </w:rPr>
        <w:t xml:space="preserve">, J. R. (2017). How Are </w:t>
      </w:r>
      <w:proofErr w:type="gramStart"/>
      <w:r w:rsidRPr="00431018">
        <w:rPr>
          <w:rFonts w:ascii="Palatino Linotype" w:hAnsi="Palatino Linotype"/>
          <w:sz w:val="20"/>
        </w:rPr>
        <w:t>The</w:t>
      </w:r>
      <w:proofErr w:type="gramEnd"/>
      <w:r w:rsidRPr="00431018">
        <w:rPr>
          <w:rFonts w:ascii="Palatino Linotype" w:hAnsi="Palatino Linotype"/>
          <w:sz w:val="20"/>
        </w:rPr>
        <w:t xml:space="preserve"> Physics Critical Thinking Skills of The Students Taught by Using Inquiry-Discovery Through Empirical and </w:t>
      </w:r>
      <w:proofErr w:type="spellStart"/>
      <w:r w:rsidRPr="00431018">
        <w:rPr>
          <w:rFonts w:ascii="Palatino Linotype" w:hAnsi="Palatino Linotype"/>
          <w:sz w:val="20"/>
        </w:rPr>
        <w:t>Theorethical</w:t>
      </w:r>
      <w:proofErr w:type="spellEnd"/>
      <w:r w:rsidRPr="00431018">
        <w:rPr>
          <w:rFonts w:ascii="Palatino Linotype" w:hAnsi="Palatino Linotype"/>
          <w:sz w:val="20"/>
        </w:rPr>
        <w:t xml:space="preserve"> Overview? </w:t>
      </w:r>
      <w:r w:rsidRPr="00431018">
        <w:rPr>
          <w:rFonts w:ascii="Palatino Linotype" w:hAnsi="Palatino Linotype"/>
          <w:i/>
          <w:iCs/>
          <w:sz w:val="20"/>
        </w:rPr>
        <w:t>EURASIA Journal of Mathematics, Science and Technology Education</w:t>
      </w:r>
      <w:r w:rsidRPr="00431018">
        <w:rPr>
          <w:rFonts w:ascii="Palatino Linotype" w:hAnsi="Palatino Linotype"/>
          <w:sz w:val="20"/>
        </w:rPr>
        <w:t xml:space="preserve">, </w:t>
      </w:r>
      <w:r w:rsidRPr="00431018">
        <w:rPr>
          <w:rFonts w:ascii="Palatino Linotype" w:hAnsi="Palatino Linotype"/>
          <w:i/>
          <w:iCs/>
          <w:sz w:val="20"/>
        </w:rPr>
        <w:t>14</w:t>
      </w:r>
      <w:r w:rsidRPr="00431018">
        <w:rPr>
          <w:rFonts w:ascii="Palatino Linotype" w:hAnsi="Palatino Linotype"/>
          <w:sz w:val="20"/>
        </w:rPr>
        <w:t>(2). https://doi.org/10.12973/ejmste/80632</w:t>
      </w:r>
    </w:p>
    <w:p w14:paraId="6E027275" w14:textId="77777777" w:rsidR="00431018" w:rsidRPr="00431018" w:rsidRDefault="00431018" w:rsidP="00431018">
      <w:pPr>
        <w:pStyle w:val="Bibliography"/>
        <w:spacing w:line="240" w:lineRule="auto"/>
        <w:jc w:val="both"/>
        <w:rPr>
          <w:rFonts w:ascii="Palatino Linotype" w:hAnsi="Palatino Linotype"/>
          <w:sz w:val="20"/>
        </w:rPr>
      </w:pPr>
      <w:proofErr w:type="spellStart"/>
      <w:r w:rsidRPr="00431018">
        <w:rPr>
          <w:rFonts w:ascii="Palatino Linotype" w:hAnsi="Palatino Linotype"/>
          <w:sz w:val="20"/>
        </w:rPr>
        <w:lastRenderedPageBreak/>
        <w:t>Widiyatmoko</w:t>
      </w:r>
      <w:proofErr w:type="spellEnd"/>
      <w:r w:rsidRPr="00431018">
        <w:rPr>
          <w:rFonts w:ascii="Palatino Linotype" w:hAnsi="Palatino Linotype"/>
          <w:sz w:val="20"/>
        </w:rPr>
        <w:t xml:space="preserve">, A., &amp; Shimizu, K. (2018). An overview of conceptual understanding in science education curriculum in Indonesia. </w:t>
      </w:r>
      <w:r w:rsidRPr="00431018">
        <w:rPr>
          <w:rFonts w:ascii="Palatino Linotype" w:hAnsi="Palatino Linotype"/>
          <w:i/>
          <w:iCs/>
          <w:sz w:val="20"/>
        </w:rPr>
        <w:t>Journal of Physics: Conference Series</w:t>
      </w:r>
      <w:r w:rsidRPr="00431018">
        <w:rPr>
          <w:rFonts w:ascii="Palatino Linotype" w:hAnsi="Palatino Linotype"/>
          <w:sz w:val="20"/>
        </w:rPr>
        <w:t xml:space="preserve">, </w:t>
      </w:r>
      <w:r w:rsidRPr="00431018">
        <w:rPr>
          <w:rFonts w:ascii="Palatino Linotype" w:hAnsi="Palatino Linotype"/>
          <w:i/>
          <w:iCs/>
          <w:sz w:val="20"/>
        </w:rPr>
        <w:t>983</w:t>
      </w:r>
      <w:r w:rsidRPr="00431018">
        <w:rPr>
          <w:rFonts w:ascii="Palatino Linotype" w:hAnsi="Palatino Linotype"/>
          <w:sz w:val="20"/>
        </w:rPr>
        <w:t>, 012044. https://doi.org/10.1088/1742-6596/983/1/012044</w:t>
      </w:r>
    </w:p>
    <w:p w14:paraId="6EEDD6E8"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Wilson, D. M., &amp; A/l </w:t>
      </w:r>
      <w:proofErr w:type="spellStart"/>
      <w:r w:rsidRPr="00431018">
        <w:rPr>
          <w:rFonts w:ascii="Palatino Linotype" w:hAnsi="Palatino Linotype"/>
          <w:sz w:val="20"/>
        </w:rPr>
        <w:t>Narasuman</w:t>
      </w:r>
      <w:proofErr w:type="spellEnd"/>
      <w:r w:rsidRPr="00431018">
        <w:rPr>
          <w:rFonts w:ascii="Palatino Linotype" w:hAnsi="Palatino Linotype"/>
          <w:sz w:val="20"/>
        </w:rPr>
        <w:t xml:space="preserve">, S. (2020). Investigating Teachers’ Implementation and Strategies on Higher Order Thinking Skills in School Based Assessment Instruments. </w:t>
      </w:r>
      <w:r w:rsidRPr="00431018">
        <w:rPr>
          <w:rFonts w:ascii="Palatino Linotype" w:hAnsi="Palatino Linotype"/>
          <w:i/>
          <w:iCs/>
          <w:sz w:val="20"/>
        </w:rPr>
        <w:t>Asian Journal of University Education</w:t>
      </w:r>
      <w:r w:rsidRPr="00431018">
        <w:rPr>
          <w:rFonts w:ascii="Palatino Linotype" w:hAnsi="Palatino Linotype"/>
          <w:sz w:val="20"/>
        </w:rPr>
        <w:t xml:space="preserve">, </w:t>
      </w:r>
      <w:r w:rsidRPr="00431018">
        <w:rPr>
          <w:rFonts w:ascii="Palatino Linotype" w:hAnsi="Palatino Linotype"/>
          <w:i/>
          <w:iCs/>
          <w:sz w:val="20"/>
        </w:rPr>
        <w:t>16</w:t>
      </w:r>
      <w:r w:rsidRPr="00431018">
        <w:rPr>
          <w:rFonts w:ascii="Palatino Linotype" w:hAnsi="Palatino Linotype"/>
          <w:sz w:val="20"/>
        </w:rPr>
        <w:t>(1), 70. https://doi.org/10.24191/ajue.v16i1.8991</w:t>
      </w:r>
    </w:p>
    <w:p w14:paraId="355A6B68"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Wu, T.-T., Sari, N. A. R. M., &amp; Huang, Y.-M. (2024). Integrating extended formative assessment in flipped jigsaw learning: Promoting learning engagement and higher-order thinking skills in international business education context. </w:t>
      </w:r>
      <w:r w:rsidRPr="00431018">
        <w:rPr>
          <w:rFonts w:ascii="Palatino Linotype" w:hAnsi="Palatino Linotype"/>
          <w:i/>
          <w:iCs/>
          <w:sz w:val="20"/>
        </w:rPr>
        <w:t>The International Journal of Management Education</w:t>
      </w:r>
      <w:r w:rsidRPr="00431018">
        <w:rPr>
          <w:rFonts w:ascii="Palatino Linotype" w:hAnsi="Palatino Linotype"/>
          <w:sz w:val="20"/>
        </w:rPr>
        <w:t xml:space="preserve">, </w:t>
      </w:r>
      <w:r w:rsidRPr="00431018">
        <w:rPr>
          <w:rFonts w:ascii="Palatino Linotype" w:hAnsi="Palatino Linotype"/>
          <w:i/>
          <w:iCs/>
          <w:sz w:val="20"/>
        </w:rPr>
        <w:t>22</w:t>
      </w:r>
      <w:r w:rsidRPr="00431018">
        <w:rPr>
          <w:rFonts w:ascii="Palatino Linotype" w:hAnsi="Palatino Linotype"/>
          <w:sz w:val="20"/>
        </w:rPr>
        <w:t>(1), 100930. https://doi.org/10.1016/j.ijme.2024.100930</w:t>
      </w:r>
    </w:p>
    <w:p w14:paraId="68D748A0" w14:textId="77777777" w:rsidR="00431018" w:rsidRPr="00431018" w:rsidRDefault="00431018" w:rsidP="00431018">
      <w:pPr>
        <w:pStyle w:val="Bibliography"/>
        <w:spacing w:line="240" w:lineRule="auto"/>
        <w:jc w:val="both"/>
        <w:rPr>
          <w:rFonts w:ascii="Palatino Linotype" w:hAnsi="Palatino Linotype"/>
          <w:sz w:val="20"/>
        </w:rPr>
      </w:pPr>
      <w:r w:rsidRPr="00431018">
        <w:rPr>
          <w:rFonts w:ascii="Palatino Linotype" w:hAnsi="Palatino Linotype"/>
          <w:sz w:val="20"/>
        </w:rPr>
        <w:t xml:space="preserve">Yoshida, M. (2018). Communication Jigsaw: A Teaching Method that Promotes Scholarly Communication. </w:t>
      </w:r>
      <w:r w:rsidRPr="00431018">
        <w:rPr>
          <w:rFonts w:ascii="Palatino Linotype" w:hAnsi="Palatino Linotype"/>
          <w:i/>
          <w:iCs/>
          <w:sz w:val="20"/>
        </w:rPr>
        <w:t>International Journal of Emerging Technologies in Learning (</w:t>
      </w:r>
      <w:proofErr w:type="spellStart"/>
      <w:r w:rsidRPr="00431018">
        <w:rPr>
          <w:rFonts w:ascii="Palatino Linotype" w:hAnsi="Palatino Linotype"/>
          <w:i/>
          <w:iCs/>
          <w:sz w:val="20"/>
        </w:rPr>
        <w:t>iJET</w:t>
      </w:r>
      <w:proofErr w:type="spellEnd"/>
      <w:r w:rsidRPr="00431018">
        <w:rPr>
          <w:rFonts w:ascii="Palatino Linotype" w:hAnsi="Palatino Linotype"/>
          <w:i/>
          <w:iCs/>
          <w:sz w:val="20"/>
        </w:rPr>
        <w:t>)</w:t>
      </w:r>
      <w:r w:rsidRPr="00431018">
        <w:rPr>
          <w:rFonts w:ascii="Palatino Linotype" w:hAnsi="Palatino Linotype"/>
          <w:sz w:val="20"/>
        </w:rPr>
        <w:t xml:space="preserve">, </w:t>
      </w:r>
      <w:r w:rsidRPr="00431018">
        <w:rPr>
          <w:rFonts w:ascii="Palatino Linotype" w:hAnsi="Palatino Linotype"/>
          <w:i/>
          <w:iCs/>
          <w:sz w:val="20"/>
        </w:rPr>
        <w:t>13</w:t>
      </w:r>
      <w:r w:rsidRPr="00431018">
        <w:rPr>
          <w:rFonts w:ascii="Palatino Linotype" w:hAnsi="Palatino Linotype"/>
          <w:sz w:val="20"/>
        </w:rPr>
        <w:t>(10), 208. https://doi.org/10.3991/ijet.v13i10.8850</w:t>
      </w:r>
    </w:p>
    <w:p w14:paraId="5A30E1EE" w14:textId="5101EC7C" w:rsidR="00A0227A" w:rsidRDefault="00AE1C5B" w:rsidP="00431018">
      <w:pPr>
        <w:pStyle w:val="Alishlah71References"/>
        <w:spacing w:line="240" w:lineRule="auto"/>
      </w:pPr>
      <w:r>
        <w:fldChar w:fldCharType="end"/>
      </w:r>
    </w:p>
    <w:p w14:paraId="335C359E" w14:textId="77777777" w:rsidR="002B31FD" w:rsidRDefault="002B31FD" w:rsidP="002B31FD">
      <w:pPr>
        <w:rPr>
          <w:b/>
          <w:bCs/>
          <w:i/>
          <w:iCs/>
        </w:rPr>
      </w:pPr>
    </w:p>
    <w:p w14:paraId="6DE73917" w14:textId="7DDC8BEA" w:rsidR="00143989" w:rsidRPr="00723B12" w:rsidRDefault="00143989" w:rsidP="002B31FD">
      <w:pPr>
        <w:pStyle w:val="Alishlah71References"/>
      </w:pPr>
    </w:p>
    <w:sectPr w:rsidR="00143989" w:rsidRPr="00723B12" w:rsidSect="001914CF">
      <w:headerReference w:type="default" r:id="rId13"/>
      <w:footerReference w:type="default" r:id="rId14"/>
      <w:headerReference w:type="first" r:id="rId15"/>
      <w:footerReference w:type="first" r:id="rId1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D59B7" w14:textId="77777777" w:rsidR="004B51CB" w:rsidRDefault="004B51CB" w:rsidP="008E64A2">
      <w:pPr>
        <w:spacing w:after="0" w:line="240" w:lineRule="auto"/>
      </w:pPr>
      <w:r>
        <w:separator/>
      </w:r>
    </w:p>
    <w:p w14:paraId="13976B71" w14:textId="77777777" w:rsidR="004B51CB" w:rsidRDefault="004B51CB"/>
  </w:endnote>
  <w:endnote w:type="continuationSeparator" w:id="0">
    <w:p w14:paraId="5FF4BA1F" w14:textId="77777777" w:rsidR="004B51CB" w:rsidRDefault="004B51CB" w:rsidP="008E64A2">
      <w:pPr>
        <w:spacing w:after="0" w:line="240" w:lineRule="auto"/>
      </w:pPr>
      <w:r>
        <w:continuationSeparator/>
      </w:r>
    </w:p>
    <w:p w14:paraId="4A9522A2" w14:textId="77777777" w:rsidR="004B51CB" w:rsidRDefault="004B5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ABBF8" w14:textId="2AE1DADA" w:rsidR="001C18FA" w:rsidRPr="00727D5A" w:rsidRDefault="004C7916" w:rsidP="00727D5A">
    <w:pPr>
      <w:pStyle w:val="Footer"/>
    </w:pPr>
    <w:r>
      <w:rPr>
        <w:rFonts w:ascii="Palatino Linotype" w:hAnsi="Palatino Linotype"/>
        <w:i/>
        <w:sz w:val="16"/>
      </w:rPr>
      <w:t xml:space="preserve">Ferdi </w:t>
    </w:r>
    <w:proofErr w:type="spellStart"/>
    <w:r>
      <w:rPr>
        <w:rFonts w:ascii="Palatino Linotype" w:hAnsi="Palatino Linotype"/>
        <w:i/>
        <w:sz w:val="16"/>
      </w:rPr>
      <w:t>Yufriadi</w:t>
    </w:r>
    <w:proofErr w:type="spellEnd"/>
    <w:r>
      <w:rPr>
        <w:rFonts w:ascii="Palatino Linotype" w:hAnsi="Palatino Linotype"/>
        <w:i/>
        <w:sz w:val="16"/>
      </w:rPr>
      <w:t xml:space="preserve"> et al.</w:t>
    </w:r>
    <w:r w:rsidR="00727D5A" w:rsidRPr="00727D5A">
      <w:rPr>
        <w:rFonts w:ascii="Palatino Linotype" w:hAnsi="Palatino Linotype"/>
        <w:i/>
        <w:sz w:val="16"/>
      </w:rPr>
      <w:t xml:space="preserve"> /</w:t>
    </w:r>
    <w:r w:rsidR="008D2282" w:rsidRPr="008D2282">
      <w:t xml:space="preserve"> </w:t>
    </w:r>
    <w:r w:rsidR="008D2282" w:rsidRPr="008D2282">
      <w:rPr>
        <w:rFonts w:ascii="Palatino Linotype" w:hAnsi="Palatino Linotype"/>
        <w:i/>
        <w:sz w:val="16"/>
      </w:rPr>
      <w:t xml:space="preserve">Jigsaw Strategy on Learning Outcomes and Higher Order Thinking Skills of Students in Social Science at Madrasah </w:t>
    </w:r>
    <w:proofErr w:type="spellStart"/>
    <w:r w:rsidR="008D2282" w:rsidRPr="008D2282">
      <w:rPr>
        <w:rFonts w:ascii="Palatino Linotype" w:hAnsi="Palatino Linotype"/>
        <w:i/>
        <w:sz w:val="16"/>
      </w:rPr>
      <w:t>Tsanawiyah</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E011D"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4DEF6" w14:textId="77777777" w:rsidR="004B51CB" w:rsidRDefault="004B51CB" w:rsidP="008E64A2">
      <w:pPr>
        <w:spacing w:after="0" w:line="240" w:lineRule="auto"/>
      </w:pPr>
      <w:r>
        <w:separator/>
      </w:r>
    </w:p>
    <w:p w14:paraId="041A4A1A" w14:textId="77777777" w:rsidR="004B51CB" w:rsidRDefault="004B51CB"/>
  </w:footnote>
  <w:footnote w:type="continuationSeparator" w:id="0">
    <w:p w14:paraId="40BF625E" w14:textId="77777777" w:rsidR="004B51CB" w:rsidRDefault="004B51CB" w:rsidP="008E64A2">
      <w:pPr>
        <w:spacing w:after="0" w:line="240" w:lineRule="auto"/>
      </w:pPr>
      <w:r>
        <w:continuationSeparator/>
      </w:r>
    </w:p>
    <w:p w14:paraId="092D9215" w14:textId="77777777" w:rsidR="004B51CB" w:rsidRDefault="004B51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AEF6C"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4D6ADB3A" wp14:editId="17690FB9">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D78AB3"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14AFC29A" w14:textId="77777777" w:rsidR="006E7F16" w:rsidRDefault="006E7F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495C0" w14:textId="77777777" w:rsidR="001C18FA" w:rsidRPr="0048254D" w:rsidRDefault="001C18FA" w:rsidP="0048254D">
    <w:pPr>
      <w:pStyle w:val="Header"/>
      <w:ind w:right="45"/>
      <w:rPr>
        <w:rFonts w:ascii="Palatino Linotype" w:hAnsi="Palatino Linotype"/>
        <w:b/>
        <w:sz w:val="20"/>
      </w:rPr>
    </w:pPr>
    <w:bookmarkStart w:id="3"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69E1CA67"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161EC197"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3"/>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348CE2E8" wp14:editId="1BE9A8B0">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41FD9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492C810C"/>
    <w:lvl w:ilvl="0">
      <w:start w:val="1"/>
      <w:numFmt w:val="decimal"/>
      <w:pStyle w:val="Alishlah21heading1"/>
      <w:lvlText w:val="%1."/>
      <w:lvlJc w:val="left"/>
      <w:pPr>
        <w:ind w:left="720" w:hanging="360"/>
      </w:pPr>
    </w:lvl>
    <w:lvl w:ilvl="1">
      <w:start w:val="1"/>
      <w:numFmt w:val="decimal"/>
      <w:isLgl/>
      <w:lvlText w:val="%1.%2."/>
      <w:lvlJc w:val="left"/>
      <w:pPr>
        <w:ind w:left="360" w:hanging="360"/>
      </w:pPr>
      <w:rPr>
        <w:rFonts w:hint="default"/>
        <w:i/>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42261132">
    <w:abstractNumId w:val="9"/>
  </w:num>
  <w:num w:numId="2" w16cid:durableId="442113312">
    <w:abstractNumId w:val="10"/>
  </w:num>
  <w:num w:numId="3" w16cid:durableId="1362517249">
    <w:abstractNumId w:val="6"/>
  </w:num>
  <w:num w:numId="4" w16cid:durableId="237179215">
    <w:abstractNumId w:val="5"/>
  </w:num>
  <w:num w:numId="5" w16cid:durableId="1714502402">
    <w:abstractNumId w:val="13"/>
  </w:num>
  <w:num w:numId="6" w16cid:durableId="1566454308">
    <w:abstractNumId w:val="16"/>
  </w:num>
  <w:num w:numId="7" w16cid:durableId="1062680325">
    <w:abstractNumId w:val="1"/>
  </w:num>
  <w:num w:numId="8" w16cid:durableId="1220937159">
    <w:abstractNumId w:val="15"/>
  </w:num>
  <w:num w:numId="9" w16cid:durableId="1358388952">
    <w:abstractNumId w:val="8"/>
  </w:num>
  <w:num w:numId="10" w16cid:durableId="1688865973">
    <w:abstractNumId w:val="14"/>
  </w:num>
  <w:num w:numId="11" w16cid:durableId="18502889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7383750">
    <w:abstractNumId w:val="17"/>
  </w:num>
  <w:num w:numId="13" w16cid:durableId="853037116">
    <w:abstractNumId w:val="2"/>
  </w:num>
  <w:num w:numId="14" w16cid:durableId="704019707">
    <w:abstractNumId w:val="11"/>
  </w:num>
  <w:num w:numId="15" w16cid:durableId="608393785">
    <w:abstractNumId w:val="12"/>
  </w:num>
  <w:num w:numId="16" w16cid:durableId="401830482">
    <w:abstractNumId w:val="0"/>
  </w:num>
  <w:num w:numId="17" w16cid:durableId="1555392338">
    <w:abstractNumId w:val="4"/>
  </w:num>
  <w:num w:numId="18" w16cid:durableId="1228611827">
    <w:abstractNumId w:val="7"/>
  </w:num>
  <w:num w:numId="19" w16cid:durableId="1184981842">
    <w:abstractNumId w:val="6"/>
    <w:lvlOverride w:ilvl="0">
      <w:startOverride w:val="3"/>
    </w:lvlOverride>
    <w:lvlOverride w:ilvl="1">
      <w:startOverride w:val="3"/>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A41F8C"/>
    <w:rsid w:val="000061CE"/>
    <w:rsid w:val="00031DD5"/>
    <w:rsid w:val="000333AC"/>
    <w:rsid w:val="000355EA"/>
    <w:rsid w:val="00035C67"/>
    <w:rsid w:val="00056E9C"/>
    <w:rsid w:val="000720F1"/>
    <w:rsid w:val="000735BB"/>
    <w:rsid w:val="00075197"/>
    <w:rsid w:val="0007770F"/>
    <w:rsid w:val="00081C72"/>
    <w:rsid w:val="000831BD"/>
    <w:rsid w:val="000A13A3"/>
    <w:rsid w:val="000A36F0"/>
    <w:rsid w:val="000B41BD"/>
    <w:rsid w:val="000D5EE8"/>
    <w:rsid w:val="000E2588"/>
    <w:rsid w:val="000E2C60"/>
    <w:rsid w:val="000E4332"/>
    <w:rsid w:val="000E7A05"/>
    <w:rsid w:val="000F1812"/>
    <w:rsid w:val="000F66B9"/>
    <w:rsid w:val="00100F3D"/>
    <w:rsid w:val="00114306"/>
    <w:rsid w:val="001358C8"/>
    <w:rsid w:val="00143989"/>
    <w:rsid w:val="00145F3A"/>
    <w:rsid w:val="00147524"/>
    <w:rsid w:val="00151740"/>
    <w:rsid w:val="001603B5"/>
    <w:rsid w:val="00175AF2"/>
    <w:rsid w:val="001763CE"/>
    <w:rsid w:val="00182EA2"/>
    <w:rsid w:val="001914CF"/>
    <w:rsid w:val="001A4292"/>
    <w:rsid w:val="001A581B"/>
    <w:rsid w:val="001C1084"/>
    <w:rsid w:val="001C125B"/>
    <w:rsid w:val="001C18FA"/>
    <w:rsid w:val="001C30E8"/>
    <w:rsid w:val="001C7B8C"/>
    <w:rsid w:val="001E42C1"/>
    <w:rsid w:val="001F4625"/>
    <w:rsid w:val="002001C5"/>
    <w:rsid w:val="00202D95"/>
    <w:rsid w:val="0022427B"/>
    <w:rsid w:val="002263FF"/>
    <w:rsid w:val="00226872"/>
    <w:rsid w:val="00226E30"/>
    <w:rsid w:val="0023514C"/>
    <w:rsid w:val="00245BDA"/>
    <w:rsid w:val="002663A1"/>
    <w:rsid w:val="002667AC"/>
    <w:rsid w:val="00270B5A"/>
    <w:rsid w:val="00287854"/>
    <w:rsid w:val="00290481"/>
    <w:rsid w:val="002A02C2"/>
    <w:rsid w:val="002A2BCB"/>
    <w:rsid w:val="002A7ABC"/>
    <w:rsid w:val="002B31FD"/>
    <w:rsid w:val="002B59BA"/>
    <w:rsid w:val="002C57D4"/>
    <w:rsid w:val="002D170E"/>
    <w:rsid w:val="002E2CD1"/>
    <w:rsid w:val="002F3871"/>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B06AC"/>
    <w:rsid w:val="003C3B3B"/>
    <w:rsid w:val="003D061C"/>
    <w:rsid w:val="003E5BB6"/>
    <w:rsid w:val="003F3A9E"/>
    <w:rsid w:val="003F3F5C"/>
    <w:rsid w:val="004258A8"/>
    <w:rsid w:val="00431018"/>
    <w:rsid w:val="00432323"/>
    <w:rsid w:val="004333C2"/>
    <w:rsid w:val="00434F97"/>
    <w:rsid w:val="00435996"/>
    <w:rsid w:val="00444B72"/>
    <w:rsid w:val="004521BE"/>
    <w:rsid w:val="00457015"/>
    <w:rsid w:val="00461028"/>
    <w:rsid w:val="00462B22"/>
    <w:rsid w:val="004642B9"/>
    <w:rsid w:val="004763B3"/>
    <w:rsid w:val="0048254D"/>
    <w:rsid w:val="004A39B9"/>
    <w:rsid w:val="004A4086"/>
    <w:rsid w:val="004B51CB"/>
    <w:rsid w:val="004C2768"/>
    <w:rsid w:val="004C2BBB"/>
    <w:rsid w:val="004C67A3"/>
    <w:rsid w:val="004C700A"/>
    <w:rsid w:val="004C7916"/>
    <w:rsid w:val="004D00C2"/>
    <w:rsid w:val="004D0C98"/>
    <w:rsid w:val="004E46F9"/>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D610B"/>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E7F16"/>
    <w:rsid w:val="006F160B"/>
    <w:rsid w:val="00701A0F"/>
    <w:rsid w:val="0071335B"/>
    <w:rsid w:val="00716FCB"/>
    <w:rsid w:val="00717FE7"/>
    <w:rsid w:val="00721B39"/>
    <w:rsid w:val="00723972"/>
    <w:rsid w:val="00727D5A"/>
    <w:rsid w:val="0073613A"/>
    <w:rsid w:val="0074579B"/>
    <w:rsid w:val="00745AB5"/>
    <w:rsid w:val="00750180"/>
    <w:rsid w:val="00751F6C"/>
    <w:rsid w:val="007549C7"/>
    <w:rsid w:val="00763D48"/>
    <w:rsid w:val="007706D1"/>
    <w:rsid w:val="00776DFE"/>
    <w:rsid w:val="00784B9B"/>
    <w:rsid w:val="00787398"/>
    <w:rsid w:val="00795A17"/>
    <w:rsid w:val="007A2C38"/>
    <w:rsid w:val="007B2B7A"/>
    <w:rsid w:val="007B716C"/>
    <w:rsid w:val="007E0F04"/>
    <w:rsid w:val="007E5CEF"/>
    <w:rsid w:val="007E6AA6"/>
    <w:rsid w:val="007E6E1C"/>
    <w:rsid w:val="007F0542"/>
    <w:rsid w:val="007F2733"/>
    <w:rsid w:val="00802C6D"/>
    <w:rsid w:val="008036D9"/>
    <w:rsid w:val="008477FA"/>
    <w:rsid w:val="0085387F"/>
    <w:rsid w:val="00863036"/>
    <w:rsid w:val="00873823"/>
    <w:rsid w:val="00874DBD"/>
    <w:rsid w:val="00883EAA"/>
    <w:rsid w:val="008841DF"/>
    <w:rsid w:val="008858AA"/>
    <w:rsid w:val="00887B61"/>
    <w:rsid w:val="0089730B"/>
    <w:rsid w:val="008D0E8E"/>
    <w:rsid w:val="008D2282"/>
    <w:rsid w:val="008D272B"/>
    <w:rsid w:val="008D6030"/>
    <w:rsid w:val="008E27C5"/>
    <w:rsid w:val="008E64A2"/>
    <w:rsid w:val="008F618A"/>
    <w:rsid w:val="00917C32"/>
    <w:rsid w:val="00921BF0"/>
    <w:rsid w:val="00922701"/>
    <w:rsid w:val="00926A4F"/>
    <w:rsid w:val="00932941"/>
    <w:rsid w:val="00935589"/>
    <w:rsid w:val="0093774D"/>
    <w:rsid w:val="0093781E"/>
    <w:rsid w:val="00941210"/>
    <w:rsid w:val="009466DD"/>
    <w:rsid w:val="00947DB3"/>
    <w:rsid w:val="00961E09"/>
    <w:rsid w:val="00961F83"/>
    <w:rsid w:val="009636A4"/>
    <w:rsid w:val="00964447"/>
    <w:rsid w:val="00966B3D"/>
    <w:rsid w:val="00971961"/>
    <w:rsid w:val="00976BB0"/>
    <w:rsid w:val="0098303C"/>
    <w:rsid w:val="00984D8C"/>
    <w:rsid w:val="009B07D9"/>
    <w:rsid w:val="009B59E2"/>
    <w:rsid w:val="009C1B55"/>
    <w:rsid w:val="009C7544"/>
    <w:rsid w:val="009D09F2"/>
    <w:rsid w:val="009D3532"/>
    <w:rsid w:val="009E52F0"/>
    <w:rsid w:val="009F0C88"/>
    <w:rsid w:val="009F4CD2"/>
    <w:rsid w:val="009F71B3"/>
    <w:rsid w:val="00A00078"/>
    <w:rsid w:val="00A0227A"/>
    <w:rsid w:val="00A02BB2"/>
    <w:rsid w:val="00A10281"/>
    <w:rsid w:val="00A10E86"/>
    <w:rsid w:val="00A234A4"/>
    <w:rsid w:val="00A26463"/>
    <w:rsid w:val="00A36F58"/>
    <w:rsid w:val="00A414CC"/>
    <w:rsid w:val="00A41F8C"/>
    <w:rsid w:val="00A448B5"/>
    <w:rsid w:val="00A45E69"/>
    <w:rsid w:val="00A54BE9"/>
    <w:rsid w:val="00A66748"/>
    <w:rsid w:val="00A75CB1"/>
    <w:rsid w:val="00A80097"/>
    <w:rsid w:val="00A82864"/>
    <w:rsid w:val="00A91453"/>
    <w:rsid w:val="00A96285"/>
    <w:rsid w:val="00A9708A"/>
    <w:rsid w:val="00A97F4A"/>
    <w:rsid w:val="00AA580B"/>
    <w:rsid w:val="00AB2854"/>
    <w:rsid w:val="00AB4892"/>
    <w:rsid w:val="00AB6B7A"/>
    <w:rsid w:val="00AB7E44"/>
    <w:rsid w:val="00AC475D"/>
    <w:rsid w:val="00AC5858"/>
    <w:rsid w:val="00AD26B9"/>
    <w:rsid w:val="00AD7FAB"/>
    <w:rsid w:val="00AE1C5B"/>
    <w:rsid w:val="00AE2A82"/>
    <w:rsid w:val="00AE7180"/>
    <w:rsid w:val="00AF2F8D"/>
    <w:rsid w:val="00AF6218"/>
    <w:rsid w:val="00B00874"/>
    <w:rsid w:val="00B029BB"/>
    <w:rsid w:val="00B03D8F"/>
    <w:rsid w:val="00B03DCF"/>
    <w:rsid w:val="00B04201"/>
    <w:rsid w:val="00B11C1B"/>
    <w:rsid w:val="00B147E8"/>
    <w:rsid w:val="00B158C3"/>
    <w:rsid w:val="00B1769F"/>
    <w:rsid w:val="00B232F3"/>
    <w:rsid w:val="00B23D62"/>
    <w:rsid w:val="00B30D46"/>
    <w:rsid w:val="00B35AB9"/>
    <w:rsid w:val="00B449B4"/>
    <w:rsid w:val="00B5764F"/>
    <w:rsid w:val="00B67ED6"/>
    <w:rsid w:val="00B7027E"/>
    <w:rsid w:val="00B72F3D"/>
    <w:rsid w:val="00B74337"/>
    <w:rsid w:val="00BA123A"/>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063"/>
    <w:rsid w:val="00CF5425"/>
    <w:rsid w:val="00D13D39"/>
    <w:rsid w:val="00D2296B"/>
    <w:rsid w:val="00D25F1F"/>
    <w:rsid w:val="00D31547"/>
    <w:rsid w:val="00D37209"/>
    <w:rsid w:val="00D51A98"/>
    <w:rsid w:val="00D74358"/>
    <w:rsid w:val="00D75604"/>
    <w:rsid w:val="00D77FAD"/>
    <w:rsid w:val="00D81206"/>
    <w:rsid w:val="00D850D3"/>
    <w:rsid w:val="00D90DB0"/>
    <w:rsid w:val="00DA0836"/>
    <w:rsid w:val="00DA2631"/>
    <w:rsid w:val="00DD295B"/>
    <w:rsid w:val="00DE2B7D"/>
    <w:rsid w:val="00DE6AB7"/>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8284"/>
  <w15:chartTrackingRefBased/>
  <w15:docId w15:val="{C97C819A-224F-4DED-93A2-FE3FCBD5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kepala 1,List Paragraph1,kepala,Heading 10,Body of text1,Medium Grid 1 - Accent 21,Body of text+1,Body of text+2,Body of text+3,List Paragraph11,Colorful List - Accent 11,HEADING 1,Body of text2,List Paragraph12,kepala 11"/>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3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kepala 1 Char,List Paragraph1 Char,kepala Char,Heading 10 Char,Body of text1 Char,Medium Grid 1 - Accent 21 Char,Body of text+1 Char,Body of text+2 Char,Body of text+3 Char,List Paragraph11 Char,HEADING 1 Char"/>
    <w:basedOn w:val="DefaultParagraphFont"/>
    <w:link w:val="ListParagraph"/>
    <w:uiPriority w:val="1"/>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customStyle="1" w:styleId="trt0xe">
    <w:name w:val="trt0xe"/>
    <w:basedOn w:val="Normal"/>
    <w:rsid w:val="00D850D3"/>
    <w:pPr>
      <w:spacing w:before="100" w:beforeAutospacing="1" w:after="100" w:afterAutospacing="1" w:line="240" w:lineRule="auto"/>
    </w:pPr>
    <w:rPr>
      <w:rFonts w:ascii="Times New Roman" w:eastAsia="Times New Roman" w:hAnsi="Times New Roman" w:cs="Times New Roman"/>
      <w:sz w:val="24"/>
      <w:szCs w:val="24"/>
      <w:lang w:val="id-ID" w:eastAsia="id-ID"/>
      <w14:ligatures w14:val="standardContextual"/>
    </w:rPr>
  </w:style>
  <w:style w:type="paragraph" w:styleId="Bibliography">
    <w:name w:val="Bibliography"/>
    <w:basedOn w:val="Normal"/>
    <w:next w:val="Normal"/>
    <w:uiPriority w:val="37"/>
    <w:unhideWhenUsed/>
    <w:rsid w:val="00A0227A"/>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adilasyahriani4631@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0LAPTOP\Downloads\Template-2022%20(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20LAPTOP\AppData\Roaming\Microsoft\Excel\Book2%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Sheet1!$G$5:$G$7</c:f>
              <c:strCache>
                <c:ptCount val="3"/>
                <c:pt idx="0">
                  <c:v>Pre</c:v>
                </c:pt>
                <c:pt idx="1">
                  <c:v>Test</c:v>
                </c:pt>
                <c:pt idx="2">
                  <c:v>Control Class</c:v>
                </c:pt>
              </c:strCache>
            </c:strRef>
          </c:tx>
          <c:spPr>
            <a:solidFill>
              <a:schemeClr val="accent1"/>
            </a:solidFill>
            <a:ln>
              <a:noFill/>
            </a:ln>
            <a:effectLst/>
          </c:spPr>
          <c:invertIfNegative val="0"/>
          <c:val>
            <c:numRef>
              <c:f>Sheet1!$G$8:$G$34</c:f>
              <c:numCache>
                <c:formatCode>General</c:formatCode>
                <c:ptCount val="27"/>
                <c:pt idx="0">
                  <c:v>48</c:v>
                </c:pt>
                <c:pt idx="1">
                  <c:v>72</c:v>
                </c:pt>
                <c:pt idx="2">
                  <c:v>68</c:v>
                </c:pt>
                <c:pt idx="3">
                  <c:v>64</c:v>
                </c:pt>
                <c:pt idx="4">
                  <c:v>80</c:v>
                </c:pt>
                <c:pt idx="5">
                  <c:v>72</c:v>
                </c:pt>
                <c:pt idx="6">
                  <c:v>72</c:v>
                </c:pt>
                <c:pt idx="7">
                  <c:v>52</c:v>
                </c:pt>
                <c:pt idx="8">
                  <c:v>40</c:v>
                </c:pt>
                <c:pt idx="9">
                  <c:v>84</c:v>
                </c:pt>
                <c:pt idx="10">
                  <c:v>56</c:v>
                </c:pt>
                <c:pt idx="11">
                  <c:v>80</c:v>
                </c:pt>
                <c:pt idx="12">
                  <c:v>72</c:v>
                </c:pt>
                <c:pt idx="13">
                  <c:v>72</c:v>
                </c:pt>
                <c:pt idx="14">
                  <c:v>56</c:v>
                </c:pt>
                <c:pt idx="15">
                  <c:v>52</c:v>
                </c:pt>
                <c:pt idx="16">
                  <c:v>60</c:v>
                </c:pt>
                <c:pt idx="17">
                  <c:v>56</c:v>
                </c:pt>
                <c:pt idx="18">
                  <c:v>80</c:v>
                </c:pt>
                <c:pt idx="19">
                  <c:v>56</c:v>
                </c:pt>
                <c:pt idx="20">
                  <c:v>48</c:v>
                </c:pt>
                <c:pt idx="21">
                  <c:v>44</c:v>
                </c:pt>
                <c:pt idx="22">
                  <c:v>52</c:v>
                </c:pt>
                <c:pt idx="23">
                  <c:v>68</c:v>
                </c:pt>
                <c:pt idx="24">
                  <c:v>68</c:v>
                </c:pt>
                <c:pt idx="25">
                  <c:v>84</c:v>
                </c:pt>
                <c:pt idx="26">
                  <c:v>52</c:v>
                </c:pt>
              </c:numCache>
            </c:numRef>
          </c:val>
          <c:extLst>
            <c:ext xmlns:c16="http://schemas.microsoft.com/office/drawing/2014/chart" uri="{C3380CC4-5D6E-409C-BE32-E72D297353CC}">
              <c16:uniqueId val="{00000000-7987-44C5-94C5-874FCE80E7AA}"/>
            </c:ext>
          </c:extLst>
        </c:ser>
        <c:ser>
          <c:idx val="1"/>
          <c:order val="1"/>
          <c:tx>
            <c:strRef>
              <c:f>Sheet1!$H$5:$H$7</c:f>
              <c:strCache>
                <c:ptCount val="3"/>
                <c:pt idx="0">
                  <c:v>Post</c:v>
                </c:pt>
                <c:pt idx="1">
                  <c:v>Test</c:v>
                </c:pt>
                <c:pt idx="2">
                  <c:v>Control Class</c:v>
                </c:pt>
              </c:strCache>
            </c:strRef>
          </c:tx>
          <c:spPr>
            <a:solidFill>
              <a:schemeClr val="accent2"/>
            </a:solidFill>
            <a:ln>
              <a:noFill/>
            </a:ln>
            <a:effectLst/>
          </c:spPr>
          <c:invertIfNegative val="0"/>
          <c:val>
            <c:numRef>
              <c:f>Sheet1!$H$8:$H$34</c:f>
              <c:numCache>
                <c:formatCode>General</c:formatCode>
                <c:ptCount val="27"/>
                <c:pt idx="0">
                  <c:v>80</c:v>
                </c:pt>
                <c:pt idx="1">
                  <c:v>92</c:v>
                </c:pt>
                <c:pt idx="2">
                  <c:v>92</c:v>
                </c:pt>
                <c:pt idx="3">
                  <c:v>92</c:v>
                </c:pt>
                <c:pt idx="4">
                  <c:v>96</c:v>
                </c:pt>
                <c:pt idx="5">
                  <c:v>96</c:v>
                </c:pt>
                <c:pt idx="6">
                  <c:v>80</c:v>
                </c:pt>
                <c:pt idx="7">
                  <c:v>84</c:v>
                </c:pt>
                <c:pt idx="8">
                  <c:v>76</c:v>
                </c:pt>
                <c:pt idx="9">
                  <c:v>92</c:v>
                </c:pt>
                <c:pt idx="10">
                  <c:v>80</c:v>
                </c:pt>
                <c:pt idx="11">
                  <c:v>96</c:v>
                </c:pt>
                <c:pt idx="12">
                  <c:v>96</c:v>
                </c:pt>
                <c:pt idx="13">
                  <c:v>96</c:v>
                </c:pt>
                <c:pt idx="14">
                  <c:v>84</c:v>
                </c:pt>
                <c:pt idx="15">
                  <c:v>84</c:v>
                </c:pt>
                <c:pt idx="16">
                  <c:v>80</c:v>
                </c:pt>
                <c:pt idx="17">
                  <c:v>80</c:v>
                </c:pt>
                <c:pt idx="18">
                  <c:v>96</c:v>
                </c:pt>
                <c:pt idx="19">
                  <c:v>84</c:v>
                </c:pt>
                <c:pt idx="20">
                  <c:v>80</c:v>
                </c:pt>
                <c:pt idx="21">
                  <c:v>88</c:v>
                </c:pt>
                <c:pt idx="22">
                  <c:v>88</c:v>
                </c:pt>
                <c:pt idx="23">
                  <c:v>80</c:v>
                </c:pt>
                <c:pt idx="24">
                  <c:v>88</c:v>
                </c:pt>
                <c:pt idx="25">
                  <c:v>92</c:v>
                </c:pt>
                <c:pt idx="26">
                  <c:v>80</c:v>
                </c:pt>
              </c:numCache>
            </c:numRef>
          </c:val>
          <c:extLst>
            <c:ext xmlns:c16="http://schemas.microsoft.com/office/drawing/2014/chart" uri="{C3380CC4-5D6E-409C-BE32-E72D297353CC}">
              <c16:uniqueId val="{00000001-7987-44C5-94C5-874FCE80E7AA}"/>
            </c:ext>
          </c:extLst>
        </c:ser>
        <c:ser>
          <c:idx val="2"/>
          <c:order val="2"/>
          <c:tx>
            <c:strRef>
              <c:f>Sheet1!$I$5:$I$7</c:f>
              <c:strCache>
                <c:ptCount val="3"/>
                <c:pt idx="0">
                  <c:v>Pre</c:v>
                </c:pt>
                <c:pt idx="1">
                  <c:v>Test</c:v>
                </c:pt>
                <c:pt idx="2">
                  <c:v>Experiment Class</c:v>
                </c:pt>
              </c:strCache>
            </c:strRef>
          </c:tx>
          <c:spPr>
            <a:solidFill>
              <a:schemeClr val="accent3"/>
            </a:solidFill>
            <a:ln>
              <a:noFill/>
            </a:ln>
            <a:effectLst/>
          </c:spPr>
          <c:invertIfNegative val="0"/>
          <c:val>
            <c:numRef>
              <c:f>Sheet1!$I$8:$I$34</c:f>
              <c:numCache>
                <c:formatCode>General</c:formatCode>
                <c:ptCount val="27"/>
                <c:pt idx="0">
                  <c:v>68</c:v>
                </c:pt>
                <c:pt idx="1">
                  <c:v>70</c:v>
                </c:pt>
                <c:pt idx="2">
                  <c:v>68</c:v>
                </c:pt>
                <c:pt idx="3">
                  <c:v>76</c:v>
                </c:pt>
                <c:pt idx="4">
                  <c:v>82</c:v>
                </c:pt>
                <c:pt idx="5">
                  <c:v>48</c:v>
                </c:pt>
                <c:pt idx="6">
                  <c:v>80</c:v>
                </c:pt>
                <c:pt idx="7">
                  <c:v>80</c:v>
                </c:pt>
                <c:pt idx="8">
                  <c:v>68</c:v>
                </c:pt>
                <c:pt idx="9">
                  <c:v>80</c:v>
                </c:pt>
                <c:pt idx="10">
                  <c:v>72</c:v>
                </c:pt>
                <c:pt idx="11">
                  <c:v>76</c:v>
                </c:pt>
                <c:pt idx="12">
                  <c:v>80</c:v>
                </c:pt>
                <c:pt idx="13">
                  <c:v>68</c:v>
                </c:pt>
                <c:pt idx="14">
                  <c:v>80</c:v>
                </c:pt>
                <c:pt idx="15">
                  <c:v>84</c:v>
                </c:pt>
                <c:pt idx="16">
                  <c:v>68</c:v>
                </c:pt>
                <c:pt idx="17">
                  <c:v>60</c:v>
                </c:pt>
                <c:pt idx="18">
                  <c:v>52</c:v>
                </c:pt>
                <c:pt idx="19">
                  <c:v>76</c:v>
                </c:pt>
                <c:pt idx="20">
                  <c:v>56</c:v>
                </c:pt>
                <c:pt idx="21">
                  <c:v>64</c:v>
                </c:pt>
                <c:pt idx="22">
                  <c:v>68</c:v>
                </c:pt>
                <c:pt idx="23">
                  <c:v>60</c:v>
                </c:pt>
                <c:pt idx="24">
                  <c:v>72</c:v>
                </c:pt>
                <c:pt idx="25">
                  <c:v>76</c:v>
                </c:pt>
                <c:pt idx="26">
                  <c:v>82</c:v>
                </c:pt>
              </c:numCache>
            </c:numRef>
          </c:val>
          <c:extLst>
            <c:ext xmlns:c16="http://schemas.microsoft.com/office/drawing/2014/chart" uri="{C3380CC4-5D6E-409C-BE32-E72D297353CC}">
              <c16:uniqueId val="{00000002-7987-44C5-94C5-874FCE80E7AA}"/>
            </c:ext>
          </c:extLst>
        </c:ser>
        <c:ser>
          <c:idx val="3"/>
          <c:order val="3"/>
          <c:tx>
            <c:strRef>
              <c:f>Sheet1!$J$5:$J$7</c:f>
              <c:strCache>
                <c:ptCount val="3"/>
                <c:pt idx="0">
                  <c:v>Post</c:v>
                </c:pt>
                <c:pt idx="1">
                  <c:v>Test</c:v>
                </c:pt>
                <c:pt idx="2">
                  <c:v>Experiment Class</c:v>
                </c:pt>
              </c:strCache>
            </c:strRef>
          </c:tx>
          <c:spPr>
            <a:solidFill>
              <a:schemeClr val="accent4"/>
            </a:solidFill>
            <a:ln>
              <a:noFill/>
            </a:ln>
            <a:effectLst/>
          </c:spPr>
          <c:invertIfNegative val="0"/>
          <c:val>
            <c:numRef>
              <c:f>Sheet1!$J$8:$J$34</c:f>
              <c:numCache>
                <c:formatCode>General</c:formatCode>
                <c:ptCount val="27"/>
                <c:pt idx="0">
                  <c:v>68</c:v>
                </c:pt>
                <c:pt idx="1">
                  <c:v>72</c:v>
                </c:pt>
                <c:pt idx="2">
                  <c:v>76</c:v>
                </c:pt>
                <c:pt idx="3">
                  <c:v>60</c:v>
                </c:pt>
                <c:pt idx="4">
                  <c:v>96</c:v>
                </c:pt>
                <c:pt idx="5">
                  <c:v>64</c:v>
                </c:pt>
                <c:pt idx="6">
                  <c:v>88</c:v>
                </c:pt>
                <c:pt idx="7">
                  <c:v>92</c:v>
                </c:pt>
                <c:pt idx="8">
                  <c:v>92</c:v>
                </c:pt>
                <c:pt idx="9">
                  <c:v>96</c:v>
                </c:pt>
                <c:pt idx="10">
                  <c:v>92</c:v>
                </c:pt>
                <c:pt idx="11">
                  <c:v>88</c:v>
                </c:pt>
                <c:pt idx="12">
                  <c:v>84</c:v>
                </c:pt>
                <c:pt idx="13">
                  <c:v>88</c:v>
                </c:pt>
                <c:pt idx="14">
                  <c:v>96</c:v>
                </c:pt>
                <c:pt idx="15">
                  <c:v>88</c:v>
                </c:pt>
                <c:pt idx="16">
                  <c:v>68</c:v>
                </c:pt>
                <c:pt idx="17">
                  <c:v>68</c:v>
                </c:pt>
                <c:pt idx="18">
                  <c:v>64</c:v>
                </c:pt>
                <c:pt idx="19">
                  <c:v>80</c:v>
                </c:pt>
                <c:pt idx="20">
                  <c:v>68</c:v>
                </c:pt>
                <c:pt idx="21">
                  <c:v>21</c:v>
                </c:pt>
                <c:pt idx="22">
                  <c:v>88</c:v>
                </c:pt>
                <c:pt idx="23">
                  <c:v>64</c:v>
                </c:pt>
                <c:pt idx="24">
                  <c:v>76</c:v>
                </c:pt>
                <c:pt idx="25">
                  <c:v>72</c:v>
                </c:pt>
                <c:pt idx="26">
                  <c:v>88</c:v>
                </c:pt>
              </c:numCache>
            </c:numRef>
          </c:val>
          <c:extLst>
            <c:ext xmlns:c16="http://schemas.microsoft.com/office/drawing/2014/chart" uri="{C3380CC4-5D6E-409C-BE32-E72D297353CC}">
              <c16:uniqueId val="{00000003-7987-44C5-94C5-874FCE80E7AA}"/>
            </c:ext>
          </c:extLst>
        </c:ser>
        <c:dLbls>
          <c:showLegendKey val="0"/>
          <c:showVal val="0"/>
          <c:showCatName val="0"/>
          <c:showSerName val="0"/>
          <c:showPercent val="0"/>
          <c:showBubbleSize val="0"/>
        </c:dLbls>
        <c:gapWidth val="219"/>
        <c:overlap val="-27"/>
        <c:axId val="44424960"/>
        <c:axId val="44428800"/>
      </c:barChart>
      <c:catAx>
        <c:axId val="444249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28800"/>
        <c:crosses val="autoZero"/>
        <c:auto val="1"/>
        <c:lblAlgn val="ctr"/>
        <c:lblOffset val="100"/>
        <c:noMultiLvlLbl val="0"/>
      </c:catAx>
      <c:valAx>
        <c:axId val="44428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2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Sheet1!$F$6</c:f>
              <c:strCache>
                <c:ptCount val="1"/>
                <c:pt idx="0">
                  <c:v>Experimental Class</c:v>
                </c:pt>
              </c:strCache>
            </c:strRef>
          </c:tx>
          <c:spPr>
            <a:solidFill>
              <a:schemeClr val="accent1"/>
            </a:solidFill>
            <a:ln>
              <a:noFill/>
            </a:ln>
            <a:effectLst/>
          </c:spPr>
          <c:invertIfNegative val="0"/>
          <c:cat>
            <c:strRef>
              <c:f>Sheet1!$E$7:$E$10</c:f>
              <c:strCache>
                <c:ptCount val="4"/>
                <c:pt idx="1">
                  <c:v>Pre Test</c:v>
                </c:pt>
                <c:pt idx="2">
                  <c:v>Post Test</c:v>
                </c:pt>
                <c:pt idx="3">
                  <c:v>Difference</c:v>
                </c:pt>
              </c:strCache>
            </c:strRef>
          </c:cat>
          <c:val>
            <c:numRef>
              <c:f>Sheet1!$F$7:$F$10</c:f>
              <c:numCache>
                <c:formatCode>General</c:formatCode>
                <c:ptCount val="4"/>
                <c:pt idx="1">
                  <c:v>60.44</c:v>
                </c:pt>
                <c:pt idx="2">
                  <c:v>84.89</c:v>
                </c:pt>
                <c:pt idx="3">
                  <c:v>19.850000000000001</c:v>
                </c:pt>
              </c:numCache>
            </c:numRef>
          </c:val>
          <c:extLst>
            <c:ext xmlns:c16="http://schemas.microsoft.com/office/drawing/2014/chart" uri="{C3380CC4-5D6E-409C-BE32-E72D297353CC}">
              <c16:uniqueId val="{00000000-EC62-443D-9138-1BA2346594CF}"/>
            </c:ext>
          </c:extLst>
        </c:ser>
        <c:ser>
          <c:idx val="1"/>
          <c:order val="1"/>
          <c:tx>
            <c:strRef>
              <c:f>Sheet1!$G$6</c:f>
              <c:strCache>
                <c:ptCount val="1"/>
                <c:pt idx="0">
                  <c:v>Control Class</c:v>
                </c:pt>
              </c:strCache>
            </c:strRef>
          </c:tx>
          <c:spPr>
            <a:solidFill>
              <a:schemeClr val="accent2"/>
            </a:solidFill>
            <a:ln>
              <a:noFill/>
            </a:ln>
            <a:effectLst/>
          </c:spPr>
          <c:invertIfNegative val="0"/>
          <c:cat>
            <c:strRef>
              <c:f>Sheet1!$E$7:$E$10</c:f>
              <c:strCache>
                <c:ptCount val="4"/>
                <c:pt idx="1">
                  <c:v>Pre Test</c:v>
                </c:pt>
                <c:pt idx="2">
                  <c:v>Post Test</c:v>
                </c:pt>
                <c:pt idx="3">
                  <c:v>Difference</c:v>
                </c:pt>
              </c:strCache>
            </c:strRef>
          </c:cat>
          <c:val>
            <c:numRef>
              <c:f>Sheet1!$G$7:$G$10</c:f>
              <c:numCache>
                <c:formatCode>General</c:formatCode>
                <c:ptCount val="4"/>
                <c:pt idx="1">
                  <c:v>68.260000000000005</c:v>
                </c:pt>
                <c:pt idx="2">
                  <c:v>71.069999999999993</c:v>
                </c:pt>
                <c:pt idx="3">
                  <c:v>4.4400000000000004</c:v>
                </c:pt>
              </c:numCache>
            </c:numRef>
          </c:val>
          <c:extLst>
            <c:ext xmlns:c16="http://schemas.microsoft.com/office/drawing/2014/chart" uri="{C3380CC4-5D6E-409C-BE32-E72D297353CC}">
              <c16:uniqueId val="{00000001-EC62-443D-9138-1BA2346594CF}"/>
            </c:ext>
          </c:extLst>
        </c:ser>
        <c:dLbls>
          <c:showLegendKey val="0"/>
          <c:showVal val="0"/>
          <c:showCatName val="0"/>
          <c:showSerName val="0"/>
          <c:showPercent val="0"/>
          <c:showBubbleSize val="0"/>
        </c:dLbls>
        <c:gapWidth val="219"/>
        <c:overlap val="-27"/>
        <c:axId val="1225329951"/>
        <c:axId val="1225330911"/>
      </c:barChart>
      <c:catAx>
        <c:axId val="1225329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5330911"/>
        <c:crosses val="autoZero"/>
        <c:auto val="1"/>
        <c:lblAlgn val="ctr"/>
        <c:lblOffset val="100"/>
        <c:noMultiLvlLbl val="0"/>
      </c:catAx>
      <c:valAx>
        <c:axId val="1225330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5329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(2)</Template>
  <TotalTime>397</TotalTime>
  <Pages>14</Pages>
  <Words>17482</Words>
  <Characters>99649</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LAPTOP</dc:creator>
  <cp:keywords/>
  <dc:description/>
  <cp:lastModifiedBy>hplaptophp12r@outlook.com</cp:lastModifiedBy>
  <cp:revision>7</cp:revision>
  <cp:lastPrinted>2022-03-12T14:54:00Z</cp:lastPrinted>
  <dcterms:created xsi:type="dcterms:W3CDTF">2024-09-24T20:05:00Z</dcterms:created>
  <dcterms:modified xsi:type="dcterms:W3CDTF">2024-09-25T19:07:00Z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ZOTERO_PREF_1">
    <vt:lpwstr>&lt;data data-version="3" zotero-version="7.0.5"&gt;&lt;session id="hiqTCfwy"/&gt;&lt;style id="http://www.zotero.org/styles/apa" locale="en-US" hasBibliography="1" bibliographyStyleHasBeenSet="1"/&gt;&lt;prefs&gt;&lt;pref name="fieldType" value="Field"/&gt;&lt;pref name="automaticJourna</vt:lpwstr>
  </property>
  <property fmtid="{D5CDD505-2E9C-101B-9397-08002B2CF9AE}" pid="26" name="ZOTERO_PREF_2">
    <vt:lpwstr>lAbbreviations" value="true"/&gt;&lt;/prefs&gt;&lt;/data&gt;</vt:lpwstr>
  </property>
</Properties>
</file>