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15" w:rsidRPr="00854115" w:rsidRDefault="00854115" w:rsidP="00854115">
      <w:pPr>
        <w:pStyle w:val="Alishlah12title"/>
        <w:rPr>
          <w:lang w:val="en-US"/>
        </w:rPr>
      </w:pPr>
      <w:r w:rsidRPr="00854115">
        <w:rPr>
          <w:lang w:val="en-US"/>
        </w:rPr>
        <w:t xml:space="preserve">Exploring </w:t>
      </w:r>
      <w:proofErr w:type="gramStart"/>
      <w:r w:rsidRPr="00854115">
        <w:rPr>
          <w:lang w:val="en-US"/>
        </w:rPr>
        <w:t>The</w:t>
      </w:r>
      <w:proofErr w:type="gramEnd"/>
      <w:r w:rsidRPr="00854115">
        <w:rPr>
          <w:lang w:val="en-US"/>
        </w:rPr>
        <w:t xml:space="preserve"> Experiences Of Prospective Professional Indonesian Language Teachers In The 21st Century During Field Experience Practice In Sc</w:t>
      </w:r>
      <w:r>
        <w:rPr>
          <w:lang w:val="en-US"/>
        </w:rPr>
        <w:t>hools</w:t>
      </w:r>
    </w:p>
    <w:p w:rsidR="00BE398A" w:rsidRPr="007E6AA6" w:rsidRDefault="00854115" w:rsidP="002C57D4">
      <w:pPr>
        <w:pStyle w:val="Alishlah13authornames"/>
        <w:rPr>
          <w:vertAlign w:val="superscript"/>
          <w:lang w:val="en-GB"/>
        </w:rPr>
      </w:pPr>
      <w:proofErr w:type="spellStart"/>
      <w:r>
        <w:rPr>
          <w:lang w:val="en-GB"/>
        </w:rPr>
        <w:t>Santi</w:t>
      </w:r>
      <w:proofErr w:type="spellEnd"/>
      <w:r>
        <w:rPr>
          <w:lang w:val="en-GB"/>
        </w:rPr>
        <w:t xml:space="preserve"> Oktarina</w:t>
      </w:r>
      <w:r w:rsidR="007E6AA6">
        <w:rPr>
          <w:vertAlign w:val="superscript"/>
          <w:lang w:val="en-GB"/>
        </w:rPr>
        <w:t>1</w:t>
      </w:r>
    </w:p>
    <w:p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proofErr w:type="spellStart"/>
      <w:r w:rsidR="00854115">
        <w:rPr>
          <w:color w:val="auto"/>
          <w:lang w:val="en-GB"/>
        </w:rPr>
        <w:t>Unversitas</w:t>
      </w:r>
      <w:proofErr w:type="spellEnd"/>
      <w:r w:rsidR="00854115">
        <w:rPr>
          <w:color w:val="auto"/>
          <w:lang w:val="en-GB"/>
        </w:rPr>
        <w:t xml:space="preserve"> </w:t>
      </w:r>
      <w:proofErr w:type="spellStart"/>
      <w:proofErr w:type="gramStart"/>
      <w:r w:rsidR="00854115">
        <w:rPr>
          <w:color w:val="auto"/>
          <w:lang w:val="en-GB"/>
        </w:rPr>
        <w:t>Sriwijaya</w:t>
      </w:r>
      <w:proofErr w:type="spellEnd"/>
      <w:r w:rsidR="00854115">
        <w:rPr>
          <w:color w:val="auto"/>
          <w:lang w:val="en-GB"/>
        </w:rPr>
        <w:t xml:space="preserve"> ;</w:t>
      </w:r>
      <w:proofErr w:type="gramEnd"/>
      <w:r w:rsidR="00854115">
        <w:rPr>
          <w:color w:val="auto"/>
          <w:lang w:val="en-GB"/>
        </w:rPr>
        <w:t xml:space="preserve"> santioktarina@fkip.unsri.ac.id.</w:t>
      </w: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Pr="00854115" w:rsidRDefault="002B31FD" w:rsidP="00290481">
            <w:pPr>
              <w:pStyle w:val="Alishlah18keywords"/>
            </w:pPr>
            <w:r w:rsidRPr="00854115">
              <w:t xml:space="preserve">keyword 1; </w:t>
            </w:r>
            <w:r w:rsidR="00854115" w:rsidRPr="00854115">
              <w:t>Prospective Indonesian Language Teachers</w:t>
            </w:r>
          </w:p>
          <w:p w:rsidR="002B31FD" w:rsidRPr="00854115" w:rsidRDefault="002B31FD" w:rsidP="00290481">
            <w:pPr>
              <w:pStyle w:val="Alishlah18keywords"/>
            </w:pPr>
            <w:r w:rsidRPr="00854115">
              <w:t xml:space="preserve">keyword 2; </w:t>
            </w:r>
            <w:r w:rsidR="00854115" w:rsidRPr="00854115">
              <w:t>Professionalism</w:t>
            </w:r>
          </w:p>
          <w:p w:rsidR="002B31FD" w:rsidRPr="00854115" w:rsidRDefault="002B31FD" w:rsidP="00290481">
            <w:pPr>
              <w:pStyle w:val="Alishlah18keywords"/>
            </w:pPr>
            <w:r w:rsidRPr="00854115">
              <w:t>keyword 3</w:t>
            </w:r>
            <w:r w:rsidR="00854115">
              <w:t>;</w:t>
            </w:r>
            <w:r w:rsidRPr="00854115">
              <w:t xml:space="preserve"> </w:t>
            </w:r>
            <w:r w:rsidR="00854115" w:rsidRPr="00854115">
              <w:t>Field Experience Practice</w:t>
            </w:r>
          </w:p>
          <w:p w:rsidR="002B31FD" w:rsidRDefault="002B31FD" w:rsidP="00290481">
            <w:pPr>
              <w:pStyle w:val="Alishlah18keywords"/>
            </w:pPr>
          </w:p>
          <w:p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854115" w:rsidRDefault="00854115" w:rsidP="00E45249">
            <w:pPr>
              <w:pStyle w:val="Alishlah17abstract"/>
            </w:pPr>
          </w:p>
          <w:p w:rsidR="00854115" w:rsidRPr="00854115" w:rsidRDefault="00854115" w:rsidP="00E45249">
            <w:pPr>
              <w:pStyle w:val="Alishlah17abstract"/>
            </w:pPr>
            <w:r w:rsidRPr="00854115">
              <w:t>The aim of this study is to describe the experiences of prospective professional Indonesian language teachers during field experience practice in schools. This research provides a detailed description of the experiences of these prospective teachers in relation to interactions with students, teachers, school management or regulations, school facilities and infrastructure, and the learning process. The subjects of this study are eight students of the Indonesian language pre-service program. The research method used is the phenomenological method. Data were collected through in-depth interviews to obtain comprehensive data and analyzed using qualitative analysis techniques. The results of the study show that: first, the field experience practice course is highly effective in shaping prospective Indonesian language teachers into professional educators; second, prospective professional teachers in the 21st century must possess advanced technological competencies as they are dealing with Generation Z students; third, harmonious interactions with teachers and students must be maintained to ensure a conducive teaching and learning process; and finally, every prospective professional teacher must adhere to all applicable school regulations, following the adage "when in Rome, do as the Romans do</w:t>
            </w:r>
          </w:p>
          <w:p w:rsidR="00854115" w:rsidRPr="00854115" w:rsidRDefault="00854115" w:rsidP="00E45249">
            <w:pPr>
              <w:pStyle w:val="Alishlah17abstract"/>
            </w:pPr>
          </w:p>
          <w:p w:rsidR="0048254D" w:rsidRPr="00E45249" w:rsidRDefault="0048254D" w:rsidP="00E45249">
            <w:pPr>
              <w:pStyle w:val="Alishlah17abstract"/>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DD6277" w:rsidP="00E45249">
            <w:pPr>
              <w:pStyle w:val="Alishlah2authorcorrespondence"/>
            </w:pPr>
            <w:proofErr w:type="spellStart"/>
            <w:r>
              <w:t>Santi</w:t>
            </w:r>
            <w:proofErr w:type="spellEnd"/>
            <w:r>
              <w:t xml:space="preserve"> </w:t>
            </w:r>
            <w:proofErr w:type="spellStart"/>
            <w:r>
              <w:t>Oktarina</w:t>
            </w:r>
            <w:proofErr w:type="spellEnd"/>
          </w:p>
          <w:p w:rsidR="00DD6277" w:rsidRDefault="00DD6277" w:rsidP="00DD6277">
            <w:pPr>
              <w:pStyle w:val="Alishlah16affiliation"/>
              <w:rPr>
                <w:color w:val="auto"/>
                <w:lang w:val="en-GB"/>
              </w:rPr>
            </w:pPr>
            <w:proofErr w:type="spellStart"/>
            <w:r>
              <w:rPr>
                <w:color w:val="auto"/>
                <w:lang w:val="en-GB"/>
              </w:rPr>
              <w:t>Unversitas</w:t>
            </w:r>
            <w:proofErr w:type="spellEnd"/>
            <w:r>
              <w:rPr>
                <w:color w:val="auto"/>
                <w:lang w:val="en-GB"/>
              </w:rPr>
              <w:t xml:space="preserve"> </w:t>
            </w:r>
            <w:proofErr w:type="spellStart"/>
            <w:proofErr w:type="gramStart"/>
            <w:r>
              <w:rPr>
                <w:color w:val="auto"/>
                <w:lang w:val="en-GB"/>
              </w:rPr>
              <w:t>Sriwijaya</w:t>
            </w:r>
            <w:proofErr w:type="spellEnd"/>
            <w:r>
              <w:rPr>
                <w:color w:val="auto"/>
                <w:lang w:val="en-GB"/>
              </w:rPr>
              <w:t xml:space="preserve"> ;</w:t>
            </w:r>
            <w:proofErr w:type="gramEnd"/>
            <w:r>
              <w:rPr>
                <w:color w:val="auto"/>
                <w:lang w:val="en-GB"/>
              </w:rPr>
              <w:t xml:space="preserve"> santioktarina@fkip.unsri.ac.id.</w:t>
            </w:r>
          </w:p>
          <w:p w:rsidR="0048254D" w:rsidRPr="0048254D" w:rsidRDefault="0048254D" w:rsidP="00E45249">
            <w:pPr>
              <w:pStyle w:val="Alishlah2authorcorrespondence"/>
            </w:pPr>
          </w:p>
        </w:tc>
      </w:tr>
    </w:tbl>
    <w:p w:rsidR="008E64A2" w:rsidRDefault="0048254D" w:rsidP="00A10E86">
      <w:pPr>
        <w:pStyle w:val="Alishlah21heading1"/>
        <w:rPr>
          <w:lang w:val="en-GB"/>
        </w:rPr>
      </w:pPr>
      <w:r w:rsidRPr="00A75CB1">
        <w:rPr>
          <w:lang w:val="en-GB"/>
        </w:rPr>
        <w:t>INTRODUCTION</w:t>
      </w:r>
    </w:p>
    <w:p w:rsidR="00E269E8" w:rsidRPr="00E269E8" w:rsidRDefault="00E269E8" w:rsidP="00E269E8">
      <w:pPr>
        <w:pStyle w:val="Alishlah31text"/>
        <w:rPr>
          <w:spacing w:val="-2"/>
        </w:rPr>
      </w:pPr>
      <w:r w:rsidRPr="00E269E8">
        <w:rPr>
          <w:spacing w:val="-2"/>
        </w:rPr>
        <w:t xml:space="preserve">The challenge of human resource development lies in the quality of education. In line with this, various efforts to enhance teacher professionalism form the framework of national education. In </w:t>
      </w:r>
      <w:r w:rsidRPr="00E269E8">
        <w:rPr>
          <w:spacing w:val="-2"/>
        </w:rPr>
        <w:lastRenderedPageBreak/>
        <w:t xml:space="preserve">practice, these activities constitute a synergistic process between improving the quality of education and enhancing educational standards, both of which have a reciprocal impact. One indicator of the success in achieving educational goals is the quality of teachers. Teachers are educators who play a primary role in shaping high-quality education, thereby promoting educational excellence. The enhancement of teacher professionalism is crucial for improving teaching quality </w:t>
      </w:r>
      <w:r w:rsidR="00CC6979">
        <w:rPr>
          <w:spacing w:val="-2"/>
        </w:rPr>
        <w:fldChar w:fldCharType="begin" w:fldLock="1"/>
      </w:r>
      <w:r w:rsidR="00CC6979">
        <w:rPr>
          <w:spacing w:val="-2"/>
        </w:rPr>
        <w:instrText>ADDIN CSL_CITATION {"citationItems":[{"id":"ITEM-1","itemData":{"author":[{"dropping-particle":"","family":"Zaky","given":"R Ahmad","non-dropping-particle":"","parse-names":false,"suffix":""},{"dropping-particle":"","family":"Islami","given":"El","non-dropping-particle":"","parse-names":false,"suffix":""}],"id":"ITEM-1","issued":{"date-parts":[["2022"]]},"page":"1-8","title":"Trends of Teacher Professional Development Strategies : A Systematic Review","type":"article-journal"},"uris":["http://www.mendeley.com/documents/?uuid=13e9edb8-c332-4953-8702-b10280b8b77c"]}],"mendeley":{"formattedCitation":"(Zaky &amp; Islami, 2022)","plainTextFormattedCitation":"(Zaky &amp; Islami, 2022)","previouslyFormattedCitation":"(Zaky &amp; Islami, 2022)"},"properties":{"noteIndex":0},"schema":"https://github.com/citation-style-language/schema/raw/master/csl-citation.json"}</w:instrText>
      </w:r>
      <w:r w:rsidR="00CC6979">
        <w:rPr>
          <w:spacing w:val="-2"/>
        </w:rPr>
        <w:fldChar w:fldCharType="separate"/>
      </w:r>
      <w:r w:rsidR="00CC6979" w:rsidRPr="00CC6979">
        <w:rPr>
          <w:noProof/>
          <w:spacing w:val="-2"/>
        </w:rPr>
        <w:t>(Zaky &amp; Islami, 2022)</w:t>
      </w:r>
      <w:r w:rsidR="00CC6979">
        <w:rPr>
          <w:spacing w:val="-2"/>
        </w:rPr>
        <w:fldChar w:fldCharType="end"/>
      </w:r>
      <w:r w:rsidR="00CC6979">
        <w:rPr>
          <w:spacing w:val="-2"/>
        </w:rPr>
        <w:t xml:space="preserve"> .</w:t>
      </w:r>
    </w:p>
    <w:p w:rsidR="00E269E8" w:rsidRPr="00E269E8" w:rsidRDefault="00E269E8" w:rsidP="00E269E8">
      <w:pPr>
        <w:pStyle w:val="Alishlah31text"/>
        <w:rPr>
          <w:spacing w:val="-2"/>
        </w:rPr>
      </w:pPr>
      <w:r w:rsidRPr="00E269E8">
        <w:rPr>
          <w:spacing w:val="-2"/>
        </w:rPr>
        <w:t xml:space="preserve">Twenty-first-century teachers are required to excel in all aspects </w:t>
      </w:r>
      <w:r w:rsidR="00CC6979">
        <w:rPr>
          <w:spacing w:val="-2"/>
        </w:rPr>
        <w:fldChar w:fldCharType="begin" w:fldLock="1"/>
      </w:r>
      <w:r w:rsidR="00CC6979">
        <w:rPr>
          <w:spacing w:val="-2"/>
        </w:rPr>
        <w:instrText>ADDIN CSL_CITATION {"citationItems":[{"id":"ITEM-1","itemData":{"DOI":"10.1080/2331186X.2021.2024936","ISSN":"2331186X","abstract":"This study investigated secondary school teacher’s experiences in learning to teach 21st Century skills through the design and implementation of Project based (PBL) curriculum. Data collection focused on in-service teachers who completed a 3-unit, 16-week course part of a Master’s degree program in Curriculum &amp; Instruction (C &amp; I). Data were collected through two pre-post surveys—one measuring knowledge and the other measuring teachers’ confidence in integrating PBL units into the curriculum, and post course interviews. Results revealed that using PBL as an integrated teaching and learning strategy in the preparation of teachers can develop the self-efficacy required to support the curricular demands necessary to address the learning needs of students for the 21st Century. A sustained focus on pedagogy, curriculum, and skill acquisition is critical to developing 21st-century teaching skills. Implications for teacher learning and the importance of engaging teachers in a professional development experience that integrates college and career readiness curricula and PBL methods are also discussed.","author":[{"dropping-particle":"","family":"Martinez","given":"Corinne","non-dropping-particle":"","parse-names":false,"suffix":""}],"container-title":"Cogent Education","id":"ITEM-1","issue":"1","issued":{"date-parts":[["2022"]]},"publisher":"Cogent","title":"Developing 21st century teaching skills: A case study of teaching and learning through project-based curriculum","type":"article-journal","volume":"9"},"uris":["http://www.mendeley.com/documents/?uuid=abcd7db2-10ae-4b6f-99e9-b2264d007778"]}],"mendeley":{"formattedCitation":"(Martinez, 2022)","plainTextFormattedCitation":"(Martinez, 2022)","previouslyFormattedCitation":"(Martinez, 2022)"},"properties":{"noteIndex":0},"schema":"https://github.com/citation-style-language/schema/raw/master/csl-citation.json"}</w:instrText>
      </w:r>
      <w:r w:rsidR="00CC6979">
        <w:rPr>
          <w:spacing w:val="-2"/>
        </w:rPr>
        <w:fldChar w:fldCharType="separate"/>
      </w:r>
      <w:r w:rsidR="00CC6979" w:rsidRPr="00CC6979">
        <w:rPr>
          <w:noProof/>
          <w:spacing w:val="-2"/>
        </w:rPr>
        <w:t>(Martinez, 2022)</w:t>
      </w:r>
      <w:r w:rsidR="00CC6979">
        <w:rPr>
          <w:spacing w:val="-2"/>
        </w:rPr>
        <w:fldChar w:fldCharType="end"/>
      </w:r>
      <w:r w:rsidRPr="00E269E8">
        <w:rPr>
          <w:spacing w:val="-2"/>
        </w:rPr>
        <w:t>. In this era, teachers face a golden generation that is well-versed in science and technolog</w:t>
      </w:r>
      <w:r w:rsidR="00CC6979">
        <w:rPr>
          <w:spacing w:val="-2"/>
        </w:rPr>
        <w:t xml:space="preserve">y </w:t>
      </w:r>
      <w:r w:rsidR="00CC6979">
        <w:rPr>
          <w:spacing w:val="-2"/>
        </w:rPr>
        <w:fldChar w:fldCharType="begin" w:fldLock="1"/>
      </w:r>
      <w:r w:rsidR="00CC6979">
        <w:rPr>
          <w:spacing w:val="-2"/>
        </w:rPr>
        <w:instrText>ADDIN CSL_CITATION {"citationItems":[{"id":"ITEM-1","itemData":{"abstract":"… To obtain information on teacher needs, data collection was carried out through a questionnaire using Google Form … writing approach (process and outcome approach), paying attention to the background of the reader, integrating all language skills, being authentic, related to the …","author":[{"dropping-particle":"","family":"Ernalida","given":"E","non-dropping-particle":"","parse-names":false,"suffix":""},{"dropping-particle":"","family":"Oktarina","given":"S","non-dropping-particle":"","parse-names":false,"suffix":""},{"dropping-particle":"","family":"Turama","given":"R","non-dropping-particle":"","parse-names":false,"suffix":""}],"container-title":"English Review: Journal of …","id":"ITEM-1","issue":"2","issued":{"date-parts":[["2021"]]},"page":"277-284","title":"Analysis of Teacher Needs Related To E-Learning Schoology Content in Creative Writing in Middle Schools Throughout …","type":"article-journal","volume":"9"},"uris":["http://www.mendeley.com/documents/?uuid=446e01d5-13cf-4995-9549-6a05dd44259c"]}],"mendeley":{"formattedCitation":"(Ernalida, Oktarina, &amp; Turama, 2021)","plainTextFormattedCitation":"(Ernalida, Oktarina, &amp; Turama, 2021)","previouslyFormattedCitation":"(Ernalida, Oktarina, &amp; Turama, 2021)"},"properties":{"noteIndex":0},"schema":"https://github.com/citation-style-language/schema/raw/master/csl-citation.json"}</w:instrText>
      </w:r>
      <w:r w:rsidR="00CC6979">
        <w:rPr>
          <w:spacing w:val="-2"/>
        </w:rPr>
        <w:fldChar w:fldCharType="separate"/>
      </w:r>
      <w:r w:rsidR="00CC6979" w:rsidRPr="00CC6979">
        <w:rPr>
          <w:noProof/>
          <w:spacing w:val="-2"/>
        </w:rPr>
        <w:t>(Ernalida, Oktarina, &amp; Turama, 2021)</w:t>
      </w:r>
      <w:r w:rsidR="00CC6979">
        <w:rPr>
          <w:spacing w:val="-2"/>
        </w:rPr>
        <w:fldChar w:fldCharType="end"/>
      </w:r>
      <w:r w:rsidR="00CC6979">
        <w:rPr>
          <w:spacing w:val="-2"/>
        </w:rPr>
        <w:fldChar w:fldCharType="begin" w:fldLock="1"/>
      </w:r>
      <w:r w:rsidR="00CC6979">
        <w:rPr>
          <w:spacing w:val="-2"/>
        </w:rPr>
        <w:instrText>ADDIN CSL_CITATION {"citationItems":[{"id":"ITEM-1","itemData":{"DOI":"10.20319/pijss.2017.31.188198","ISSN":"24545899","abstract":"Incredible technology changes are defining our current reality, impacting on our approach to society, to planning and to breaking new ground in terms of education. There is a rise of a new generation that is \"location-aware\" and speaks a \"technological-language\". This has a great impacts on the teaching-learning environment within the current university structures, as students (the new Generation Z learners) are more equipped with technology, than typical Generation X (lecturers), which increase complexity of education processes involving instruction, guidance, and supervision. This study investigated the preferences of the new Generation Z student, in terms of technology usage within formal educational systems, based on the surveys conducted among the Urban Planning students on the Potchefstroom campus of the NorthWest University, South Africa, over a 7 year period. It also tested perspectives and technology usage and preferences of current lecturers (of the same group of students), in order to reveal some of the complex realities and challenges faced when teaching Generation Z. The research concluded with the viewpoints of both groups and presented some solutions to bridge the gaps and enhance teaching-learning strategies.","author":[{"dropping-particle":"","family":"Cilliers","given":"Elizelle Juaneé","non-dropping-particle":"","parse-names":false,"suffix":""}],"container-title":"PEOPLE: International Journal of Social Sciences","id":"ITEM-1","issue":"1","issued":{"date-parts":[["2017","6","1"]]},"page":"188-198","title":"THE CHALLENGE OF TEACHING GENERATION Z","type":"article-journal","volume":"3"},"uris":["http://www.mendeley.com/documents/?uuid=cb0349cb-0658-3a92-aba1-874be8f98bf6"]}],"mendeley":{"formattedCitation":"(Cilliers, 2017)","plainTextFormattedCitation":"(Cilliers, 2017)","previouslyFormattedCitation":"(Cilliers, 2017)"},"properties":{"noteIndex":0},"schema":"https://github.com/citation-style-language/schema/raw/master/csl-citation.json"}</w:instrText>
      </w:r>
      <w:r w:rsidR="00CC6979">
        <w:rPr>
          <w:spacing w:val="-2"/>
        </w:rPr>
        <w:fldChar w:fldCharType="separate"/>
      </w:r>
      <w:r w:rsidR="00CC6979" w:rsidRPr="00CC6979">
        <w:rPr>
          <w:noProof/>
          <w:spacing w:val="-2"/>
        </w:rPr>
        <w:t>(Cilliers, 2017)</w:t>
      </w:r>
      <w:r w:rsidR="00CC6979">
        <w:rPr>
          <w:spacing w:val="-2"/>
        </w:rPr>
        <w:fldChar w:fldCharType="end"/>
      </w:r>
      <w:r w:rsidR="00CC6979">
        <w:rPr>
          <w:spacing w:val="-2"/>
        </w:rPr>
        <w:fldChar w:fldCharType="begin" w:fldLock="1"/>
      </w:r>
      <w:r w:rsidR="00CC6979">
        <w:rPr>
          <w:spacing w:val="-2"/>
        </w:rPr>
        <w:instrText>ADDIN CSL_CITATION {"citationItems":[{"id":"ITEM-1","itemData":{"DOI":"10.35445/alishlah.v15i4.3187","author":[{"dropping-particle":"","family":"Oktarina","given":"Santi","non-dropping-particle":"","parse-names":false,"suffix":""},{"dropping-particle":"","family":"Indrawati","given":"Sri","non-dropping-particle":"","parse-names":false,"suffix":""},{"dropping-particle":"","family":"Slamet","given":"Adeng","non-dropping-particle":"","parse-names":false,"suffix":""}],"id":"ITEM-1","issue":"2020","issued":{"date-parts":[["2023"]]},"page":"4537-4545","title":"Needs Analysis for Blended Learning Models and Project-Based Learning to Increase Student Creativity and Productivity in Writing Scientific Papers","type":"article-journal","volume":"15"},"uris":["http://www.mendeley.com/documents/?uuid=c7fc469d-2e33-4890-af2b-7f550191ecab"]}],"mendeley":{"formattedCitation":"(Oktarina, Indrawati, &amp; Slamet, 2023)","plainTextFormattedCitation":"(Oktarina, Indrawati, &amp; Slamet, 2023)"},"properties":{"noteIndex":0},"schema":"https://github.com/citation-style-language/schema/raw/master/csl-citation.json"}</w:instrText>
      </w:r>
      <w:r w:rsidR="00CC6979">
        <w:rPr>
          <w:spacing w:val="-2"/>
        </w:rPr>
        <w:fldChar w:fldCharType="separate"/>
      </w:r>
      <w:r w:rsidR="00CC6979" w:rsidRPr="00CC6979">
        <w:rPr>
          <w:noProof/>
          <w:spacing w:val="-2"/>
        </w:rPr>
        <w:t>(Oktarina, Indrawati, &amp; Slamet, 2023)</w:t>
      </w:r>
      <w:r w:rsidR="00CC6979">
        <w:rPr>
          <w:spacing w:val="-2"/>
        </w:rPr>
        <w:fldChar w:fldCharType="end"/>
      </w:r>
      <w:r w:rsidRPr="00E269E8">
        <w:rPr>
          <w:spacing w:val="-2"/>
        </w:rPr>
        <w:t>. The golden generation refers to young individuals possessing 21st-century skills, including strong character, critical thinking, creativity, innovation, communication, collaboration, and competitiveness. Preparing Indonesia’s golden generation for life in the 21st century is a complex and intricate task (</w:t>
      </w:r>
      <w:proofErr w:type="spellStart"/>
      <w:r w:rsidRPr="00E269E8">
        <w:rPr>
          <w:spacing w:val="-2"/>
        </w:rPr>
        <w:t>Tican</w:t>
      </w:r>
      <w:proofErr w:type="spellEnd"/>
      <w:r w:rsidRPr="00E269E8">
        <w:rPr>
          <w:spacing w:val="-2"/>
        </w:rPr>
        <w:t xml:space="preserve"> &amp; </w:t>
      </w:r>
      <w:proofErr w:type="spellStart"/>
      <w:r w:rsidRPr="00E269E8">
        <w:rPr>
          <w:spacing w:val="-2"/>
        </w:rPr>
        <w:t>Deniz</w:t>
      </w:r>
      <w:proofErr w:type="spellEnd"/>
      <w:r w:rsidRPr="00E269E8">
        <w:rPr>
          <w:spacing w:val="-2"/>
        </w:rPr>
        <w:t>, 2018). Various challenges of this era include globalization, technological advancements, migration, competition, changes across all fields, and environmental challenges. The Indonesian government's efforts to prepare for these changes include developing the education sector by improving and developing curricula and enhancing the professionalism of educators (teachers).</w:t>
      </w:r>
    </w:p>
    <w:p w:rsidR="00E269E8" w:rsidRPr="00E269E8" w:rsidRDefault="00E269E8" w:rsidP="00E269E8">
      <w:pPr>
        <w:pStyle w:val="Alishlah31text"/>
        <w:rPr>
          <w:spacing w:val="-2"/>
        </w:rPr>
      </w:pPr>
      <w:r w:rsidRPr="00E269E8">
        <w:rPr>
          <w:spacing w:val="-2"/>
        </w:rPr>
        <w:t>The teacher professional education program is one of the government’s initiatives to improve the quality of teachers in Indonesia. This program is crucial for enhancing professional competencies (</w:t>
      </w:r>
      <w:proofErr w:type="spellStart"/>
      <w:r w:rsidRPr="00E269E8">
        <w:rPr>
          <w:spacing w:val="-2"/>
        </w:rPr>
        <w:t>Niu</w:t>
      </w:r>
      <w:proofErr w:type="spellEnd"/>
      <w:r w:rsidRPr="00E269E8">
        <w:rPr>
          <w:spacing w:val="-2"/>
        </w:rPr>
        <w:t xml:space="preserve"> et al., 2021). The purpose of the Teacher Professional Education (PPG) program is to produce prospective teachers capable of realizing national educational goals (</w:t>
      </w:r>
      <w:proofErr w:type="spellStart"/>
      <w:r w:rsidRPr="00E269E8">
        <w:rPr>
          <w:spacing w:val="-2"/>
        </w:rPr>
        <w:t>Loeneto</w:t>
      </w:r>
      <w:proofErr w:type="spellEnd"/>
      <w:r w:rsidRPr="00E269E8">
        <w:rPr>
          <w:spacing w:val="-2"/>
        </w:rPr>
        <w:t xml:space="preserve"> et al., 2020). The Pre-service PPG is an educational program designed to prepare teachers as quality human resources to meet the ideal conditions for teachers in Indonesia, including aspects of quantity, distribution, qualifications, and competencies. The Pre-service PPG aims to produce novice professional teachers who practice the values of </w:t>
      </w:r>
      <w:proofErr w:type="spellStart"/>
      <w:r w:rsidRPr="00E269E8">
        <w:rPr>
          <w:spacing w:val="-2"/>
        </w:rPr>
        <w:t>Pancasila</w:t>
      </w:r>
      <w:proofErr w:type="spellEnd"/>
      <w:r w:rsidRPr="00E269E8">
        <w:rPr>
          <w:spacing w:val="-2"/>
        </w:rPr>
        <w:t>, embody the spirit of mutual cooperation, and are capable of utilizing digital technology, while also fostering innovation and creativity.</w:t>
      </w:r>
    </w:p>
    <w:p w:rsidR="00E269E8" w:rsidRPr="00E269E8" w:rsidRDefault="00E269E8" w:rsidP="00E269E8">
      <w:pPr>
        <w:pStyle w:val="Alishlah31text"/>
        <w:rPr>
          <w:spacing w:val="-2"/>
        </w:rPr>
      </w:pPr>
      <w:r w:rsidRPr="00E269E8">
        <w:rPr>
          <w:spacing w:val="-2"/>
        </w:rPr>
        <w:t>In the Teacher Professional Program, prospective professional teachers are provided with direct experience in partner schools. The Pre-service PPG Field Experience Program (PPL) is designed to offer intensive training for prospective teachers in the field (</w:t>
      </w:r>
      <w:proofErr w:type="spellStart"/>
      <w:r w:rsidRPr="00E269E8">
        <w:rPr>
          <w:spacing w:val="-2"/>
        </w:rPr>
        <w:t>Pujiastuti</w:t>
      </w:r>
      <w:proofErr w:type="spellEnd"/>
      <w:r w:rsidRPr="00E269E8">
        <w:rPr>
          <w:spacing w:val="-2"/>
        </w:rPr>
        <w:t xml:space="preserve"> &amp; </w:t>
      </w:r>
      <w:proofErr w:type="spellStart"/>
      <w:r w:rsidRPr="00E269E8">
        <w:rPr>
          <w:spacing w:val="-2"/>
        </w:rPr>
        <w:t>Mushafanah</w:t>
      </w:r>
      <w:proofErr w:type="spellEnd"/>
      <w:r w:rsidRPr="00E269E8">
        <w:rPr>
          <w:spacing w:val="-2"/>
        </w:rPr>
        <w:t xml:space="preserve">, 2024; </w:t>
      </w:r>
      <w:proofErr w:type="spellStart"/>
      <w:r w:rsidRPr="00E269E8">
        <w:rPr>
          <w:spacing w:val="-2"/>
        </w:rPr>
        <w:t>Riyana</w:t>
      </w:r>
      <w:proofErr w:type="spellEnd"/>
      <w:r w:rsidRPr="00E269E8">
        <w:rPr>
          <w:spacing w:val="-2"/>
        </w:rPr>
        <w:t xml:space="preserve"> et al., 2024). This program is an integral part of efforts to enhance the quality of teacher education, particularly in preparing prospective teachers. The PPL aims to ensure that PPG students gain real and contextual experience in applying a set of knowledge, attitudes, and skills that support the achievement of pedagogical, personal, social, and comprehensive mastery of the subject matter competencies.</w:t>
      </w:r>
    </w:p>
    <w:p w:rsidR="00E269E8" w:rsidRPr="00E269E8" w:rsidRDefault="00E269E8" w:rsidP="00E269E8">
      <w:pPr>
        <w:pStyle w:val="Alishlah31text"/>
        <w:rPr>
          <w:spacing w:val="-2"/>
        </w:rPr>
      </w:pPr>
      <w:r w:rsidRPr="00E269E8">
        <w:rPr>
          <w:spacing w:val="-2"/>
        </w:rPr>
        <w:t>In practice, prospective student teachers gain many valuable experiences (</w:t>
      </w:r>
      <w:proofErr w:type="spellStart"/>
      <w:r w:rsidRPr="00E269E8">
        <w:rPr>
          <w:spacing w:val="-2"/>
        </w:rPr>
        <w:t>Kulgemeyer</w:t>
      </w:r>
      <w:proofErr w:type="spellEnd"/>
      <w:r w:rsidRPr="00E269E8">
        <w:rPr>
          <w:spacing w:val="-2"/>
        </w:rPr>
        <w:t xml:space="preserve"> et al., 2021). During the field experience program course, they engage with various aspects, acquire new knowledge, and interact directly with students, teachers, school leaders, school management, and others. In these interactions, prospective teachers will encounter ease, difficulties, and challenges, necessitating comprehensive mitigation strategies. Therefore, this paper aims to describe the diverse experiences of prospective Indonesian language teachers in the field experience program at four partner schools in Indonesia. Specifically, this article details the experiences of prospective Indonesian language teachers regarding interactions with students, teachers, school management, facilities, infrastructure, and the teaching and learning processes in partner schools.</w:t>
      </w:r>
    </w:p>
    <w:p w:rsidR="00E269E8" w:rsidRDefault="00E269E8" w:rsidP="005B5AEC">
      <w:pPr>
        <w:pStyle w:val="Alishlah31text"/>
        <w:rPr>
          <w:spacing w:val="-2"/>
        </w:rPr>
      </w:pPr>
    </w:p>
    <w:p w:rsidR="005B5AEC" w:rsidRPr="006C529D" w:rsidRDefault="005B5AEC" w:rsidP="005B5AEC">
      <w:pPr>
        <w:pStyle w:val="Alishlah21heading1"/>
        <w:rPr>
          <w:rFonts w:eastAsia="Arial"/>
          <w:szCs w:val="20"/>
        </w:rPr>
      </w:pPr>
      <w:r w:rsidRPr="006C529D">
        <w:rPr>
          <w:rFonts w:eastAsia="Arial"/>
          <w:szCs w:val="20"/>
        </w:rPr>
        <w:t xml:space="preserve">METHODS </w:t>
      </w:r>
    </w:p>
    <w:p w:rsidR="00E269E8" w:rsidRPr="006C529D" w:rsidRDefault="00E269E8" w:rsidP="00E269E8">
      <w:pPr>
        <w:ind w:firstLine="426"/>
        <w:jc w:val="both"/>
        <w:rPr>
          <w:rFonts w:ascii="Palatino Linotype" w:hAnsi="Palatino Linotype" w:cs="Times New Roman"/>
          <w:sz w:val="20"/>
          <w:szCs w:val="20"/>
        </w:rPr>
      </w:pPr>
      <w:r w:rsidRPr="006C529D">
        <w:rPr>
          <w:rFonts w:ascii="Palatino Linotype" w:hAnsi="Palatino Linotype" w:cs="Times New Roman"/>
          <w:sz w:val="20"/>
          <w:szCs w:val="20"/>
        </w:rPr>
        <w:t>The aim of this study is to explore the experiences of prospective Indonesian language teachers in the 21st century using a qualitative approach. The method employed in this research is phenomenology, which aims to describe the common meaning of a phenomenon from the perspectives of several individuals concerning their life experiences related to the concept or phenomenon (</w:t>
      </w:r>
      <w:proofErr w:type="spellStart"/>
      <w:r w:rsidRPr="006C529D">
        <w:rPr>
          <w:rFonts w:ascii="Palatino Linotype" w:hAnsi="Palatino Linotype" w:cs="Times New Roman"/>
          <w:sz w:val="20"/>
          <w:szCs w:val="20"/>
        </w:rPr>
        <w:t>Neupane</w:t>
      </w:r>
      <w:proofErr w:type="spellEnd"/>
      <w:r w:rsidRPr="006C529D">
        <w:rPr>
          <w:rFonts w:ascii="Palatino Linotype" w:hAnsi="Palatino Linotype" w:cs="Times New Roman"/>
          <w:sz w:val="20"/>
          <w:szCs w:val="20"/>
        </w:rPr>
        <w:t xml:space="preserve">, 2024; Creswell, 2014). Data for this study were gathered from respondents regarding the experiences of prospective Indonesian language teachers in the 21st century during </w:t>
      </w:r>
      <w:r w:rsidRPr="006C529D">
        <w:rPr>
          <w:rFonts w:ascii="Palatino Linotype" w:hAnsi="Palatino Linotype" w:cs="Times New Roman"/>
          <w:sz w:val="20"/>
          <w:szCs w:val="20"/>
        </w:rPr>
        <w:lastRenderedPageBreak/>
        <w:t>field practices in partner schools, developing a composite description of the essence of these experiences across all individuals. The study subjects consist of eight prospective Indonesian language teachers who are students in a pre-service Indonesian language program and have completed their first field experience in four partner schools. The identities of these respondents can be seen in the table below.</w:t>
      </w:r>
    </w:p>
    <w:tbl>
      <w:tblPr>
        <w:tblStyle w:val="PlainTable2"/>
        <w:tblpPr w:leftFromText="180" w:rightFromText="180" w:vertAnchor="text" w:tblpX="108" w:tblpY="1"/>
        <w:tblW w:w="0" w:type="auto"/>
        <w:tblLook w:val="04A0" w:firstRow="1" w:lastRow="0" w:firstColumn="1" w:lastColumn="0" w:noHBand="0" w:noVBand="1"/>
      </w:tblPr>
      <w:tblGrid>
        <w:gridCol w:w="544"/>
        <w:gridCol w:w="1847"/>
        <w:gridCol w:w="1710"/>
        <w:gridCol w:w="1350"/>
      </w:tblGrid>
      <w:tr w:rsidR="00E269E8" w:rsidRPr="006C529D" w:rsidTr="00E26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No.</w:t>
            </w:r>
          </w:p>
        </w:tc>
        <w:tc>
          <w:tcPr>
            <w:tcW w:w="1847" w:type="dxa"/>
          </w:tcPr>
          <w:p w:rsidR="00E269E8" w:rsidRPr="006C529D" w:rsidRDefault="00E269E8" w:rsidP="008123CF">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 xml:space="preserve">Respondents </w:t>
            </w:r>
          </w:p>
        </w:tc>
        <w:tc>
          <w:tcPr>
            <w:tcW w:w="1710" w:type="dxa"/>
          </w:tcPr>
          <w:p w:rsidR="00E269E8" w:rsidRPr="006C529D" w:rsidRDefault="00E269E8" w:rsidP="008123CF">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Gender</w:t>
            </w:r>
          </w:p>
        </w:tc>
        <w:tc>
          <w:tcPr>
            <w:tcW w:w="1350" w:type="dxa"/>
          </w:tcPr>
          <w:p w:rsidR="00E269E8" w:rsidRPr="006C529D" w:rsidRDefault="00E269E8" w:rsidP="008123CF">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Age</w:t>
            </w:r>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1.</w:t>
            </w:r>
          </w:p>
        </w:tc>
        <w:tc>
          <w:tcPr>
            <w:tcW w:w="1847"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1</w:t>
            </w:r>
          </w:p>
        </w:tc>
        <w:tc>
          <w:tcPr>
            <w:tcW w:w="171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Female</w:t>
            </w:r>
          </w:p>
        </w:tc>
        <w:tc>
          <w:tcPr>
            <w:tcW w:w="135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23 years</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2.</w:t>
            </w:r>
          </w:p>
        </w:tc>
        <w:tc>
          <w:tcPr>
            <w:tcW w:w="1847"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2</w:t>
            </w:r>
          </w:p>
        </w:tc>
        <w:tc>
          <w:tcPr>
            <w:tcW w:w="171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Female</w:t>
            </w:r>
          </w:p>
        </w:tc>
        <w:tc>
          <w:tcPr>
            <w:tcW w:w="135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22 years</w:t>
            </w:r>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3.</w:t>
            </w:r>
          </w:p>
        </w:tc>
        <w:tc>
          <w:tcPr>
            <w:tcW w:w="1847"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3</w:t>
            </w:r>
          </w:p>
        </w:tc>
        <w:tc>
          <w:tcPr>
            <w:tcW w:w="171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Female</w:t>
            </w:r>
          </w:p>
        </w:tc>
        <w:tc>
          <w:tcPr>
            <w:tcW w:w="135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24 years</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4.</w:t>
            </w:r>
          </w:p>
        </w:tc>
        <w:tc>
          <w:tcPr>
            <w:tcW w:w="1847"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4</w:t>
            </w:r>
          </w:p>
        </w:tc>
        <w:tc>
          <w:tcPr>
            <w:tcW w:w="171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Male</w:t>
            </w:r>
          </w:p>
        </w:tc>
        <w:tc>
          <w:tcPr>
            <w:tcW w:w="135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23 years</w:t>
            </w:r>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5</w:t>
            </w:r>
          </w:p>
        </w:tc>
        <w:tc>
          <w:tcPr>
            <w:tcW w:w="1847"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5</w:t>
            </w:r>
          </w:p>
        </w:tc>
        <w:tc>
          <w:tcPr>
            <w:tcW w:w="171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Male</w:t>
            </w:r>
          </w:p>
        </w:tc>
        <w:tc>
          <w:tcPr>
            <w:tcW w:w="135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24 years</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6</w:t>
            </w:r>
          </w:p>
        </w:tc>
        <w:tc>
          <w:tcPr>
            <w:tcW w:w="1847"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6</w:t>
            </w:r>
          </w:p>
        </w:tc>
        <w:tc>
          <w:tcPr>
            <w:tcW w:w="171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Female</w:t>
            </w:r>
          </w:p>
        </w:tc>
        <w:tc>
          <w:tcPr>
            <w:tcW w:w="135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24 years</w:t>
            </w:r>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7.</w:t>
            </w:r>
          </w:p>
        </w:tc>
        <w:tc>
          <w:tcPr>
            <w:tcW w:w="1847"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7</w:t>
            </w:r>
          </w:p>
        </w:tc>
        <w:tc>
          <w:tcPr>
            <w:tcW w:w="171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Female</w:t>
            </w:r>
          </w:p>
        </w:tc>
        <w:tc>
          <w:tcPr>
            <w:tcW w:w="135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32 years</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11"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8.</w:t>
            </w:r>
          </w:p>
        </w:tc>
        <w:tc>
          <w:tcPr>
            <w:tcW w:w="1847"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Respondent 8</w:t>
            </w:r>
          </w:p>
        </w:tc>
        <w:tc>
          <w:tcPr>
            <w:tcW w:w="171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Male</w:t>
            </w:r>
          </w:p>
        </w:tc>
        <w:tc>
          <w:tcPr>
            <w:tcW w:w="135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24 years</w:t>
            </w:r>
          </w:p>
        </w:tc>
      </w:tr>
    </w:tbl>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br w:type="textWrapping" w:clear="all"/>
      </w:r>
    </w:p>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t xml:space="preserve">Data were collected through in-depth interviews focusing on the experiences of prospective Indonesian language teachers at partner schools. These interviews </w:t>
      </w:r>
      <w:proofErr w:type="spellStart"/>
      <w:r w:rsidRPr="006C529D">
        <w:rPr>
          <w:rFonts w:ascii="Palatino Linotype" w:hAnsi="Palatino Linotype" w:cs="Times New Roman"/>
          <w:sz w:val="20"/>
          <w:szCs w:val="20"/>
        </w:rPr>
        <w:t>centered</w:t>
      </w:r>
      <w:proofErr w:type="spellEnd"/>
      <w:r w:rsidRPr="006C529D">
        <w:rPr>
          <w:rFonts w:ascii="Palatino Linotype" w:hAnsi="Palatino Linotype" w:cs="Times New Roman"/>
          <w:sz w:val="20"/>
          <w:szCs w:val="20"/>
        </w:rPr>
        <w:t xml:space="preserve"> on interactions between the prospective teachers and students, interactions with other teachers, school management/rules, facilities and infrastructure, and the learning process. The data were </w:t>
      </w:r>
      <w:proofErr w:type="spellStart"/>
      <w:r w:rsidRPr="006C529D">
        <w:rPr>
          <w:rFonts w:ascii="Palatino Linotype" w:hAnsi="Palatino Linotype" w:cs="Times New Roman"/>
          <w:sz w:val="20"/>
          <w:szCs w:val="20"/>
        </w:rPr>
        <w:t>analyzed</w:t>
      </w:r>
      <w:proofErr w:type="spellEnd"/>
      <w:r w:rsidRPr="006C529D">
        <w:rPr>
          <w:rFonts w:ascii="Palatino Linotype" w:hAnsi="Palatino Linotype" w:cs="Times New Roman"/>
          <w:sz w:val="20"/>
          <w:szCs w:val="20"/>
        </w:rPr>
        <w:t xml:space="preserve"> using qualitative data analysis techniques. The data analysis procedure for this study is as follows.</w:t>
      </w:r>
    </w:p>
    <w:tbl>
      <w:tblPr>
        <w:tblStyle w:val="PlainTable2"/>
        <w:tblW w:w="0" w:type="auto"/>
        <w:tblLook w:val="04A0" w:firstRow="1" w:lastRow="0" w:firstColumn="1" w:lastColumn="0" w:noHBand="0" w:noVBand="1"/>
      </w:tblPr>
      <w:tblGrid>
        <w:gridCol w:w="556"/>
        <w:gridCol w:w="3286"/>
        <w:gridCol w:w="5400"/>
      </w:tblGrid>
      <w:tr w:rsidR="00E269E8" w:rsidRPr="006C529D" w:rsidTr="00E269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center"/>
              <w:rPr>
                <w:rFonts w:ascii="Palatino Linotype" w:hAnsi="Palatino Linotype" w:cs="Times New Roman"/>
                <w:b w:val="0"/>
                <w:sz w:val="20"/>
                <w:szCs w:val="20"/>
              </w:rPr>
            </w:pPr>
            <w:r w:rsidRPr="006C529D">
              <w:rPr>
                <w:rFonts w:ascii="Palatino Linotype" w:hAnsi="Palatino Linotype" w:cs="Times New Roman"/>
                <w:sz w:val="20"/>
                <w:szCs w:val="20"/>
              </w:rPr>
              <w:t>No</w:t>
            </w:r>
          </w:p>
        </w:tc>
        <w:tc>
          <w:tcPr>
            <w:tcW w:w="3330" w:type="dxa"/>
          </w:tcPr>
          <w:p w:rsidR="00E269E8" w:rsidRPr="006C529D" w:rsidRDefault="00E269E8" w:rsidP="008123C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sz w:val="20"/>
                <w:szCs w:val="20"/>
              </w:rPr>
            </w:pPr>
            <w:r w:rsidRPr="006C529D">
              <w:rPr>
                <w:rFonts w:ascii="Palatino Linotype" w:hAnsi="Palatino Linotype" w:cs="Times New Roman"/>
                <w:sz w:val="20"/>
                <w:szCs w:val="20"/>
              </w:rPr>
              <w:t>Procedure</w:t>
            </w:r>
          </w:p>
        </w:tc>
        <w:tc>
          <w:tcPr>
            <w:tcW w:w="5490" w:type="dxa"/>
          </w:tcPr>
          <w:p w:rsidR="00E269E8" w:rsidRPr="006C529D" w:rsidRDefault="00E269E8" w:rsidP="008123C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b w:val="0"/>
                <w:sz w:val="20"/>
                <w:szCs w:val="20"/>
              </w:rPr>
            </w:pPr>
            <w:proofErr w:type="spellStart"/>
            <w:r w:rsidRPr="006C529D">
              <w:rPr>
                <w:rFonts w:ascii="Palatino Linotype" w:hAnsi="Palatino Linotype" w:cs="Times New Roman"/>
                <w:sz w:val="20"/>
                <w:szCs w:val="20"/>
              </w:rPr>
              <w:t>Subprocedure</w:t>
            </w:r>
            <w:proofErr w:type="spellEnd"/>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 xml:space="preserve"> 1.</w:t>
            </w:r>
          </w:p>
        </w:tc>
        <w:tc>
          <w:tcPr>
            <w:tcW w:w="333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Data Organization</w:t>
            </w:r>
          </w:p>
        </w:tc>
        <w:tc>
          <w:tcPr>
            <w:tcW w:w="5490" w:type="dxa"/>
          </w:tcPr>
          <w:p w:rsidR="00E269E8" w:rsidRPr="006C529D" w:rsidRDefault="00E269E8" w:rsidP="00E269E8">
            <w:pPr>
              <w:pStyle w:val="ListParagraph"/>
              <w:numPr>
                <w:ilvl w:val="0"/>
                <w:numId w:val="20"/>
              </w:numPr>
              <w:spacing w:after="0" w:line="240" w:lineRule="auto"/>
              <w:ind w:left="223" w:hanging="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Creating and organizing files for data.</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2.</w:t>
            </w:r>
          </w:p>
        </w:tc>
        <w:tc>
          <w:tcPr>
            <w:tcW w:w="333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Reading of Memos</w:t>
            </w:r>
          </w:p>
        </w:tc>
        <w:tc>
          <w:tcPr>
            <w:tcW w:w="5490" w:type="dxa"/>
          </w:tcPr>
          <w:p w:rsidR="00E269E8" w:rsidRPr="006C529D" w:rsidRDefault="00E269E8" w:rsidP="00E269E8">
            <w:pPr>
              <w:pStyle w:val="ListParagraph"/>
              <w:numPr>
                <w:ilvl w:val="0"/>
                <w:numId w:val="20"/>
              </w:numPr>
              <w:spacing w:after="0" w:line="240" w:lineRule="auto"/>
              <w:ind w:left="223" w:hanging="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Reading the entire text, making marginal notes, forming initial codes</w:t>
            </w:r>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3.</w:t>
            </w:r>
          </w:p>
        </w:tc>
        <w:tc>
          <w:tcPr>
            <w:tcW w:w="333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Describing the data into codes and themes</w:t>
            </w:r>
          </w:p>
        </w:tc>
        <w:tc>
          <w:tcPr>
            <w:tcW w:w="5490" w:type="dxa"/>
          </w:tcPr>
          <w:p w:rsidR="00E269E8" w:rsidRPr="006C529D" w:rsidRDefault="00E269E8" w:rsidP="00E269E8">
            <w:pPr>
              <w:pStyle w:val="ListParagraph"/>
              <w:numPr>
                <w:ilvl w:val="0"/>
                <w:numId w:val="19"/>
              </w:numPr>
              <w:spacing w:after="0" w:line="240" w:lineRule="auto"/>
              <w:ind w:left="223" w:hanging="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Describing personal experiences</w:t>
            </w:r>
          </w:p>
          <w:p w:rsidR="00E269E8" w:rsidRPr="006C529D" w:rsidRDefault="00E269E8" w:rsidP="00E269E8">
            <w:pPr>
              <w:pStyle w:val="ListParagraph"/>
              <w:numPr>
                <w:ilvl w:val="0"/>
                <w:numId w:val="19"/>
              </w:numPr>
              <w:spacing w:after="0" w:line="240" w:lineRule="auto"/>
              <w:ind w:left="223" w:hanging="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Describing the essence of the phenomenon</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4.</w:t>
            </w:r>
          </w:p>
        </w:tc>
        <w:tc>
          <w:tcPr>
            <w:tcW w:w="333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 xml:space="preserve">Classifying data into thematic codes </w:t>
            </w:r>
          </w:p>
        </w:tc>
        <w:tc>
          <w:tcPr>
            <w:tcW w:w="5490" w:type="dxa"/>
          </w:tcPr>
          <w:p w:rsidR="00E269E8" w:rsidRPr="006C529D" w:rsidRDefault="00E269E8" w:rsidP="00E269E8">
            <w:pPr>
              <w:pStyle w:val="ListParagraph"/>
              <w:numPr>
                <w:ilvl w:val="0"/>
                <w:numId w:val="19"/>
              </w:numPr>
              <w:spacing w:after="0" w:line="240" w:lineRule="auto"/>
              <w:ind w:left="223" w:hanging="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Developing key statements</w:t>
            </w:r>
          </w:p>
          <w:p w:rsidR="00E269E8" w:rsidRPr="006C529D" w:rsidRDefault="00E269E8" w:rsidP="00E269E8">
            <w:pPr>
              <w:pStyle w:val="ListParagraph"/>
              <w:numPr>
                <w:ilvl w:val="0"/>
                <w:numId w:val="19"/>
              </w:numPr>
              <w:spacing w:after="0" w:line="240" w:lineRule="auto"/>
              <w:ind w:left="223" w:hanging="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Developing statements into units of meaning</w:t>
            </w:r>
          </w:p>
        </w:tc>
      </w:tr>
      <w:tr w:rsidR="00E269E8" w:rsidRPr="006C529D" w:rsidTr="00E269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5</w:t>
            </w:r>
          </w:p>
        </w:tc>
        <w:tc>
          <w:tcPr>
            <w:tcW w:w="3330" w:type="dxa"/>
          </w:tcPr>
          <w:p w:rsidR="00E269E8" w:rsidRPr="006C529D" w:rsidRDefault="00E269E8" w:rsidP="008123C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Interpreting data into codes and themes</w:t>
            </w:r>
          </w:p>
        </w:tc>
        <w:tc>
          <w:tcPr>
            <w:tcW w:w="5490" w:type="dxa"/>
          </w:tcPr>
          <w:p w:rsidR="00E269E8" w:rsidRPr="006C529D" w:rsidRDefault="00E269E8" w:rsidP="00E269E8">
            <w:pPr>
              <w:pStyle w:val="ListParagraph"/>
              <w:numPr>
                <w:ilvl w:val="0"/>
                <w:numId w:val="19"/>
              </w:numPr>
              <w:spacing w:after="0" w:line="240" w:lineRule="auto"/>
              <w:ind w:left="223" w:hanging="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Developing textual description of “what happened”</w:t>
            </w:r>
          </w:p>
          <w:p w:rsidR="00E269E8" w:rsidRPr="006C529D" w:rsidRDefault="00E269E8" w:rsidP="00E269E8">
            <w:pPr>
              <w:pStyle w:val="ListParagraph"/>
              <w:numPr>
                <w:ilvl w:val="0"/>
                <w:numId w:val="19"/>
              </w:numPr>
              <w:spacing w:after="0" w:line="240" w:lineRule="auto"/>
              <w:ind w:left="223" w:hanging="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Developing structural description of "how" the phenomenon is experienced.</w:t>
            </w:r>
          </w:p>
          <w:p w:rsidR="00E269E8" w:rsidRPr="006C529D" w:rsidRDefault="00E269E8" w:rsidP="00E269E8">
            <w:pPr>
              <w:pStyle w:val="ListParagraph"/>
              <w:numPr>
                <w:ilvl w:val="0"/>
                <w:numId w:val="19"/>
              </w:numPr>
              <w:spacing w:after="0" w:line="240" w:lineRule="auto"/>
              <w:ind w:left="223" w:hanging="142"/>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Developing the essence</w:t>
            </w:r>
          </w:p>
        </w:tc>
      </w:tr>
      <w:tr w:rsidR="00E269E8" w:rsidRPr="006C529D" w:rsidTr="00E269E8">
        <w:tc>
          <w:tcPr>
            <w:cnfStyle w:val="001000000000" w:firstRow="0" w:lastRow="0" w:firstColumn="1" w:lastColumn="0" w:oddVBand="0" w:evenVBand="0" w:oddHBand="0" w:evenHBand="0" w:firstRowFirstColumn="0" w:firstRowLastColumn="0" w:lastRowFirstColumn="0" w:lastRowLastColumn="0"/>
            <w:tcW w:w="558" w:type="dxa"/>
          </w:tcPr>
          <w:p w:rsidR="00E269E8" w:rsidRPr="006C529D" w:rsidRDefault="00E269E8" w:rsidP="008123CF">
            <w:pPr>
              <w:jc w:val="both"/>
              <w:rPr>
                <w:rFonts w:ascii="Palatino Linotype" w:hAnsi="Palatino Linotype" w:cs="Times New Roman"/>
                <w:sz w:val="20"/>
                <w:szCs w:val="20"/>
              </w:rPr>
            </w:pPr>
            <w:r w:rsidRPr="006C529D">
              <w:rPr>
                <w:rFonts w:ascii="Palatino Linotype" w:hAnsi="Palatino Linotype" w:cs="Times New Roman"/>
                <w:sz w:val="20"/>
                <w:szCs w:val="20"/>
              </w:rPr>
              <w:t>6.</w:t>
            </w:r>
          </w:p>
        </w:tc>
        <w:tc>
          <w:tcPr>
            <w:tcW w:w="3330" w:type="dxa"/>
          </w:tcPr>
          <w:p w:rsidR="00E269E8" w:rsidRPr="006C529D" w:rsidRDefault="00E269E8" w:rsidP="008123CF">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Presenting and visualizing data</w:t>
            </w:r>
          </w:p>
        </w:tc>
        <w:tc>
          <w:tcPr>
            <w:tcW w:w="5490" w:type="dxa"/>
          </w:tcPr>
          <w:p w:rsidR="00E269E8" w:rsidRPr="006C529D" w:rsidRDefault="00E269E8" w:rsidP="00E269E8">
            <w:pPr>
              <w:pStyle w:val="ListParagraph"/>
              <w:numPr>
                <w:ilvl w:val="0"/>
                <w:numId w:val="19"/>
              </w:numPr>
              <w:spacing w:after="0" w:line="240" w:lineRule="auto"/>
              <w:ind w:left="223" w:hanging="14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rPr>
            </w:pPr>
            <w:r w:rsidRPr="006C529D">
              <w:rPr>
                <w:rFonts w:ascii="Palatino Linotype" w:hAnsi="Palatino Linotype" w:cs="Times New Roman"/>
                <w:sz w:val="20"/>
                <w:szCs w:val="20"/>
              </w:rPr>
              <w:t>Presenting a narrative on "the essence of the experience in the discussion."</w:t>
            </w:r>
          </w:p>
        </w:tc>
      </w:tr>
    </w:tbl>
    <w:p w:rsidR="00E269E8" w:rsidRPr="006C529D" w:rsidRDefault="00E269E8" w:rsidP="00E269E8">
      <w:pPr>
        <w:jc w:val="center"/>
        <w:rPr>
          <w:rFonts w:ascii="Palatino Linotype" w:hAnsi="Palatino Linotype"/>
          <w:b/>
          <w:sz w:val="20"/>
          <w:szCs w:val="20"/>
        </w:rPr>
      </w:pP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tab/>
      </w:r>
      <w:r w:rsidRPr="006C529D">
        <w:rPr>
          <w:rFonts w:ascii="Palatino Linotype" w:hAnsi="Palatino Linotype"/>
          <w:b/>
          <w:sz w:val="20"/>
          <w:szCs w:val="20"/>
        </w:rPr>
        <w:fldChar w:fldCharType="begin" w:fldLock="1"/>
      </w:r>
      <w:r w:rsidRPr="006C529D">
        <w:rPr>
          <w:rFonts w:ascii="Palatino Linotype" w:hAnsi="Palatino Linotype"/>
          <w:b/>
          <w:sz w:val="20"/>
          <w:szCs w:val="20"/>
        </w:rPr>
        <w:instrText>ADDIN CSL_CITATION {"citationItems":[{"id":"ITEM-1","itemData":{"author":[{"dropping-particle":"","family":"Creswell","given":"John W.","non-dropping-particle":"","parse-names":false,"suffix":""}],"edition":"1","id":"ITEM-1","issued":{"date-parts":[["2014"]]},"publisher":"Pustaka Pelajar","publisher-place":"Indonesia","title":"Penelitian Kualitatif &amp; Desain Riset","type":"book"},"uris":["http://www.mendeley.com/documents/?uuid=134289d8-0dd5-4a4d-a862-b0f44f9c467a"]}],"mendeley":{"formattedCitation":"(Creswell, 2014)","plainTextFormattedCitation":"(Creswell, 2014)","previouslyFormattedCitation":"(Creswell, 2014)"},"properties":{"noteIndex":0},"schema":"https://github.com/citation-style-language/schema/raw/master/csl-citation.json"}</w:instrText>
      </w:r>
      <w:r w:rsidRPr="006C529D">
        <w:rPr>
          <w:rFonts w:ascii="Palatino Linotype" w:hAnsi="Palatino Linotype"/>
          <w:b/>
          <w:sz w:val="20"/>
          <w:szCs w:val="20"/>
        </w:rPr>
        <w:fldChar w:fldCharType="separate"/>
      </w:r>
      <w:r w:rsidRPr="006C529D">
        <w:rPr>
          <w:rFonts w:ascii="Palatino Linotype" w:hAnsi="Palatino Linotype"/>
          <w:noProof/>
          <w:sz w:val="20"/>
          <w:szCs w:val="20"/>
        </w:rPr>
        <w:t>(Creswell, 2014)</w:t>
      </w:r>
      <w:r w:rsidRPr="006C529D">
        <w:rPr>
          <w:rFonts w:ascii="Palatino Linotype" w:hAnsi="Palatino Linotype"/>
          <w:b/>
          <w:sz w:val="20"/>
          <w:szCs w:val="20"/>
        </w:rPr>
        <w:fldChar w:fldCharType="end"/>
      </w:r>
    </w:p>
    <w:p w:rsidR="005B5AEC" w:rsidRPr="006C529D" w:rsidRDefault="005B5AEC" w:rsidP="005B5AEC">
      <w:pPr>
        <w:pStyle w:val="Alishlah21heading1"/>
        <w:rPr>
          <w:rFonts w:eastAsia="Arial"/>
          <w:szCs w:val="20"/>
        </w:rPr>
      </w:pPr>
      <w:r w:rsidRPr="006C529D">
        <w:rPr>
          <w:rFonts w:eastAsia="Arial"/>
          <w:szCs w:val="20"/>
        </w:rPr>
        <w:t>FINDINGS AND DISCUSSION</w:t>
      </w:r>
    </w:p>
    <w:p w:rsidR="00E269E8" w:rsidRPr="006C529D" w:rsidRDefault="00E269E8" w:rsidP="00E269E8">
      <w:pPr>
        <w:pStyle w:val="Alishlah21heading1"/>
        <w:numPr>
          <w:ilvl w:val="0"/>
          <w:numId w:val="22"/>
        </w:numPr>
        <w:tabs>
          <w:tab w:val="left" w:pos="450"/>
        </w:tabs>
        <w:ind w:hanging="720"/>
        <w:rPr>
          <w:szCs w:val="20"/>
        </w:rPr>
      </w:pPr>
      <w:r w:rsidRPr="006C529D">
        <w:rPr>
          <w:szCs w:val="20"/>
        </w:rPr>
        <w:t>Interaction with Students</w:t>
      </w:r>
    </w:p>
    <w:p w:rsidR="00E269E8" w:rsidRPr="006C529D" w:rsidRDefault="00E269E8" w:rsidP="00E269E8">
      <w:pPr>
        <w:pStyle w:val="ListParagraph"/>
        <w:ind w:left="0" w:firstLine="810"/>
        <w:jc w:val="both"/>
        <w:rPr>
          <w:rFonts w:ascii="Palatino Linotype" w:hAnsi="Palatino Linotype" w:cs="Times New Roman"/>
          <w:sz w:val="20"/>
          <w:szCs w:val="20"/>
        </w:rPr>
      </w:pPr>
      <w:r w:rsidRPr="006C529D">
        <w:rPr>
          <w:rFonts w:ascii="Palatino Linotype" w:hAnsi="Palatino Linotype" w:cs="Times New Roman"/>
          <w:sz w:val="20"/>
          <w:szCs w:val="20"/>
        </w:rPr>
        <w:t xml:space="preserve">In conducting field practice, prospective Indonesian language teachers must effectively interact with students. Positive interaction between students and these prospective teachers is crucial for smooth learning activities. However, students at the secondary education level in the four partner schools exhibit varying characteristics, influenced by factors such as gender, social status, ethnicity, and age. Based on research findings, which include the experiences of prospective teachers interacting at partner schools, both positive and negative interactions were observed. Additionally, various mitigation strategies were implemented to address existing challenges. Below is a detailed description </w:t>
      </w:r>
      <w:r w:rsidRPr="006C529D">
        <w:rPr>
          <w:rFonts w:ascii="Palatino Linotype" w:hAnsi="Palatino Linotype" w:cs="Times New Roman"/>
          <w:sz w:val="20"/>
          <w:szCs w:val="20"/>
        </w:rPr>
        <w:lastRenderedPageBreak/>
        <w:t>of the experiences of pre-service teachers from the Indonesian language education program in the four partner schools.</w:t>
      </w:r>
    </w:p>
    <w:p w:rsidR="00E269E8" w:rsidRPr="006C529D" w:rsidRDefault="00E269E8" w:rsidP="00E269E8">
      <w:pPr>
        <w:jc w:val="both"/>
        <w:rPr>
          <w:rFonts w:ascii="Palatino Linotype" w:hAnsi="Palatino Linotype" w:cs="Times New Roman"/>
          <w:b/>
          <w:sz w:val="20"/>
          <w:szCs w:val="20"/>
        </w:rPr>
      </w:pPr>
      <w:r w:rsidRPr="006C529D">
        <w:rPr>
          <w:rFonts w:ascii="Palatino Linotype" w:hAnsi="Palatino Linotype" w:cs="Times New Roman"/>
          <w:b/>
          <w:sz w:val="20"/>
          <w:szCs w:val="20"/>
        </w:rPr>
        <w:t xml:space="preserve">Respondent 1 </w:t>
      </w:r>
    </w:p>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t xml:space="preserve">"The students at this junior high school generally exhibit a spoiled </w:t>
      </w:r>
      <w:proofErr w:type="spellStart"/>
      <w:r w:rsidRPr="006C529D">
        <w:rPr>
          <w:rFonts w:ascii="Palatino Linotype" w:hAnsi="Palatino Linotype" w:cs="Times New Roman"/>
          <w:sz w:val="20"/>
          <w:szCs w:val="20"/>
        </w:rPr>
        <w:t>demeanor</w:t>
      </w:r>
      <w:proofErr w:type="spellEnd"/>
      <w:r w:rsidRPr="006C529D">
        <w:rPr>
          <w:rFonts w:ascii="Palatino Linotype" w:hAnsi="Palatino Linotype" w:cs="Times New Roman"/>
          <w:sz w:val="20"/>
          <w:szCs w:val="20"/>
        </w:rPr>
        <w:t xml:space="preserve">. Therefore, it is necessary to first address how to handle this </w:t>
      </w:r>
      <w:proofErr w:type="spellStart"/>
      <w:r w:rsidRPr="006C529D">
        <w:rPr>
          <w:rFonts w:ascii="Palatino Linotype" w:hAnsi="Palatino Linotype" w:cs="Times New Roman"/>
          <w:sz w:val="20"/>
          <w:szCs w:val="20"/>
        </w:rPr>
        <w:t>behavior</w:t>
      </w:r>
      <w:proofErr w:type="spellEnd"/>
      <w:r w:rsidRPr="006C529D">
        <w:rPr>
          <w:rFonts w:ascii="Palatino Linotype" w:hAnsi="Palatino Linotype" w:cs="Times New Roman"/>
          <w:sz w:val="20"/>
          <w:szCs w:val="20"/>
        </w:rPr>
        <w:t xml:space="preserve">. Additionally, the limited time available for interaction with </w:t>
      </w:r>
      <w:proofErr w:type="gramStart"/>
      <w:r w:rsidRPr="006C529D">
        <w:rPr>
          <w:rFonts w:ascii="Palatino Linotype" w:hAnsi="Palatino Linotype" w:cs="Times New Roman"/>
          <w:sz w:val="20"/>
          <w:szCs w:val="20"/>
        </w:rPr>
        <w:t>students</w:t>
      </w:r>
      <w:proofErr w:type="gramEnd"/>
      <w:r w:rsidRPr="006C529D">
        <w:rPr>
          <w:rFonts w:ascii="Palatino Linotype" w:hAnsi="Palatino Linotype" w:cs="Times New Roman"/>
          <w:sz w:val="20"/>
          <w:szCs w:val="20"/>
        </w:rPr>
        <w:t xml:space="preserve"> results in pre-service teachers having insufficient understanding of each student's character. However, open communication exists between students and pre-service teachers, which greatly facilitates interactions, especially since the students demonstrate high levels of intelligence."</w:t>
      </w:r>
    </w:p>
    <w:p w:rsidR="00E269E8" w:rsidRPr="006C529D" w:rsidRDefault="00E269E8" w:rsidP="00E269E8">
      <w:pPr>
        <w:jc w:val="both"/>
        <w:rPr>
          <w:rFonts w:ascii="Palatino Linotype" w:hAnsi="Palatino Linotype" w:cs="Times New Roman"/>
          <w:b/>
          <w:sz w:val="20"/>
          <w:szCs w:val="20"/>
        </w:rPr>
      </w:pPr>
      <w:r w:rsidRPr="006C529D">
        <w:rPr>
          <w:rFonts w:ascii="Palatino Linotype" w:hAnsi="Palatino Linotype" w:cs="Times New Roman"/>
          <w:b/>
          <w:sz w:val="20"/>
          <w:szCs w:val="20"/>
        </w:rPr>
        <w:t xml:space="preserve">Respondent 2 </w:t>
      </w:r>
    </w:p>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t xml:space="preserve">"Initially, we, as students, were not well received because the students at the school are predominantly children of affluent individuals (officials, entrepreneurs), while we are newcomers with modest social status. However, over time and through numerous activities guided by pre-service teachers, such as extracurricular activities and </w:t>
      </w:r>
      <w:proofErr w:type="spellStart"/>
      <w:r w:rsidRPr="006C529D">
        <w:rPr>
          <w:rFonts w:ascii="Palatino Linotype" w:hAnsi="Palatino Linotype" w:cs="Times New Roman"/>
          <w:sz w:val="20"/>
          <w:szCs w:val="20"/>
        </w:rPr>
        <w:t>practicals</w:t>
      </w:r>
      <w:proofErr w:type="spellEnd"/>
      <w:r w:rsidRPr="006C529D">
        <w:rPr>
          <w:rFonts w:ascii="Palatino Linotype" w:hAnsi="Palatino Linotype" w:cs="Times New Roman"/>
          <w:sz w:val="20"/>
          <w:szCs w:val="20"/>
        </w:rPr>
        <w:t>, we managed to elicit a positive response from the students. They began addressing us respectfully as 'miss' or 'sir,' sought our guidance, and classroom participation gradually increased. Through several incidents we encountered, the key lesson learned is how educators strive to understand and accommodate the diverse characteristics of students who naturally differ from one another."</w:t>
      </w:r>
    </w:p>
    <w:p w:rsidR="00E269E8" w:rsidRPr="006C529D" w:rsidRDefault="00E269E8" w:rsidP="00E269E8">
      <w:pPr>
        <w:jc w:val="both"/>
        <w:rPr>
          <w:rFonts w:ascii="Palatino Linotype" w:hAnsi="Palatino Linotype" w:cs="Times New Roman"/>
          <w:b/>
          <w:sz w:val="20"/>
          <w:szCs w:val="20"/>
        </w:rPr>
      </w:pPr>
      <w:r w:rsidRPr="006C529D">
        <w:rPr>
          <w:rFonts w:ascii="Palatino Linotype" w:hAnsi="Palatino Linotype" w:cs="Times New Roman"/>
          <w:b/>
          <w:sz w:val="20"/>
          <w:szCs w:val="20"/>
        </w:rPr>
        <w:t xml:space="preserve">Respondent 3 </w:t>
      </w:r>
    </w:p>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t xml:space="preserve">"During the PPL (Field Experience Practice) at the partner school, the direct interaction with students consistently garnered positive responses. The students were willing and open to engage with the pre-service teachers, freely sharing information when asked. According to the students, 'They were open with us, and we received good responses when seeking information.' Overall, there were no significant communication obstacles encountered in the partner school environment." </w:t>
      </w:r>
    </w:p>
    <w:p w:rsidR="00E269E8" w:rsidRPr="006C529D" w:rsidRDefault="00E269E8" w:rsidP="00E269E8">
      <w:pPr>
        <w:jc w:val="both"/>
        <w:rPr>
          <w:rFonts w:ascii="Palatino Linotype" w:hAnsi="Palatino Linotype" w:cs="Times New Roman"/>
          <w:b/>
          <w:sz w:val="20"/>
          <w:szCs w:val="20"/>
        </w:rPr>
      </w:pPr>
      <w:r w:rsidRPr="006C529D">
        <w:rPr>
          <w:rFonts w:ascii="Palatino Linotype" w:hAnsi="Palatino Linotype" w:cs="Times New Roman"/>
          <w:b/>
          <w:sz w:val="20"/>
          <w:szCs w:val="20"/>
        </w:rPr>
        <w:t xml:space="preserve">Respondent 4 </w:t>
      </w:r>
    </w:p>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t xml:space="preserve">"The students generally exhibit a spoiled character. Therefore, it is necessary to first address how to manage this spoiled nature. The limited time available for interacting with the students results in the pre-service teachers having insufficient understanding of each student's character. However, communication between the students and the pre-service teachers remains open."   </w:t>
      </w:r>
    </w:p>
    <w:p w:rsidR="00E269E8" w:rsidRPr="006C529D" w:rsidRDefault="00E269E8" w:rsidP="00E269E8">
      <w:pPr>
        <w:jc w:val="both"/>
        <w:rPr>
          <w:rFonts w:ascii="Palatino Linotype" w:hAnsi="Palatino Linotype" w:cs="Times New Roman"/>
          <w:sz w:val="20"/>
          <w:szCs w:val="20"/>
        </w:rPr>
      </w:pPr>
      <w:r w:rsidRPr="006C529D">
        <w:rPr>
          <w:rFonts w:ascii="Palatino Linotype" w:hAnsi="Palatino Linotype" w:cs="Times New Roman"/>
          <w:sz w:val="20"/>
          <w:szCs w:val="20"/>
        </w:rPr>
        <w:tab/>
        <w:t>Based on the experiences described, prospective professional teachers in the Indonesian language education program have gained valuable insights into interacting with students. These experiences underscore the challenges involved in becoming a professional teacher, necessitating the navigation of diverse student characteristics, personalities, social backgrounds, and ethnicities. Establishing a positive relationship between teachers and students is crucial for success in the teaching and learning process. Effective learning occurs through meaningful interactions between teachers and students both inside and outside the classroom, fostering an environment conducive to learning.</w:t>
      </w:r>
    </w:p>
    <w:p w:rsidR="00E269E8" w:rsidRPr="00E269E8" w:rsidRDefault="00E269E8" w:rsidP="00E269E8">
      <w:pPr>
        <w:pStyle w:val="Alishlah21heading1"/>
        <w:numPr>
          <w:ilvl w:val="0"/>
          <w:numId w:val="22"/>
        </w:numPr>
        <w:ind w:left="360"/>
        <w:rPr>
          <w:szCs w:val="20"/>
        </w:rPr>
      </w:pPr>
      <w:r w:rsidRPr="00E269E8">
        <w:rPr>
          <w:szCs w:val="20"/>
        </w:rPr>
        <w:t xml:space="preserve">Interaction with </w:t>
      </w:r>
      <w:proofErr w:type="spellStart"/>
      <w:r w:rsidRPr="00E269E8">
        <w:rPr>
          <w:szCs w:val="20"/>
        </w:rPr>
        <w:t>Tachers</w:t>
      </w:r>
      <w:proofErr w:type="spellEnd"/>
      <w:r w:rsidRPr="00E269E8">
        <w:rPr>
          <w:szCs w:val="20"/>
        </w:rPr>
        <w:t xml:space="preserve">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 xml:space="preserve">Social competence is a critical attribute that professional teachers must possess, enabling effective communication and interaction with students, educational staff, parents/guardians, and the </w:t>
      </w:r>
      <w:r w:rsidRPr="00E269E8">
        <w:rPr>
          <w:rFonts w:ascii="Palatino Linotype" w:hAnsi="Palatino Linotype" w:cs="Times New Roman"/>
          <w:sz w:val="20"/>
          <w:szCs w:val="20"/>
        </w:rPr>
        <w:lastRenderedPageBreak/>
        <w:t xml:space="preserve">community. Indicators of social competence include inclusive </w:t>
      </w:r>
      <w:proofErr w:type="spellStart"/>
      <w:r w:rsidRPr="00E269E8">
        <w:rPr>
          <w:rFonts w:ascii="Palatino Linotype" w:hAnsi="Palatino Linotype" w:cs="Times New Roman"/>
          <w:sz w:val="20"/>
          <w:szCs w:val="20"/>
        </w:rPr>
        <w:t>behavior</w:t>
      </w:r>
      <w:proofErr w:type="spellEnd"/>
      <w:r w:rsidRPr="00E269E8">
        <w:rPr>
          <w:rFonts w:ascii="Palatino Linotype" w:hAnsi="Palatino Linotype" w:cs="Times New Roman"/>
          <w:sz w:val="20"/>
          <w:szCs w:val="20"/>
        </w:rPr>
        <w:t>, effective communication with diverse educational stakeholders, strong adaptability skills, and proficient oral and written communication abilities. Establishing positive interactions with mentors, colleagues, and school leaders is crucial for prospective professional teachers to learn and gain valuable experiences from these educators. Based on the research conducted at four partner schools, the following are the reported experiences of the respondents.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5 </w:t>
      </w:r>
    </w:p>
    <w:p w:rsidR="00E269E8" w:rsidRPr="00E269E8" w:rsidRDefault="00E269E8" w:rsidP="00E269E8">
      <w:pPr>
        <w:spacing w:after="0" w:line="240" w:lineRule="auto"/>
        <w:ind w:firstLine="720"/>
        <w:jc w:val="both"/>
        <w:rPr>
          <w:rFonts w:ascii="Palatino Linotype" w:hAnsi="Palatino Linotype"/>
          <w:sz w:val="20"/>
          <w:szCs w:val="20"/>
        </w:rPr>
      </w:pPr>
      <w:r w:rsidRPr="00E269E8">
        <w:rPr>
          <w:rFonts w:ascii="Palatino Linotype" w:hAnsi="Palatino Linotype"/>
          <w:sz w:val="20"/>
          <w:szCs w:val="20"/>
        </w:rPr>
        <w:t xml:space="preserve">"We did not encounter any major issues with our mentoring teachers, as our PPL mentors at our location were very supportive and welcoming. We communicated all tasks and instructions through our </w:t>
      </w:r>
      <w:proofErr w:type="spellStart"/>
      <w:r w:rsidRPr="00E269E8">
        <w:rPr>
          <w:rFonts w:ascii="Palatino Linotype" w:hAnsi="Palatino Linotype"/>
          <w:sz w:val="20"/>
          <w:szCs w:val="20"/>
        </w:rPr>
        <w:t>WhatsApp</w:t>
      </w:r>
      <w:proofErr w:type="spellEnd"/>
      <w:r w:rsidRPr="00E269E8">
        <w:rPr>
          <w:rFonts w:ascii="Palatino Linotype" w:hAnsi="Palatino Linotype"/>
          <w:sz w:val="20"/>
          <w:szCs w:val="20"/>
        </w:rPr>
        <w:t xml:space="preserve"> group. However, one challenge we faced was the considerable distance between our PPL basecamp and the teachers' room. This distance meant that as PPL students, we had limited opportunities to meet with the teachers, resulting in infrequent communication being the only hindrance. These challenges solely stemmed from the distance. Besides that, all the teachers at the partner schools were very kind."</w:t>
      </w:r>
    </w:p>
    <w:p w:rsidR="00E269E8" w:rsidRPr="00E269E8" w:rsidRDefault="00E269E8" w:rsidP="00E269E8">
      <w:pPr>
        <w:spacing w:after="0" w:line="240" w:lineRule="auto"/>
        <w:ind w:firstLine="720"/>
        <w:jc w:val="both"/>
        <w:rPr>
          <w:rFonts w:ascii="Palatino Linotype" w:hAnsi="Palatino Linotype"/>
          <w:sz w:val="20"/>
          <w:szCs w:val="20"/>
        </w:rPr>
      </w:pP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6  </w:t>
      </w:r>
    </w:p>
    <w:p w:rsidR="00E269E8" w:rsidRPr="00E269E8" w:rsidRDefault="00E269E8" w:rsidP="00E269E8">
      <w:pPr>
        <w:spacing w:line="240" w:lineRule="auto"/>
        <w:jc w:val="both"/>
        <w:rPr>
          <w:rFonts w:ascii="Palatino Linotype" w:hAnsi="Palatino Linotype" w:cs="Times New Roman"/>
          <w:sz w:val="20"/>
          <w:szCs w:val="20"/>
        </w:rPr>
      </w:pPr>
      <w:r w:rsidRPr="00E269E8">
        <w:rPr>
          <w:rFonts w:ascii="Palatino Linotype" w:hAnsi="Palatino Linotype" w:cs="Times New Roman"/>
          <w:sz w:val="20"/>
          <w:szCs w:val="20"/>
        </w:rPr>
        <w:t>"We received positive feedback and acceptance from all the teachers at the partner school. Whenever we encountered difficulties, we were guided and given advice. The positive response from the teachers at the partner school is attributed to their high competence, enabling them to act professionally as motivating, accomplished, and exemplary teaching practitioners."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7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"We received a very warm reception from the teachers, starting from our arrival to the implementation of PPL. Several days before the PPL team arrived, the teachers were already informed about our presence. The placement of the PPL basecamp at the partner school was considered excellent, as students were accommodated in rooms alongside the teachers. This arrangement provided us with access to the same facilities as the teachers and other school operational elements."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8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"The mentors are often busy, which makes direct communication challenging. They rarely participate in team discussions, so the PPL teachers have established a specific schedule for discussions with them. Building rapport with other teachers has been more difficult, but this is not overly concerning as rapport can develop over time."</w:t>
      </w:r>
    </w:p>
    <w:p w:rsidR="00E269E8" w:rsidRPr="00E269E8" w:rsidRDefault="00E269E8" w:rsidP="00E269E8">
      <w:pPr>
        <w:ind w:firstLine="360"/>
        <w:jc w:val="both"/>
        <w:rPr>
          <w:rFonts w:ascii="Palatino Linotype" w:hAnsi="Palatino Linotype" w:cs="Times New Roman"/>
          <w:sz w:val="20"/>
          <w:szCs w:val="20"/>
        </w:rPr>
      </w:pPr>
      <w:r w:rsidRPr="00E269E8">
        <w:rPr>
          <w:rFonts w:ascii="Palatino Linotype" w:hAnsi="Palatino Linotype" w:cs="Times New Roman"/>
          <w:sz w:val="20"/>
          <w:szCs w:val="20"/>
        </w:rPr>
        <w:t>Based on the experiences of these prospective professional teachers in interacting with the teachers at the school, overall interactions have been well-established, with good communication channels established. This indicates that the social competence of these prospective teachers is generally good. However, some prospective professional teachers have experienced challenges in communicating with their mentoring teachers and other teachers due to the mentors' busy schedules, leading to occasional communication difficulties. This issue does not reflect a lack of social competence on their part. From this experience, it is evident that effective interactions can be established when both parties are able to harmoniously build these relationships.</w:t>
      </w:r>
    </w:p>
    <w:p w:rsidR="00E269E8" w:rsidRPr="00E269E8" w:rsidRDefault="00E269E8" w:rsidP="00E269E8">
      <w:pPr>
        <w:pStyle w:val="Alishlah21heading1"/>
        <w:numPr>
          <w:ilvl w:val="0"/>
          <w:numId w:val="22"/>
        </w:numPr>
        <w:ind w:left="426" w:hanging="426"/>
        <w:rPr>
          <w:szCs w:val="20"/>
        </w:rPr>
      </w:pPr>
      <w:r w:rsidRPr="00E269E8">
        <w:rPr>
          <w:szCs w:val="20"/>
        </w:rPr>
        <w:t>School management/rules implemented in schools</w:t>
      </w:r>
    </w:p>
    <w:p w:rsidR="00E269E8" w:rsidRPr="00E269E8" w:rsidRDefault="00E269E8" w:rsidP="00E269E8">
      <w:pPr>
        <w:spacing w:line="240" w:lineRule="auto"/>
        <w:ind w:firstLine="720"/>
        <w:jc w:val="both"/>
        <w:rPr>
          <w:rFonts w:ascii="Palatino Linotype" w:hAnsi="Palatino Linotype"/>
          <w:sz w:val="20"/>
          <w:szCs w:val="20"/>
        </w:rPr>
      </w:pPr>
      <w:r w:rsidRPr="00E269E8">
        <w:rPr>
          <w:rFonts w:ascii="Palatino Linotype" w:hAnsi="Palatino Linotype"/>
          <w:sz w:val="20"/>
          <w:szCs w:val="20"/>
        </w:rPr>
        <w:lastRenderedPageBreak/>
        <w:t xml:space="preserve">As prospective professional teachers, they are expected to adhere to the management and rules implemented by the partner school, which govern </w:t>
      </w:r>
      <w:proofErr w:type="spellStart"/>
      <w:r w:rsidRPr="00E269E8">
        <w:rPr>
          <w:rFonts w:ascii="Palatino Linotype" w:hAnsi="Palatino Linotype"/>
          <w:sz w:val="20"/>
          <w:szCs w:val="20"/>
        </w:rPr>
        <w:t>behavior</w:t>
      </w:r>
      <w:proofErr w:type="spellEnd"/>
      <w:r w:rsidRPr="00E269E8">
        <w:rPr>
          <w:rFonts w:ascii="Palatino Linotype" w:hAnsi="Palatino Linotype"/>
          <w:sz w:val="20"/>
          <w:szCs w:val="20"/>
        </w:rPr>
        <w:t xml:space="preserve"> and activities within the school. This experience introduces prospective professional teachers to school management practices. The following are the experiences of professional teachers from the Indonesian language education program related to school management or school rules.</w:t>
      </w:r>
    </w:p>
    <w:p w:rsidR="00E269E8" w:rsidRPr="00E269E8" w:rsidRDefault="00E269E8" w:rsidP="00E269E8">
      <w:pPr>
        <w:spacing w:line="360" w:lineRule="auto"/>
        <w:jc w:val="both"/>
        <w:rPr>
          <w:rFonts w:ascii="Palatino Linotype" w:hAnsi="Palatino Linotype"/>
          <w:b/>
          <w:sz w:val="20"/>
          <w:szCs w:val="20"/>
        </w:rPr>
      </w:pPr>
      <w:r w:rsidRPr="00E269E8">
        <w:rPr>
          <w:rFonts w:ascii="Palatino Linotype" w:hAnsi="Palatino Linotype"/>
          <w:b/>
          <w:sz w:val="20"/>
          <w:szCs w:val="20"/>
        </w:rPr>
        <w:t xml:space="preserve">Respondent 1  </w:t>
      </w:r>
    </w:p>
    <w:p w:rsidR="00E269E8" w:rsidRPr="00E269E8" w:rsidRDefault="00E269E8" w:rsidP="00E269E8">
      <w:pPr>
        <w:pStyle w:val="ListParagraph"/>
        <w:spacing w:line="240" w:lineRule="auto"/>
        <w:ind w:left="90"/>
        <w:jc w:val="both"/>
        <w:rPr>
          <w:rFonts w:ascii="Palatino Linotype" w:hAnsi="Palatino Linotype"/>
          <w:sz w:val="20"/>
          <w:szCs w:val="20"/>
        </w:rPr>
      </w:pPr>
      <w:r w:rsidRPr="00E269E8">
        <w:rPr>
          <w:rFonts w:ascii="Palatino Linotype" w:hAnsi="Palatino Linotype"/>
          <w:sz w:val="20"/>
          <w:szCs w:val="20"/>
        </w:rPr>
        <w:t>"School management presented a challenge for us as we needed to adapt to the school's unique system, which differed slightly from others. For instance, at the partner school, the day began with a morning assembly at 6:20 AM. Adjusting to this early start time was initially challenging for us, as we were accustomed to starting later. Despite our surprise, we recognized the effectiveness of the school's management because both students and teachers arrived punctually. As PPL students, we had to quickly adjust to this schedule."</w:t>
      </w:r>
    </w:p>
    <w:p w:rsidR="00E269E8" w:rsidRPr="00E269E8" w:rsidRDefault="00E269E8" w:rsidP="00E269E8">
      <w:pPr>
        <w:spacing w:line="360" w:lineRule="auto"/>
        <w:jc w:val="both"/>
        <w:rPr>
          <w:rFonts w:ascii="Palatino Linotype" w:hAnsi="Palatino Linotype"/>
          <w:b/>
          <w:sz w:val="20"/>
          <w:szCs w:val="20"/>
        </w:rPr>
      </w:pPr>
      <w:r w:rsidRPr="00E269E8">
        <w:rPr>
          <w:rFonts w:ascii="Palatino Linotype" w:hAnsi="Palatino Linotype"/>
          <w:b/>
          <w:sz w:val="20"/>
          <w:szCs w:val="20"/>
        </w:rPr>
        <w:t xml:space="preserve">Respondent 2 </w:t>
      </w:r>
    </w:p>
    <w:p w:rsidR="00E269E8" w:rsidRPr="00E269E8" w:rsidRDefault="00E269E8" w:rsidP="00E269E8">
      <w:pPr>
        <w:spacing w:line="240" w:lineRule="auto"/>
        <w:jc w:val="both"/>
        <w:rPr>
          <w:rFonts w:ascii="Palatino Linotype" w:hAnsi="Palatino Linotype" w:cs="Times New Roman"/>
          <w:sz w:val="20"/>
          <w:szCs w:val="20"/>
        </w:rPr>
      </w:pPr>
      <w:r w:rsidRPr="00E269E8">
        <w:rPr>
          <w:rFonts w:ascii="Palatino Linotype" w:hAnsi="Palatino Linotype" w:cs="Times New Roman"/>
          <w:sz w:val="20"/>
          <w:szCs w:val="20"/>
        </w:rPr>
        <w:t>The school management utilizes a unique attendance system at the partner school, where attendance is recorded using a barcode system. Students' name tags are scanned upon entry at the system available in the school lobby, automatically recording their name and time of arrival. For students who arrive late, two sanctions are routinely applied: reading and cleaning specific areas of the school, such as sweeping, mopping, and cleaning windows.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3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"No significant obstacles were encountered regarding the management or rules of the school. The rules implemented at the partner school are clear and effectively impact the management of school activities. Thus, the management is well-structured across various domains. For example, during holidays, teachers are completely relieved of their duties, and there are designated security guards focused solely on school security."</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4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"There were no significant obstacles. PPL teachers simply needed to acclimate to following school rules, such as prompt reprimands for teachers with long hair. The advantage is that all aspects of management are already well-established."</w:t>
      </w:r>
    </w:p>
    <w:p w:rsidR="00E269E8" w:rsidRPr="00E269E8" w:rsidRDefault="00E269E8" w:rsidP="00E269E8">
      <w:pPr>
        <w:ind w:firstLine="360"/>
        <w:jc w:val="both"/>
        <w:rPr>
          <w:rFonts w:ascii="Palatino Linotype" w:hAnsi="Palatino Linotype" w:cs="Times New Roman"/>
          <w:sz w:val="20"/>
          <w:szCs w:val="20"/>
        </w:rPr>
      </w:pPr>
      <w:r w:rsidRPr="00E269E8">
        <w:rPr>
          <w:rFonts w:ascii="Palatino Linotype" w:hAnsi="Palatino Linotype" w:cs="Times New Roman"/>
          <w:sz w:val="20"/>
          <w:szCs w:val="20"/>
        </w:rPr>
        <w:t>Based on the experiences of the respondents above, it is evident that the field practice of prospective professional Indonesian language teachers introduced them to school management. They learned to understand and adhere to various rules existing in the partner schools. These prospective teachers are required to demonstrate an adaptive attitude towards the socio-cultural environment in which they work.</w:t>
      </w:r>
    </w:p>
    <w:p w:rsidR="00E269E8" w:rsidRPr="00E269E8" w:rsidRDefault="00E269E8" w:rsidP="00E269E8">
      <w:pPr>
        <w:pStyle w:val="Alishlah21heading1"/>
        <w:numPr>
          <w:ilvl w:val="0"/>
          <w:numId w:val="22"/>
        </w:numPr>
        <w:ind w:left="426" w:hanging="426"/>
        <w:rPr>
          <w:szCs w:val="20"/>
        </w:rPr>
      </w:pPr>
      <w:r w:rsidRPr="00E269E8">
        <w:rPr>
          <w:szCs w:val="20"/>
        </w:rPr>
        <w:t>Facilities and Infrastructure</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 xml:space="preserve">The education system comprises interconnected subsystems or elements such as goals, curriculum, content, methods, educators, students, facilities, tools, and approaches, all essential for achieving success. The presence of each element is crucial; the absence of any can hinder the education process and lead to failure. Educational facilities and infrastructure play a vital role in this process, encompassing components necessary for its implementation. Without adequate educational facilities and infrastructure, the education process faces challenges, impacting the attainment of </w:t>
      </w:r>
      <w:r w:rsidRPr="00E269E8">
        <w:rPr>
          <w:rFonts w:ascii="Palatino Linotype" w:hAnsi="Palatino Linotype" w:cs="Times New Roman"/>
          <w:sz w:val="20"/>
          <w:szCs w:val="20"/>
        </w:rPr>
        <w:lastRenderedPageBreak/>
        <w:t>educational goals. The following are the experiences of prospective professional teachers in the Indonesian language education program related to facilities and infrastructure at partner schools.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5 </w:t>
      </w:r>
    </w:p>
    <w:p w:rsidR="00E269E8" w:rsidRPr="00E269E8" w:rsidRDefault="00E269E8" w:rsidP="00E269E8">
      <w:pPr>
        <w:spacing w:line="240" w:lineRule="auto"/>
        <w:jc w:val="both"/>
        <w:rPr>
          <w:rFonts w:ascii="Palatino Linotype" w:hAnsi="Palatino Linotype"/>
          <w:sz w:val="20"/>
          <w:szCs w:val="20"/>
        </w:rPr>
      </w:pPr>
      <w:r w:rsidRPr="00E269E8">
        <w:rPr>
          <w:rFonts w:ascii="Palatino Linotype" w:hAnsi="Palatino Linotype"/>
          <w:sz w:val="20"/>
          <w:szCs w:val="20"/>
        </w:rPr>
        <w:t>"The facilities and infrastructure at the partner school, particularly in terms of technology, are generally good. However, we have observed or entered several classrooms where some projectors are no longer functional. Consequently, these classrooms appear to face challenges in fully utilizing technology in their learning processes."</w:t>
      </w:r>
    </w:p>
    <w:p w:rsidR="00E269E8" w:rsidRPr="00E269E8" w:rsidRDefault="00E269E8" w:rsidP="00E269E8">
      <w:pPr>
        <w:spacing w:line="360" w:lineRule="auto"/>
        <w:jc w:val="both"/>
        <w:rPr>
          <w:rFonts w:ascii="Palatino Linotype" w:hAnsi="Palatino Linotype" w:cs="Times New Roman"/>
          <w:sz w:val="20"/>
          <w:szCs w:val="20"/>
        </w:rPr>
      </w:pPr>
      <w:r w:rsidRPr="00E269E8">
        <w:rPr>
          <w:rFonts w:ascii="Palatino Linotype" w:hAnsi="Palatino Linotype" w:cs="Times New Roman"/>
          <w:b/>
          <w:sz w:val="20"/>
          <w:szCs w:val="20"/>
        </w:rPr>
        <w:t xml:space="preserve">Respondent 6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 xml:space="preserve">"The facilities and infrastructure at the partner school are considered highly adequate. PPL PPG students are provided with a basecamp in excellent condition, including spacious rooms, pillows, air conditioning, podcast rooms, whiteboards, and an </w:t>
      </w:r>
      <w:proofErr w:type="spellStart"/>
      <w:r w:rsidRPr="00E269E8">
        <w:rPr>
          <w:rFonts w:ascii="Palatino Linotype" w:hAnsi="Palatino Linotype" w:cs="Times New Roman"/>
          <w:sz w:val="20"/>
          <w:szCs w:val="20"/>
        </w:rPr>
        <w:t>Infocus</w:t>
      </w:r>
      <w:proofErr w:type="spellEnd"/>
      <w:r w:rsidRPr="00E269E8">
        <w:rPr>
          <w:rFonts w:ascii="Palatino Linotype" w:hAnsi="Palatino Linotype" w:cs="Times New Roman"/>
          <w:sz w:val="20"/>
          <w:szCs w:val="20"/>
        </w:rPr>
        <w:t xml:space="preserve"> projector. These comprehensive facilities enable us to enhance creativity in learning."</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7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"The facilities and infrastructure at the partner school are considered very adequate, including the availability of internet networks and projectors in every classroom. Each classroom is also equipped with air conditioning. Additionally, vehicles are available for transportation on holidays or when students wish to go out. We have experienced the benefits of these school facilities and infrastructure, including lunch arrangements and participation in school activities."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8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 xml:space="preserve">"Several facilities, such as the library and laboratory rooms, are located on the 5th floor, requiring students to use stairs to access them. This has led to many complaints from students. Nevertheless, the facilities and infrastructure are generally sufficient. Students have been provided with air-conditioned rooms, projectors, speakers, and other amenities in every classroom. Additionally, each student has a learning ID to access the premium </w:t>
      </w:r>
      <w:proofErr w:type="spellStart"/>
      <w:r w:rsidRPr="00E269E8">
        <w:rPr>
          <w:rFonts w:ascii="Palatino Linotype" w:hAnsi="Palatino Linotype" w:cs="Times New Roman"/>
          <w:sz w:val="20"/>
          <w:szCs w:val="20"/>
        </w:rPr>
        <w:t>Canva</w:t>
      </w:r>
      <w:proofErr w:type="spellEnd"/>
      <w:r w:rsidRPr="00E269E8">
        <w:rPr>
          <w:rFonts w:ascii="Palatino Linotype" w:hAnsi="Palatino Linotype" w:cs="Times New Roman"/>
          <w:sz w:val="20"/>
          <w:szCs w:val="20"/>
        </w:rPr>
        <w:t xml:space="preserve"> application."</w:t>
      </w:r>
    </w:p>
    <w:p w:rsidR="00E269E8" w:rsidRPr="00E269E8" w:rsidRDefault="00E269E8" w:rsidP="00E269E8">
      <w:pPr>
        <w:spacing w:line="240" w:lineRule="auto"/>
        <w:ind w:firstLine="720"/>
        <w:jc w:val="both"/>
        <w:rPr>
          <w:rFonts w:ascii="Palatino Linotype" w:hAnsi="Palatino Linotype" w:cs="Times New Roman"/>
          <w:sz w:val="20"/>
          <w:szCs w:val="20"/>
        </w:rPr>
      </w:pPr>
      <w:r w:rsidRPr="00E269E8">
        <w:rPr>
          <w:rFonts w:ascii="Palatino Linotype" w:hAnsi="Palatino Linotype" w:cs="Times New Roman"/>
          <w:sz w:val="20"/>
          <w:szCs w:val="20"/>
        </w:rPr>
        <w:t>Based on the experiences of these prospective professional teachers, it is evident that facilities and infrastructure are integral to the overall learning activities in educational units, playing a functional role in achieving educational objectives according to the curriculum. The research results indicate that the four partner schools already have good facilities and infrastructure. These resources enable students in the pre-service teacher program to perform their duties effectively. However, to ensure the provision of facilities and infrastructure is effective and efficient, a precise needs analysis is required during the planning phase. This is essential to avoid potential difficulties arising from the existence of these facilities and infrastructure.</w:t>
      </w:r>
    </w:p>
    <w:p w:rsidR="00E269E8" w:rsidRPr="00E269E8" w:rsidRDefault="00E269E8" w:rsidP="00E269E8">
      <w:pPr>
        <w:pStyle w:val="Alishlah21heading1"/>
        <w:numPr>
          <w:ilvl w:val="0"/>
          <w:numId w:val="22"/>
        </w:numPr>
        <w:ind w:left="426" w:hanging="426"/>
        <w:rPr>
          <w:szCs w:val="20"/>
        </w:rPr>
      </w:pPr>
      <w:r w:rsidRPr="00E269E8">
        <w:rPr>
          <w:szCs w:val="20"/>
        </w:rPr>
        <w:t xml:space="preserve">Learning Process </w:t>
      </w:r>
    </w:p>
    <w:p w:rsidR="00E269E8" w:rsidRDefault="00E269E8" w:rsidP="00E269E8">
      <w:pPr>
        <w:spacing w:line="240" w:lineRule="auto"/>
        <w:ind w:firstLine="360"/>
        <w:jc w:val="both"/>
        <w:rPr>
          <w:rFonts w:ascii="Palatino Linotype" w:hAnsi="Palatino Linotype" w:cs="Times New Roman"/>
          <w:sz w:val="20"/>
          <w:szCs w:val="20"/>
        </w:rPr>
      </w:pPr>
      <w:r w:rsidRPr="00E269E8">
        <w:rPr>
          <w:rFonts w:ascii="Palatino Linotype" w:hAnsi="Palatino Linotype" w:cs="Times New Roman"/>
          <w:sz w:val="20"/>
          <w:szCs w:val="20"/>
        </w:rPr>
        <w:t>Every teacher is required to be professional. To achieve this, they must possess four core competencies: pedagogical, social, professional, and personal competencies. In the pre-service teacher program, students are trained to become professionals through field experience courses, which provide them with direct teaching experience at partner schools. Below are the experiences of prospective professiona</w:t>
      </w:r>
      <w:r w:rsidR="006C529D">
        <w:rPr>
          <w:rFonts w:ascii="Palatino Linotype" w:hAnsi="Palatino Linotype" w:cs="Times New Roman"/>
          <w:sz w:val="20"/>
          <w:szCs w:val="20"/>
        </w:rPr>
        <w:t>l Indonesian language teachers.</w:t>
      </w:r>
      <w:bookmarkStart w:id="1" w:name="_GoBack"/>
      <w:bookmarkEnd w:id="1"/>
    </w:p>
    <w:p w:rsidR="006C529D" w:rsidRDefault="006C529D" w:rsidP="00E269E8">
      <w:pPr>
        <w:spacing w:line="240" w:lineRule="auto"/>
        <w:ind w:firstLine="360"/>
        <w:jc w:val="both"/>
        <w:rPr>
          <w:rFonts w:ascii="Palatino Linotype" w:hAnsi="Palatino Linotype" w:cs="Times New Roman"/>
          <w:sz w:val="20"/>
          <w:szCs w:val="20"/>
        </w:rPr>
      </w:pPr>
    </w:p>
    <w:p w:rsidR="006C529D" w:rsidRPr="00E269E8" w:rsidRDefault="006C529D" w:rsidP="00E269E8">
      <w:pPr>
        <w:spacing w:line="240" w:lineRule="auto"/>
        <w:ind w:firstLine="360"/>
        <w:jc w:val="both"/>
        <w:rPr>
          <w:rFonts w:ascii="Palatino Linotype" w:hAnsi="Palatino Linotype" w:cs="Times New Roman"/>
          <w:sz w:val="20"/>
          <w:szCs w:val="20"/>
        </w:rPr>
      </w:pP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lastRenderedPageBreak/>
        <w:t xml:space="preserve">Respondent 1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"We must create a teaching and learning process that aligns with the interests and talents of the students. Otherwise, they will be distracted by their gadgets. This is our challenge. Additionally, we need to develop learning media that the students have not previously encountered, as most technologies have already been frequently utilized by their teachers."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2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"Time constraints make us feel rushed, resulting in less than optimal learning materials. Field practice often does not align with the Lesson Plans (RPP). In one class, there are dozens of students with diverse characters that PPL teachers must manage. The advantage is that classroom learning can proceed well because the Lesson Plans and media have been prepared and are supported by the availability of facilities and infrastructure."</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3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 xml:space="preserve">"This partner school is equipped with excellent learning support facilities. In addition to instructional media and materials, the school also considers the psychological aspects and attitudes of the students, which serve as references for teachers in choosing teaching methods. The school </w:t>
      </w:r>
      <w:proofErr w:type="spellStart"/>
      <w:r w:rsidRPr="00E269E8">
        <w:rPr>
          <w:rFonts w:ascii="Palatino Linotype" w:hAnsi="Palatino Linotype" w:cs="Times New Roman"/>
          <w:sz w:val="20"/>
          <w:szCs w:val="20"/>
        </w:rPr>
        <w:t>counselor</w:t>
      </w:r>
      <w:proofErr w:type="spellEnd"/>
      <w:r w:rsidRPr="00E269E8">
        <w:rPr>
          <w:rFonts w:ascii="Palatino Linotype" w:hAnsi="Palatino Linotype" w:cs="Times New Roman"/>
          <w:sz w:val="20"/>
          <w:szCs w:val="20"/>
        </w:rPr>
        <w:t xml:space="preserve"> (BK teacher) maintains data on the psychological profiles of students obtained since their first </w:t>
      </w:r>
      <w:proofErr w:type="spellStart"/>
      <w:r w:rsidRPr="00E269E8">
        <w:rPr>
          <w:rFonts w:ascii="Palatino Linotype" w:hAnsi="Palatino Linotype" w:cs="Times New Roman"/>
          <w:sz w:val="20"/>
          <w:szCs w:val="20"/>
        </w:rPr>
        <w:t>enrollment</w:t>
      </w:r>
      <w:proofErr w:type="spellEnd"/>
      <w:r w:rsidRPr="00E269E8">
        <w:rPr>
          <w:rFonts w:ascii="Palatino Linotype" w:hAnsi="Palatino Linotype" w:cs="Times New Roman"/>
          <w:sz w:val="20"/>
          <w:szCs w:val="20"/>
        </w:rPr>
        <w:t>, with regular updates each year. This significantly aids teachers in creating instructional media and selecting appropriate teaching methods. Consequently, the learning process proceeds well, with students who are very active and intelligent. This presents a challenge for us to enhance our knowledge and skills to become professional teachers."</w:t>
      </w:r>
    </w:p>
    <w:p w:rsidR="00E269E8" w:rsidRPr="00E269E8" w:rsidRDefault="00E269E8" w:rsidP="00E269E8">
      <w:pPr>
        <w:jc w:val="both"/>
        <w:rPr>
          <w:rFonts w:ascii="Palatino Linotype" w:hAnsi="Palatino Linotype" w:cs="Times New Roman"/>
          <w:b/>
          <w:sz w:val="20"/>
          <w:szCs w:val="20"/>
        </w:rPr>
      </w:pPr>
      <w:r w:rsidRPr="00E269E8">
        <w:rPr>
          <w:rFonts w:ascii="Palatino Linotype" w:hAnsi="Palatino Linotype" w:cs="Times New Roman"/>
          <w:b/>
          <w:sz w:val="20"/>
          <w:szCs w:val="20"/>
        </w:rPr>
        <w:t xml:space="preserve">Respondent 4 (Partner School D) </w:t>
      </w:r>
    </w:p>
    <w:p w:rsidR="00E269E8" w:rsidRPr="00E269E8" w:rsidRDefault="00E269E8" w:rsidP="00E269E8">
      <w:pPr>
        <w:jc w:val="both"/>
        <w:rPr>
          <w:rFonts w:ascii="Palatino Linotype" w:hAnsi="Palatino Linotype" w:cs="Times New Roman"/>
          <w:sz w:val="20"/>
          <w:szCs w:val="20"/>
        </w:rPr>
      </w:pPr>
      <w:r w:rsidRPr="00E269E8">
        <w:rPr>
          <w:rFonts w:ascii="Palatino Linotype" w:hAnsi="Palatino Linotype" w:cs="Times New Roman"/>
          <w:sz w:val="20"/>
          <w:szCs w:val="20"/>
        </w:rPr>
        <w:t>"During classroom teaching, significant difficulties are generally not encountered. This is due to adequate facilities and well-evaluated instructional media. Team cohesion among PPL students is also crucial in minimizing the intensity of issues encountered. By working together, we can address difficulties as soon as they arise through immediate discussion. Active learning is implemented by rewarding students, which is aimed at enhancing their learning motivation."</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Based on the findings of this research, it is evident that prospective professional Indonesian language teachers gain a variety of experiences during their field experience practice at partner schools, encountering both enjoyable and challenging situations. They must be prepared to handle any situation. The objective of field experience courses in teacher education programs is to provide PPG students with real and contextual experiences, allowing them to apply a comprehensive set of knowledge, attitudes, and skills. This supports the mastery of pedagogical competence, personality competence, social competence, and subject matter mastery in its entirety. Prospective teachers must develop competencies based on reflection and inquiry, focusing on continuous professional development (Flores, 2020). Therefore, it is crucial for these prospective teachers to fully utilize these experiences to gain extensive direct learning and practical experience at partner schools.</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 xml:space="preserve">Based on the experiences related to interactions with students, the research findings indicate that a majority of respondents across three schools encountered challenges in their interactions. These difficulties stemmed from diverse student characteristics and initial lack of emotional rapport. At the outset of their field experience, the teacher candidates often faced indifference and other forms of initial resistance from students. However, through proactive efforts, these professional teachers </w:t>
      </w:r>
      <w:proofErr w:type="spellStart"/>
      <w:r w:rsidRPr="00E269E8">
        <w:rPr>
          <w:rFonts w:ascii="Palatino Linotype" w:hAnsi="Palatino Linotype" w:cs="Times New Roman"/>
          <w:sz w:val="20"/>
          <w:szCs w:val="20"/>
        </w:rPr>
        <w:lastRenderedPageBreak/>
        <w:t>endeavored</w:t>
      </w:r>
      <w:proofErr w:type="spellEnd"/>
      <w:r w:rsidRPr="00E269E8">
        <w:rPr>
          <w:rFonts w:ascii="Palatino Linotype" w:hAnsi="Palatino Linotype" w:cs="Times New Roman"/>
          <w:sz w:val="20"/>
          <w:szCs w:val="20"/>
        </w:rPr>
        <w:t xml:space="preserve"> to understand and adapt to the students' diverse traits. Over time, they successfully established emotional closeness with their students. Effective teaching necessitates not only extensive knowledge but also refined social competence, encompassing skills in communication, </w:t>
      </w:r>
      <w:proofErr w:type="spellStart"/>
      <w:r w:rsidRPr="00E269E8">
        <w:rPr>
          <w:rFonts w:ascii="Palatino Linotype" w:hAnsi="Palatino Linotype" w:cs="Times New Roman"/>
          <w:sz w:val="20"/>
          <w:szCs w:val="20"/>
        </w:rPr>
        <w:t>behavior</w:t>
      </w:r>
      <w:proofErr w:type="spellEnd"/>
      <w:r w:rsidRPr="00E269E8">
        <w:rPr>
          <w:rFonts w:ascii="Palatino Linotype" w:hAnsi="Palatino Linotype" w:cs="Times New Roman"/>
          <w:sz w:val="20"/>
          <w:szCs w:val="20"/>
        </w:rPr>
        <w:t>, and interpersonal interaction (</w:t>
      </w:r>
      <w:proofErr w:type="spellStart"/>
      <w:r w:rsidRPr="00E269E8">
        <w:rPr>
          <w:rFonts w:ascii="Palatino Linotype" w:hAnsi="Palatino Linotype" w:cs="Times New Roman"/>
          <w:sz w:val="20"/>
          <w:szCs w:val="20"/>
        </w:rPr>
        <w:t>Albareda-Tiana</w:t>
      </w:r>
      <w:proofErr w:type="spellEnd"/>
      <w:r w:rsidRPr="00E269E8">
        <w:rPr>
          <w:rFonts w:ascii="Palatino Linotype" w:hAnsi="Palatino Linotype" w:cs="Times New Roman"/>
          <w:sz w:val="20"/>
          <w:szCs w:val="20"/>
        </w:rPr>
        <w:t xml:space="preserve"> et al., 2018). Teachers must communicate respectfully and empathetically, demonstrating adaptability to various socio-cultural contexts. Such approaches can provide emotional support, bolster cognitive development, and enhance the overall learning experience (Darling-Hammond et al., 2020).</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 xml:space="preserve">Based on the interactions with teachers, the research findings indicate that all participants reported positive experiences regarding their engagements with teachers at the partner schools. They effectively collaborated, particularly with mentors at each institution, who played a significant role in guiding them through their field experience practices. The </w:t>
      </w:r>
      <w:proofErr w:type="gramStart"/>
      <w:r w:rsidRPr="00E269E8">
        <w:rPr>
          <w:rFonts w:ascii="Palatino Linotype" w:hAnsi="Palatino Linotype" w:cs="Times New Roman"/>
          <w:sz w:val="20"/>
          <w:szCs w:val="20"/>
        </w:rPr>
        <w:t>conducive</w:t>
      </w:r>
      <w:proofErr w:type="gramEnd"/>
      <w:r w:rsidRPr="00E269E8">
        <w:rPr>
          <w:rFonts w:ascii="Palatino Linotype" w:hAnsi="Palatino Linotype" w:cs="Times New Roman"/>
          <w:sz w:val="20"/>
          <w:szCs w:val="20"/>
        </w:rPr>
        <w:t xml:space="preserve"> environments facilitated effective professional development among these teachers. A positive work environment is crucial for fostering teacher job satisfaction, thereby enhancing overall teacher performance (</w:t>
      </w:r>
      <w:proofErr w:type="spellStart"/>
      <w:r w:rsidRPr="00E269E8">
        <w:rPr>
          <w:rFonts w:ascii="Palatino Linotype" w:hAnsi="Palatino Linotype" w:cs="Times New Roman"/>
          <w:sz w:val="20"/>
          <w:szCs w:val="20"/>
        </w:rPr>
        <w:t>Toropova</w:t>
      </w:r>
      <w:proofErr w:type="spellEnd"/>
      <w:r w:rsidRPr="00E269E8">
        <w:rPr>
          <w:rFonts w:ascii="Palatino Linotype" w:hAnsi="Palatino Linotype" w:cs="Times New Roman"/>
          <w:sz w:val="20"/>
          <w:szCs w:val="20"/>
        </w:rPr>
        <w:t xml:space="preserve"> et al., 2021). The positive interactions observed are attributed to the social competence exhibited by both the aspiring professional teachers and the teachers at the partner schools, which is a hallmark of effective educators. The majority of teachers at these schools have received professional teacher certification from the government, underscoring their commitment to professional standards. Furthermore, the harmonious relationship between teachers and aspiring professionals signifies strong support for the candidates during their educational journey. Continuous professional development among teachers can be facilitated through collaborative processes within the educational community (</w:t>
      </w:r>
      <w:proofErr w:type="spellStart"/>
      <w:r w:rsidRPr="00E269E8">
        <w:rPr>
          <w:rFonts w:ascii="Palatino Linotype" w:hAnsi="Palatino Linotype" w:cs="Times New Roman"/>
          <w:sz w:val="20"/>
          <w:szCs w:val="20"/>
        </w:rPr>
        <w:t>Hauge</w:t>
      </w:r>
      <w:proofErr w:type="spellEnd"/>
      <w:r w:rsidRPr="00E269E8">
        <w:rPr>
          <w:rFonts w:ascii="Palatino Linotype" w:hAnsi="Palatino Linotype" w:cs="Times New Roman"/>
          <w:sz w:val="20"/>
          <w:szCs w:val="20"/>
        </w:rPr>
        <w:t xml:space="preserve"> &amp; </w:t>
      </w:r>
      <w:proofErr w:type="spellStart"/>
      <w:r w:rsidRPr="00E269E8">
        <w:rPr>
          <w:rFonts w:ascii="Palatino Linotype" w:hAnsi="Palatino Linotype" w:cs="Times New Roman"/>
          <w:sz w:val="20"/>
          <w:szCs w:val="20"/>
        </w:rPr>
        <w:t>Hauge</w:t>
      </w:r>
      <w:proofErr w:type="spellEnd"/>
      <w:r w:rsidRPr="00E269E8">
        <w:rPr>
          <w:rFonts w:ascii="Palatino Linotype" w:hAnsi="Palatino Linotype" w:cs="Times New Roman"/>
          <w:sz w:val="20"/>
          <w:szCs w:val="20"/>
        </w:rPr>
        <w:t xml:space="preserve">, 2019; </w:t>
      </w:r>
      <w:proofErr w:type="spellStart"/>
      <w:r w:rsidRPr="00E269E8">
        <w:rPr>
          <w:rFonts w:ascii="Palatino Linotype" w:hAnsi="Palatino Linotype" w:cs="Times New Roman"/>
          <w:sz w:val="20"/>
          <w:szCs w:val="20"/>
        </w:rPr>
        <w:t>Admiraal</w:t>
      </w:r>
      <w:proofErr w:type="spellEnd"/>
      <w:r w:rsidRPr="00E269E8">
        <w:rPr>
          <w:rFonts w:ascii="Palatino Linotype" w:hAnsi="Palatino Linotype" w:cs="Times New Roman"/>
          <w:sz w:val="20"/>
          <w:szCs w:val="20"/>
        </w:rPr>
        <w:t xml:space="preserve">, </w:t>
      </w:r>
      <w:proofErr w:type="spellStart"/>
      <w:r w:rsidRPr="00E269E8">
        <w:rPr>
          <w:rFonts w:ascii="Palatino Linotype" w:hAnsi="Palatino Linotype" w:cs="Times New Roman"/>
          <w:sz w:val="20"/>
          <w:szCs w:val="20"/>
        </w:rPr>
        <w:t>Schenke</w:t>
      </w:r>
      <w:proofErr w:type="spellEnd"/>
      <w:r w:rsidRPr="00E269E8">
        <w:rPr>
          <w:rFonts w:ascii="Palatino Linotype" w:hAnsi="Palatino Linotype" w:cs="Times New Roman"/>
          <w:sz w:val="20"/>
          <w:szCs w:val="20"/>
        </w:rPr>
        <w:t>, Jong, et al., 2021).</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Based on their experiences with school management and rules, Indonesian language teacher candidates did not report encountering significant difficulties in adhering to existing regulations. However, they gained diverse insights related to the implementation of school rules, including punctuality, appearance standards, and the enforcement of disciplinary measures for rule infractions. These experiences are invaluable for Indonesian language teacher candidates as they progress toward certification and professional status. The school plays a crucial role in supporting the professional development of teachers to attain their educational objectives (</w:t>
      </w:r>
      <w:proofErr w:type="spellStart"/>
      <w:r w:rsidRPr="00E269E8">
        <w:rPr>
          <w:rFonts w:ascii="Palatino Linotype" w:hAnsi="Palatino Linotype" w:cs="Times New Roman"/>
          <w:sz w:val="20"/>
          <w:szCs w:val="20"/>
        </w:rPr>
        <w:t>Admiraal</w:t>
      </w:r>
      <w:proofErr w:type="spellEnd"/>
      <w:r w:rsidRPr="00E269E8">
        <w:rPr>
          <w:rFonts w:ascii="Palatino Linotype" w:hAnsi="Palatino Linotype" w:cs="Times New Roman"/>
          <w:sz w:val="20"/>
          <w:szCs w:val="20"/>
        </w:rPr>
        <w:t xml:space="preserve">, </w:t>
      </w:r>
      <w:proofErr w:type="spellStart"/>
      <w:r w:rsidRPr="00E269E8">
        <w:rPr>
          <w:rFonts w:ascii="Palatino Linotype" w:hAnsi="Palatino Linotype" w:cs="Times New Roman"/>
          <w:sz w:val="20"/>
          <w:szCs w:val="20"/>
        </w:rPr>
        <w:t>Schenke</w:t>
      </w:r>
      <w:proofErr w:type="spellEnd"/>
      <w:r w:rsidRPr="00E269E8">
        <w:rPr>
          <w:rFonts w:ascii="Palatino Linotype" w:hAnsi="Palatino Linotype" w:cs="Times New Roman"/>
          <w:sz w:val="20"/>
          <w:szCs w:val="20"/>
        </w:rPr>
        <w:t>, De Jong, et al., 2021).</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 xml:space="preserve">Based on their experiences with school facilities and infrastructure, the research findings indicate that the facilities at partner schools are generally deemed highly adequate by teacher candidates. These facilities have proven instrumental in supporting their field experience practices, facilitating effective teaching and learning processes. However, challenges were also noted, including the inconvenience of accessing laboratories located on the fifth floor, requiring ascent via multiple flights of stairs, and encountering equipment that was non-functional. Such feedback underscores the importance for schools to consistently maintain and assess their facilities, including spatial arrangements, to optimize usability and accessibility. </w:t>
      </w:r>
    </w:p>
    <w:p w:rsidR="00E269E8" w:rsidRPr="00E269E8" w:rsidRDefault="00E269E8" w:rsidP="00E269E8">
      <w:pPr>
        <w:ind w:firstLine="720"/>
        <w:jc w:val="both"/>
        <w:rPr>
          <w:rFonts w:ascii="Palatino Linotype" w:hAnsi="Palatino Linotype" w:cs="Times New Roman"/>
          <w:sz w:val="20"/>
          <w:szCs w:val="20"/>
        </w:rPr>
      </w:pPr>
      <w:r w:rsidRPr="00E269E8">
        <w:rPr>
          <w:rFonts w:ascii="Palatino Linotype" w:hAnsi="Palatino Linotype" w:cs="Times New Roman"/>
          <w:sz w:val="20"/>
          <w:szCs w:val="20"/>
        </w:rPr>
        <w:t>Based on the experiences related to the learning process at their respective partner schools, the respondents encountered various challenges and experiences. At partner school A, they faced the challenge of students being engrossed in their devices during lessons, as the school does not prohibit their use. This posed a challenge for the Indonesian language teacher candidates to create mobile learning-based teaching media to accommodate the students' habits. In the 21st century, it is essential for professional teachers to be tech-savvy, especially since today's students are Generation Z, closely connected to technology (</w:t>
      </w:r>
      <w:proofErr w:type="spellStart"/>
      <w:r w:rsidRPr="00E269E8">
        <w:rPr>
          <w:rFonts w:ascii="Palatino Linotype" w:hAnsi="Palatino Linotype" w:cs="Times New Roman"/>
          <w:sz w:val="20"/>
          <w:szCs w:val="20"/>
        </w:rPr>
        <w:t>Oktarina</w:t>
      </w:r>
      <w:proofErr w:type="spellEnd"/>
      <w:r w:rsidRPr="00E269E8">
        <w:rPr>
          <w:rFonts w:ascii="Palatino Linotype" w:hAnsi="Palatino Linotype" w:cs="Times New Roman"/>
          <w:sz w:val="20"/>
          <w:szCs w:val="20"/>
        </w:rPr>
        <w:t xml:space="preserve"> et al., 2022). The integration of technology in 21st-century learning </w:t>
      </w:r>
      <w:r w:rsidRPr="00E269E8">
        <w:rPr>
          <w:rFonts w:ascii="Palatino Linotype" w:hAnsi="Palatino Linotype" w:cs="Times New Roman"/>
          <w:sz w:val="20"/>
          <w:szCs w:val="20"/>
        </w:rPr>
        <w:lastRenderedPageBreak/>
        <w:t>is imperative (</w:t>
      </w:r>
      <w:proofErr w:type="spellStart"/>
      <w:r w:rsidRPr="00E269E8">
        <w:rPr>
          <w:rFonts w:ascii="Palatino Linotype" w:hAnsi="Palatino Linotype" w:cs="Times New Roman"/>
          <w:sz w:val="20"/>
          <w:szCs w:val="20"/>
        </w:rPr>
        <w:t>Stutchbury</w:t>
      </w:r>
      <w:proofErr w:type="spellEnd"/>
      <w:r w:rsidRPr="00E269E8">
        <w:rPr>
          <w:rFonts w:ascii="Palatino Linotype" w:hAnsi="Palatino Linotype" w:cs="Times New Roman"/>
          <w:sz w:val="20"/>
          <w:szCs w:val="20"/>
        </w:rPr>
        <w:t xml:space="preserve"> et al., 2023; </w:t>
      </w:r>
      <w:proofErr w:type="spellStart"/>
      <w:r w:rsidRPr="00E269E8">
        <w:rPr>
          <w:rFonts w:ascii="Palatino Linotype" w:hAnsi="Palatino Linotype" w:cs="Times New Roman"/>
          <w:sz w:val="20"/>
          <w:szCs w:val="20"/>
        </w:rPr>
        <w:t>Jeanjaroonsri</w:t>
      </w:r>
      <w:proofErr w:type="spellEnd"/>
      <w:r w:rsidRPr="00E269E8">
        <w:rPr>
          <w:rFonts w:ascii="Palatino Linotype" w:hAnsi="Palatino Linotype" w:cs="Times New Roman"/>
          <w:sz w:val="20"/>
          <w:szCs w:val="20"/>
        </w:rPr>
        <w:t>, 2023). At partner school B, respondents noted their frequent lack of readiness in executing classroom lessons, often due to unpreparedness in providing teaching materials. Moreover, they found that the lesson plans provided by the school often did not align well with actual implementation. From this experience, it is evident that becoming a professional teacher requires a process. Pedagogical and professional competencies are crucial for teachers, and this course aims to develop these competencies so that candidates emerge ready for their teaching career with inherent professionalism. Additionally, based on the respondents' experiences, schools should consider allowing teachers more flexibility to develop and adjust lesson plans according to their needs. At partner school C, the learning process generally proceeded smoothly without significant difficulties. However, the candidates felt challenged by the high intelligence and creativity of the majority of students. This situation constantly motivates them to enhance their pedagogical and professional competencies. At partner school D, it was observed that students were motivated in their learning when the teacher candidates brought rewards for them. Overall, the candidates had a positive experience. Given that there were five teacher candidates in this program at the school, they needed to collaborate closely to overcome challenges and develop into professional educators.</w:t>
      </w:r>
    </w:p>
    <w:p w:rsidR="005B5AEC" w:rsidRPr="00723B12" w:rsidRDefault="005B5AEC" w:rsidP="00E269E8">
      <w:pPr>
        <w:pStyle w:val="Alishlah21heading1"/>
        <w:numPr>
          <w:ilvl w:val="0"/>
          <w:numId w:val="0"/>
        </w:numPr>
        <w:ind w:left="426" w:hanging="426"/>
        <w:rPr>
          <w:rFonts w:eastAsia="Arial"/>
        </w:rPr>
      </w:pPr>
      <w:r w:rsidRPr="00723B12">
        <w:rPr>
          <w:rFonts w:eastAsia="Arial"/>
        </w:rPr>
        <w:t xml:space="preserve">CONCLUSION </w:t>
      </w:r>
    </w:p>
    <w:p w:rsidR="00CC6979" w:rsidRPr="00CC6979" w:rsidRDefault="00CC6979" w:rsidP="00CC6979">
      <w:pPr>
        <w:ind w:firstLine="720"/>
        <w:jc w:val="both"/>
        <w:rPr>
          <w:rFonts w:ascii="Palatino Linotype" w:hAnsi="Palatino Linotype" w:cs="Times New Roman"/>
          <w:sz w:val="20"/>
          <w:szCs w:val="20"/>
        </w:rPr>
      </w:pPr>
      <w:r w:rsidRPr="00CC6979">
        <w:rPr>
          <w:rFonts w:ascii="Palatino Linotype" w:hAnsi="Palatino Linotype" w:cs="Times New Roman"/>
          <w:sz w:val="20"/>
          <w:szCs w:val="20"/>
        </w:rPr>
        <w:t xml:space="preserve">The conclusions drawn from this study are as follows: Firstly, the Field Experience Practice (PPL) course significantly contributes to the transformation of the prospective Indonesian language teachers into professional educators. Secondly, professional teachers in the 21st century must possess advanced technological competencies to effectively engage Generation Z students. Thirdly, fostering harmonious interactions between teachers and students is crucial for optimizing teaching and learning processes. Finally, it is essential for every prospective professional teacher to adhere to school regulations, echoing the </w:t>
      </w:r>
      <w:proofErr w:type="gramStart"/>
      <w:r w:rsidRPr="00CC6979">
        <w:rPr>
          <w:rFonts w:ascii="Palatino Linotype" w:hAnsi="Palatino Linotype" w:cs="Times New Roman"/>
          <w:sz w:val="20"/>
          <w:szCs w:val="20"/>
        </w:rPr>
        <w:t>adage that 'when in Rome, do</w:t>
      </w:r>
      <w:proofErr w:type="gramEnd"/>
      <w:r w:rsidRPr="00CC6979">
        <w:rPr>
          <w:rFonts w:ascii="Palatino Linotype" w:hAnsi="Palatino Linotype" w:cs="Times New Roman"/>
          <w:sz w:val="20"/>
          <w:szCs w:val="20"/>
        </w:rPr>
        <w:t xml:space="preserve"> as the Romans do'. </w:t>
      </w:r>
    </w:p>
    <w:p w:rsidR="005B5AEC" w:rsidRDefault="005B5AEC" w:rsidP="002A02C2">
      <w:pPr>
        <w:pStyle w:val="Alishlah21heading1"/>
        <w:numPr>
          <w:ilvl w:val="0"/>
          <w:numId w:val="0"/>
        </w:numPr>
        <w:rPr>
          <w:rFonts w:eastAsia="Arial"/>
        </w:rPr>
      </w:pPr>
      <w:r w:rsidRPr="00723B12">
        <w:rPr>
          <w:rFonts w:eastAsia="Arial"/>
        </w:rPr>
        <w:t>REFERENCES</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sz w:val="20"/>
          <w:szCs w:val="20"/>
        </w:rPr>
        <w:fldChar w:fldCharType="begin" w:fldLock="1"/>
      </w:r>
      <w:r w:rsidRPr="006C529D">
        <w:rPr>
          <w:rFonts w:ascii="Palatino Linotype" w:hAnsi="Palatino Linotype" w:cs="Times New Roman"/>
          <w:sz w:val="20"/>
          <w:szCs w:val="20"/>
        </w:rPr>
        <w:instrText xml:space="preserve">ADDIN Mendeley Bibliography CSL_BIBLIOGRAPHY </w:instrText>
      </w:r>
      <w:r w:rsidRPr="006C529D">
        <w:rPr>
          <w:rFonts w:ascii="Palatino Linotype" w:hAnsi="Palatino Linotype" w:cs="Times New Roman"/>
          <w:sz w:val="20"/>
          <w:szCs w:val="20"/>
        </w:rPr>
        <w:fldChar w:fldCharType="separate"/>
      </w:r>
      <w:r w:rsidRPr="006C529D">
        <w:rPr>
          <w:rFonts w:ascii="Palatino Linotype" w:hAnsi="Palatino Linotype" w:cs="Times New Roman"/>
          <w:noProof/>
          <w:sz w:val="20"/>
          <w:szCs w:val="20"/>
        </w:rPr>
        <w:t xml:space="preserve">Admiraal, W., Schenke, W., De Jong, L., Emmelot, Y., &amp; Sligte, H. (2021). Schools as professional learning communities: what can schools do to support professional development of their teachers? </w:t>
      </w:r>
      <w:r w:rsidRPr="006C529D">
        <w:rPr>
          <w:rFonts w:ascii="Palatino Linotype" w:hAnsi="Palatino Linotype" w:cs="Times New Roman"/>
          <w:i/>
          <w:iCs/>
          <w:noProof/>
          <w:sz w:val="20"/>
          <w:szCs w:val="20"/>
        </w:rPr>
        <w:t>Professional Development in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47</w:t>
      </w:r>
      <w:r w:rsidRPr="006C529D">
        <w:rPr>
          <w:rFonts w:ascii="Palatino Linotype" w:hAnsi="Palatino Linotype" w:cs="Times New Roman"/>
          <w:noProof/>
          <w:sz w:val="20"/>
          <w:szCs w:val="20"/>
        </w:rPr>
        <w:t>(4), 684–698. https://doi.org/10.1080/19415257.2019.1665573</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Admiraal, W., Schenke, W., Jong, L. De, &amp; Emmelot, Y. (2021). Professional Development in Education Schools as professional learning communities</w:t>
      </w:r>
      <w:r w:rsidRPr="006C529D">
        <w:rPr>
          <w:rFonts w:ascii="Times New Roman" w:hAnsi="Times New Roman" w:cs="Times New Roman"/>
          <w:noProof/>
          <w:sz w:val="20"/>
          <w:szCs w:val="20"/>
        </w:rPr>
        <w:t> </w:t>
      </w:r>
      <w:r w:rsidRPr="006C529D">
        <w:rPr>
          <w:rFonts w:ascii="Palatino Linotype" w:hAnsi="Palatino Linotype" w:cs="Times New Roman"/>
          <w:noProof/>
          <w:sz w:val="20"/>
          <w:szCs w:val="20"/>
        </w:rPr>
        <w:t>: what can schools do to support professional development of their teachers</w:t>
      </w:r>
      <w:r w:rsidRPr="006C529D">
        <w:rPr>
          <w:rFonts w:ascii="Times New Roman" w:hAnsi="Times New Roman" w:cs="Times New Roman"/>
          <w:noProof/>
          <w:sz w:val="20"/>
          <w:szCs w:val="20"/>
        </w:rPr>
        <w:t> </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Professional Development in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47</w:t>
      </w:r>
      <w:r w:rsidRPr="006C529D">
        <w:rPr>
          <w:rFonts w:ascii="Palatino Linotype" w:hAnsi="Palatino Linotype" w:cs="Times New Roman"/>
          <w:noProof/>
          <w:sz w:val="20"/>
          <w:szCs w:val="20"/>
        </w:rPr>
        <w:t>(4), 684–698. https://doi.org/10.1080/19415257.2019.1665573</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Akbar, A. (2021). Pentingnya Kompetensi Pedagogik Guru. </w:t>
      </w:r>
      <w:r w:rsidRPr="006C529D">
        <w:rPr>
          <w:rFonts w:ascii="Palatino Linotype" w:hAnsi="Palatino Linotype" w:cs="Times New Roman"/>
          <w:i/>
          <w:iCs/>
          <w:noProof/>
          <w:sz w:val="20"/>
          <w:szCs w:val="20"/>
        </w:rPr>
        <w:t>JPG: Jurnal Pendidikan Guru</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2</w:t>
      </w:r>
      <w:r w:rsidRPr="006C529D">
        <w:rPr>
          <w:rFonts w:ascii="Palatino Linotype" w:hAnsi="Palatino Linotype" w:cs="Times New Roman"/>
          <w:noProof/>
          <w:sz w:val="20"/>
          <w:szCs w:val="20"/>
        </w:rPr>
        <w:t>(1), 23. https://doi.org/10.32832/jpg.v2i1.4099</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Albareda-Tiana, S., Vidal-Raméntol, S., Pujol-Valls, M., &amp; Fernández-Morilla, M. (2018). Holistic approaches to develop sustainability and research competencies in pre-service teacher training. </w:t>
      </w:r>
      <w:r w:rsidRPr="006C529D">
        <w:rPr>
          <w:rFonts w:ascii="Palatino Linotype" w:hAnsi="Palatino Linotype" w:cs="Times New Roman"/>
          <w:i/>
          <w:iCs/>
          <w:noProof/>
          <w:sz w:val="20"/>
          <w:szCs w:val="20"/>
        </w:rPr>
        <w:t>Sustainability (Switzerland)</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10</w:t>
      </w:r>
      <w:r w:rsidRPr="006C529D">
        <w:rPr>
          <w:rFonts w:ascii="Palatino Linotype" w:hAnsi="Palatino Linotype" w:cs="Times New Roman"/>
          <w:noProof/>
          <w:sz w:val="20"/>
          <w:szCs w:val="20"/>
        </w:rPr>
        <w:t>(10). https://doi.org/10.3390/su10103698</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Arta, G. J., Ratminingsih, N. M., &amp; Hery Santosa, M. (2019). The Effectiveness Of Blended Learning Strategy On Students’ Writing Competency Of The Tenth Grade Students. </w:t>
      </w:r>
      <w:r w:rsidRPr="006C529D">
        <w:rPr>
          <w:rFonts w:ascii="Palatino Linotype" w:hAnsi="Palatino Linotype" w:cs="Times New Roman"/>
          <w:i/>
          <w:iCs/>
          <w:noProof/>
          <w:sz w:val="20"/>
          <w:szCs w:val="20"/>
        </w:rPr>
        <w:t>JPI (Jurnal Pendidikan Indonesia)</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8</w:t>
      </w:r>
      <w:r w:rsidRPr="006C529D">
        <w:rPr>
          <w:rFonts w:ascii="Palatino Linotype" w:hAnsi="Palatino Linotype" w:cs="Times New Roman"/>
          <w:noProof/>
          <w:sz w:val="20"/>
          <w:szCs w:val="20"/>
        </w:rPr>
        <w:t>(1), 29. https://doi.org/10.23887/jpi-undiksha.v8i1.13501</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Aryana, S., Subyantoro, S., &amp; Pristiwati, R. (2022). Tuntutan Kompetensi Guru Profesional Bahasa Indonesia Dalam Menghadapi Abad 21. </w:t>
      </w:r>
      <w:r w:rsidRPr="006C529D">
        <w:rPr>
          <w:rFonts w:ascii="Palatino Linotype" w:hAnsi="Palatino Linotype" w:cs="Times New Roman"/>
          <w:i/>
          <w:iCs/>
          <w:noProof/>
          <w:sz w:val="20"/>
          <w:szCs w:val="20"/>
        </w:rPr>
        <w:t>Semantik</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11</w:t>
      </w:r>
      <w:r w:rsidRPr="006C529D">
        <w:rPr>
          <w:rFonts w:ascii="Palatino Linotype" w:hAnsi="Palatino Linotype" w:cs="Times New Roman"/>
          <w:noProof/>
          <w:sz w:val="20"/>
          <w:szCs w:val="20"/>
        </w:rPr>
        <w:t xml:space="preserve">(1), 71–86. </w:t>
      </w:r>
      <w:r w:rsidRPr="006C529D">
        <w:rPr>
          <w:rFonts w:ascii="Palatino Linotype" w:hAnsi="Palatino Linotype" w:cs="Times New Roman"/>
          <w:noProof/>
          <w:sz w:val="20"/>
          <w:szCs w:val="20"/>
        </w:rPr>
        <w:lastRenderedPageBreak/>
        <w:t>https://doi.org/10.22460/semantik.v11i1.p71-86</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Cilliers, E. J. (2017). The Challenge Of Teaching Generation Z. </w:t>
      </w:r>
      <w:r w:rsidRPr="006C529D">
        <w:rPr>
          <w:rFonts w:ascii="Palatino Linotype" w:hAnsi="Palatino Linotype" w:cs="Times New Roman"/>
          <w:i/>
          <w:iCs/>
          <w:noProof/>
          <w:sz w:val="20"/>
          <w:szCs w:val="20"/>
        </w:rPr>
        <w:t>People: International Journal of Social Sciences</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3</w:t>
      </w:r>
      <w:r w:rsidRPr="006C529D">
        <w:rPr>
          <w:rFonts w:ascii="Palatino Linotype" w:hAnsi="Palatino Linotype" w:cs="Times New Roman"/>
          <w:noProof/>
          <w:sz w:val="20"/>
          <w:szCs w:val="20"/>
        </w:rPr>
        <w:t>(1), 188–198. https://doi.org/10.20319/pijss.2017.31.188198</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Creswell, J. W. (2014). </w:t>
      </w:r>
      <w:r w:rsidRPr="006C529D">
        <w:rPr>
          <w:rFonts w:ascii="Palatino Linotype" w:hAnsi="Palatino Linotype" w:cs="Times New Roman"/>
          <w:i/>
          <w:iCs/>
          <w:noProof/>
          <w:sz w:val="20"/>
          <w:szCs w:val="20"/>
        </w:rPr>
        <w:t>Penelitian Kualitatif &amp; Desain Riset</w:t>
      </w:r>
      <w:r w:rsidRPr="006C529D">
        <w:rPr>
          <w:rFonts w:ascii="Palatino Linotype" w:hAnsi="Palatino Linotype" w:cs="Times New Roman"/>
          <w:noProof/>
          <w:sz w:val="20"/>
          <w:szCs w:val="20"/>
        </w:rPr>
        <w:t xml:space="preserve"> (1st ed.). Pustaka Pelajar.</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Darling-hammond, L., Flook, L., Cook-harvey, C., Barron, B., Flook, L., Cook-harvey, C., Darling-hammond, L., Flook, L., Cook-harvey, C., &amp; Barron, B. (2020). Implications for educational practice of the science of learning and development. </w:t>
      </w:r>
      <w:r w:rsidRPr="006C529D">
        <w:rPr>
          <w:rFonts w:ascii="Palatino Linotype" w:hAnsi="Palatino Linotype" w:cs="Times New Roman"/>
          <w:i/>
          <w:iCs/>
          <w:noProof/>
          <w:sz w:val="20"/>
          <w:szCs w:val="20"/>
        </w:rPr>
        <w:t>Applied Developmental Science</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24</w:t>
      </w:r>
      <w:r w:rsidRPr="006C529D">
        <w:rPr>
          <w:rFonts w:ascii="Palatino Linotype" w:hAnsi="Palatino Linotype" w:cs="Times New Roman"/>
          <w:noProof/>
          <w:sz w:val="20"/>
          <w:szCs w:val="20"/>
        </w:rPr>
        <w:t>(2), 97–140. https://doi.org/10.1080/10888691.2018.1537791</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Elitasari, H. T. (2022). Kontribusi Guru dalam Meningkatkan Kualitas Pendidikan Abad 21. </w:t>
      </w:r>
      <w:r w:rsidRPr="006C529D">
        <w:rPr>
          <w:rFonts w:ascii="Palatino Linotype" w:hAnsi="Palatino Linotype" w:cs="Times New Roman"/>
          <w:i/>
          <w:iCs/>
          <w:noProof/>
          <w:sz w:val="20"/>
          <w:szCs w:val="20"/>
        </w:rPr>
        <w:t>Jurnal Basicedu</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6</w:t>
      </w:r>
      <w:r w:rsidRPr="006C529D">
        <w:rPr>
          <w:rFonts w:ascii="Palatino Linotype" w:hAnsi="Palatino Linotype" w:cs="Times New Roman"/>
          <w:noProof/>
          <w:sz w:val="20"/>
          <w:szCs w:val="20"/>
        </w:rPr>
        <w:t>(6), 9508–9516. https://doi.org/10.31004/basicedu.v6i6.4120</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Ernalida, E., Oktarina, S., &amp; Turama, R. (2021). Analysis of Teacher Needs Related To E-Learning Schoology Content in Creative Writing in Middle Schools Throughout …. </w:t>
      </w:r>
      <w:r w:rsidRPr="006C529D">
        <w:rPr>
          <w:rFonts w:ascii="Palatino Linotype" w:hAnsi="Palatino Linotype" w:cs="Times New Roman"/>
          <w:i/>
          <w:iCs/>
          <w:noProof/>
          <w:sz w:val="20"/>
          <w:szCs w:val="20"/>
        </w:rPr>
        <w:t>English Review: Journal of …</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9</w:t>
      </w:r>
      <w:r w:rsidRPr="006C529D">
        <w:rPr>
          <w:rFonts w:ascii="Palatino Linotype" w:hAnsi="Palatino Linotype" w:cs="Times New Roman"/>
          <w:noProof/>
          <w:sz w:val="20"/>
          <w:szCs w:val="20"/>
        </w:rPr>
        <w:t>(2), 277–284.</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Fernández-Batanero, J. M., Montenegro-Rueda, M., Fernández-Cerero, J., &amp; García-Martínez, I. (2020). Digital competences for teacher professional development. Systematic review. </w:t>
      </w:r>
      <w:r w:rsidRPr="006C529D">
        <w:rPr>
          <w:rFonts w:ascii="Palatino Linotype" w:hAnsi="Palatino Linotype" w:cs="Times New Roman"/>
          <w:i/>
          <w:iCs/>
          <w:noProof/>
          <w:sz w:val="20"/>
          <w:szCs w:val="20"/>
        </w:rPr>
        <w:t>European Journal of Teacher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4</w:t>
      </w:r>
      <w:r w:rsidRPr="006C529D">
        <w:rPr>
          <w:rFonts w:ascii="Palatino Linotype" w:hAnsi="Palatino Linotype" w:cs="Times New Roman"/>
          <w:noProof/>
          <w:sz w:val="20"/>
          <w:szCs w:val="20"/>
        </w:rPr>
        <w:t>(45), 513–531. https://doi.org/10.1080/02619768.2020.1827389</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Flores, M. A. (2020). Preparing teachers to teach in complex settings: opportunities for professional learning and development. </w:t>
      </w:r>
      <w:r w:rsidRPr="006C529D">
        <w:rPr>
          <w:rFonts w:ascii="Palatino Linotype" w:hAnsi="Palatino Linotype" w:cs="Times New Roman"/>
          <w:i/>
          <w:iCs/>
          <w:noProof/>
          <w:sz w:val="20"/>
          <w:szCs w:val="20"/>
        </w:rPr>
        <w:t>European Journal of Teacher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43</w:t>
      </w:r>
      <w:r w:rsidRPr="006C529D">
        <w:rPr>
          <w:rFonts w:ascii="Palatino Linotype" w:hAnsi="Palatino Linotype" w:cs="Times New Roman"/>
          <w:noProof/>
          <w:sz w:val="20"/>
          <w:szCs w:val="20"/>
        </w:rPr>
        <w:t>(3), 297–300. https://doi.org/10.1080/02619768.2020.1771895</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Hauge, K., &amp; Hauge, K. (2019). Teachers ’ collective professional development in school</w:t>
      </w:r>
      <w:r w:rsidRPr="006C529D">
        <w:rPr>
          <w:rFonts w:ascii="Times New Roman" w:hAnsi="Times New Roman" w:cs="Times New Roman"/>
          <w:noProof/>
          <w:sz w:val="20"/>
          <w:szCs w:val="20"/>
        </w:rPr>
        <w:t> </w:t>
      </w:r>
      <w:r w:rsidRPr="006C529D">
        <w:rPr>
          <w:rFonts w:ascii="Palatino Linotype" w:hAnsi="Palatino Linotype" w:cs="Times New Roman"/>
          <w:noProof/>
          <w:sz w:val="20"/>
          <w:szCs w:val="20"/>
        </w:rPr>
        <w:t xml:space="preserve">: A review study Teachers </w:t>
      </w:r>
      <w:r w:rsidRPr="006C529D">
        <w:rPr>
          <w:rFonts w:ascii="Palatino Linotype" w:hAnsi="Palatino Linotype" w:cs="Palatino Linotype"/>
          <w:noProof/>
          <w:sz w:val="20"/>
          <w:szCs w:val="20"/>
        </w:rPr>
        <w:t>’</w:t>
      </w:r>
      <w:r w:rsidRPr="006C529D">
        <w:rPr>
          <w:rFonts w:ascii="Palatino Linotype" w:hAnsi="Palatino Linotype" w:cs="Times New Roman"/>
          <w:noProof/>
          <w:sz w:val="20"/>
          <w:szCs w:val="20"/>
        </w:rPr>
        <w:t xml:space="preserve"> collective professional development in school</w:t>
      </w:r>
      <w:r w:rsidRPr="006C529D">
        <w:rPr>
          <w:rFonts w:ascii="Times New Roman" w:hAnsi="Times New Roman" w:cs="Times New Roman"/>
          <w:noProof/>
          <w:sz w:val="20"/>
          <w:szCs w:val="20"/>
        </w:rPr>
        <w:t> </w:t>
      </w:r>
      <w:r w:rsidRPr="006C529D">
        <w:rPr>
          <w:rFonts w:ascii="Palatino Linotype" w:hAnsi="Palatino Linotype" w:cs="Times New Roman"/>
          <w:noProof/>
          <w:sz w:val="20"/>
          <w:szCs w:val="20"/>
        </w:rPr>
        <w:t xml:space="preserve">: A review study. </w:t>
      </w:r>
      <w:r w:rsidRPr="006C529D">
        <w:rPr>
          <w:rFonts w:ascii="Palatino Linotype" w:hAnsi="Palatino Linotype" w:cs="Times New Roman"/>
          <w:i/>
          <w:iCs/>
          <w:noProof/>
          <w:sz w:val="20"/>
          <w:szCs w:val="20"/>
        </w:rPr>
        <w:t>Cogent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6</w:t>
      </w:r>
      <w:r w:rsidRPr="006C529D">
        <w:rPr>
          <w:rFonts w:ascii="Palatino Linotype" w:hAnsi="Palatino Linotype" w:cs="Times New Roman"/>
          <w:noProof/>
          <w:sz w:val="20"/>
          <w:szCs w:val="20"/>
        </w:rPr>
        <w:t>(1). https://doi.org/10.1080/2331186X.2019.1619223</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Jeanjaroonsri, R. (2023). Thai EFL Learners’ Use and Perceptions of Mobile Technologies for Writing. </w:t>
      </w:r>
      <w:r w:rsidRPr="006C529D">
        <w:rPr>
          <w:rFonts w:ascii="Palatino Linotype" w:hAnsi="Palatino Linotype" w:cs="Times New Roman"/>
          <w:i/>
          <w:iCs/>
          <w:noProof/>
          <w:sz w:val="20"/>
          <w:szCs w:val="20"/>
        </w:rPr>
        <w:t>LEARN Journal: Language Education and Acquisition Research Network</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16</w:t>
      </w:r>
      <w:r w:rsidRPr="006C529D">
        <w:rPr>
          <w:rFonts w:ascii="Palatino Linotype" w:hAnsi="Palatino Linotype" w:cs="Times New Roman"/>
          <w:noProof/>
          <w:sz w:val="20"/>
          <w:szCs w:val="20"/>
        </w:rPr>
        <w:t>(1), 169–193.</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Kulgemeyer, C., Kempin, M., Weißbach, A., Borowski, A., Buschhüter, D., Enkrott, P., Reinhold, P., Riese, J., Schecker, H., Schröder, J., &amp; Vogelsang, C. (2021). Exploring the impact of pre-service science teachers’ reflection skills on the development of professional knowledge during a field experience. </w:t>
      </w:r>
      <w:r w:rsidRPr="006C529D">
        <w:rPr>
          <w:rFonts w:ascii="Palatino Linotype" w:hAnsi="Palatino Linotype" w:cs="Times New Roman"/>
          <w:i/>
          <w:iCs/>
          <w:noProof/>
          <w:sz w:val="20"/>
          <w:szCs w:val="20"/>
        </w:rPr>
        <w:t>International Journal of Science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43</w:t>
      </w:r>
      <w:r w:rsidRPr="006C529D">
        <w:rPr>
          <w:rFonts w:ascii="Palatino Linotype" w:hAnsi="Palatino Linotype" w:cs="Times New Roman"/>
          <w:noProof/>
          <w:sz w:val="20"/>
          <w:szCs w:val="20"/>
        </w:rPr>
        <w:t>(18), 3035–3057. https://doi.org/10.1080/09500693.2021.2006820</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Loeneto, B. A., Ernalida, E., Eryansyah, E., Alwi, Z., &amp; Oktarina, S. (2020). In-Service Teacher Training and Education in Indonesia. </w:t>
      </w:r>
      <w:r w:rsidRPr="006C529D">
        <w:rPr>
          <w:rFonts w:ascii="Palatino Linotype" w:hAnsi="Palatino Linotype" w:cs="Times New Roman"/>
          <w:i/>
          <w:iCs/>
          <w:noProof/>
          <w:sz w:val="20"/>
          <w:szCs w:val="20"/>
        </w:rPr>
        <w:t>Creative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11</w:t>
      </w:r>
      <w:r w:rsidRPr="006C529D">
        <w:rPr>
          <w:rFonts w:ascii="Palatino Linotype" w:hAnsi="Palatino Linotype" w:cs="Times New Roman"/>
          <w:noProof/>
          <w:sz w:val="20"/>
          <w:szCs w:val="20"/>
        </w:rPr>
        <w:t>(03), 328–342. https://doi.org/10.4236/ce.2020.113026</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Mansyur, A., Siregar, T. M., &amp; Rebowo, W. A. (2021). C-NAR</w:t>
      </w:r>
      <w:r w:rsidRPr="006C529D">
        <w:rPr>
          <w:rFonts w:ascii="Times New Roman" w:hAnsi="Times New Roman" w:cs="Times New Roman"/>
          <w:noProof/>
          <w:sz w:val="20"/>
          <w:szCs w:val="20"/>
        </w:rPr>
        <w:t> </w:t>
      </w:r>
      <w:r w:rsidRPr="006C529D">
        <w:rPr>
          <w:rFonts w:ascii="Palatino Linotype" w:hAnsi="Palatino Linotype" w:cs="Times New Roman"/>
          <w:noProof/>
          <w:sz w:val="20"/>
          <w:szCs w:val="20"/>
        </w:rPr>
        <w:t xml:space="preserve">: Best Practice Tindakan Pembimbingan Berkelanjutan PPL PPG Prajabatan Universitas Negeri Medan. </w:t>
      </w:r>
      <w:r w:rsidRPr="006C529D">
        <w:rPr>
          <w:rFonts w:ascii="Palatino Linotype" w:hAnsi="Palatino Linotype" w:cs="Times New Roman"/>
          <w:i/>
          <w:iCs/>
          <w:noProof/>
          <w:sz w:val="20"/>
          <w:szCs w:val="20"/>
        </w:rPr>
        <w:t>Jurnal Inovasi Dan Pembelajaran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5</w:t>
      </w:r>
      <w:r w:rsidRPr="006C529D">
        <w:rPr>
          <w:rFonts w:ascii="Palatino Linotype" w:hAnsi="Palatino Linotype" w:cs="Times New Roman"/>
          <w:noProof/>
          <w:sz w:val="20"/>
          <w:szCs w:val="20"/>
        </w:rPr>
        <w:t>(3), 1–11.</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Martinez, C. (2022). Developing 21st century teaching skills: A case study of teaching and learning through project-based curriculum. </w:t>
      </w:r>
      <w:r w:rsidRPr="006C529D">
        <w:rPr>
          <w:rFonts w:ascii="Palatino Linotype" w:hAnsi="Palatino Linotype" w:cs="Times New Roman"/>
          <w:i/>
          <w:iCs/>
          <w:noProof/>
          <w:sz w:val="20"/>
          <w:szCs w:val="20"/>
        </w:rPr>
        <w:t>Cogent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9</w:t>
      </w:r>
      <w:r w:rsidRPr="006C529D">
        <w:rPr>
          <w:rFonts w:ascii="Palatino Linotype" w:hAnsi="Palatino Linotype" w:cs="Times New Roman"/>
          <w:noProof/>
          <w:sz w:val="20"/>
          <w:szCs w:val="20"/>
        </w:rPr>
        <w:t>(1). https://doi.org/10.1080/2331186X.2021.2024936</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Maryani, E. (2022). Pendidikan profesi guru (PPG) sebagai cara untuk menjadikan guru menjadi profesional. </w:t>
      </w:r>
      <w:r w:rsidRPr="006C529D">
        <w:rPr>
          <w:rFonts w:ascii="Palatino Linotype" w:hAnsi="Palatino Linotype" w:cs="Times New Roman"/>
          <w:i/>
          <w:iCs/>
          <w:noProof/>
          <w:sz w:val="20"/>
          <w:szCs w:val="20"/>
        </w:rPr>
        <w:t>GUAU: Jurnal Pendidikan Profesi Guru Agama Islam</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2</w:t>
      </w:r>
      <w:r w:rsidRPr="006C529D">
        <w:rPr>
          <w:rFonts w:ascii="Palatino Linotype" w:hAnsi="Palatino Linotype" w:cs="Times New Roman"/>
          <w:noProof/>
          <w:sz w:val="20"/>
          <w:szCs w:val="20"/>
        </w:rPr>
        <w:t>, 171–178. http://202.162.210.184/index.php/guau/article/view/405%0Ahttp://202.162.210.184/index.php/guau/article/download/405/376</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lastRenderedPageBreak/>
        <w:t xml:space="preserve">Maulana, I., Rahma, N. A., Mahfirah, N. F., Alfarizi, W., &amp; Darlis, A. (2023). </w:t>
      </w:r>
      <w:r w:rsidRPr="006C529D">
        <w:rPr>
          <w:rFonts w:ascii="Palatino Linotype" w:hAnsi="Palatino Linotype" w:cs="Times New Roman"/>
          <w:i/>
          <w:iCs/>
          <w:noProof/>
          <w:sz w:val="20"/>
          <w:szCs w:val="20"/>
        </w:rPr>
        <w:t>Meningkatkan Profesional Guru dengan Program Pendidikan Profesi Guru ( PPG )</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05</w:t>
      </w:r>
      <w:r w:rsidRPr="006C529D">
        <w:rPr>
          <w:rFonts w:ascii="Palatino Linotype" w:hAnsi="Palatino Linotype" w:cs="Times New Roman"/>
          <w:noProof/>
          <w:sz w:val="20"/>
          <w:szCs w:val="20"/>
        </w:rPr>
        <w:t>(02), 2158–2167.</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Mayeni, R., Amarullah, T. A. H., Vratiwi, S., Putra, D. A., Rahayu, I. D., &amp; Hidayatullah, R. R. (2023). Pengembangan E-Modul Flipbook MKU Bahasa Indonesia Berbasis Flip PDF Professional pada Materi Menulis Karya Ilmiah untuk Mahasiswa Prodi TIK STKIP Pesisir Selatan. </w:t>
      </w:r>
      <w:r w:rsidRPr="006C529D">
        <w:rPr>
          <w:rFonts w:ascii="Palatino Linotype" w:hAnsi="Palatino Linotype" w:cs="Times New Roman"/>
          <w:i/>
          <w:iCs/>
          <w:noProof/>
          <w:sz w:val="20"/>
          <w:szCs w:val="20"/>
        </w:rPr>
        <w:t>SIBERNETIK: Jurnal Pendidikan Dan Pembelajaran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1</w:t>
      </w:r>
      <w:r w:rsidRPr="006C529D">
        <w:rPr>
          <w:rFonts w:ascii="Palatino Linotype" w:hAnsi="Palatino Linotype" w:cs="Times New Roman"/>
          <w:noProof/>
          <w:sz w:val="20"/>
          <w:szCs w:val="20"/>
        </w:rPr>
        <w:t>(1), 89–97. https://doi.org/10.59632/sjpp.v1i1.80</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Mthanti, B. J., &amp; Msiza, P. (2023). The roles of the school principals in the professional development of teachers for 21st century Education. </w:t>
      </w:r>
      <w:r w:rsidRPr="006C529D">
        <w:rPr>
          <w:rFonts w:ascii="Palatino Linotype" w:hAnsi="Palatino Linotype" w:cs="Times New Roman"/>
          <w:i/>
          <w:iCs/>
          <w:noProof/>
          <w:sz w:val="20"/>
          <w:szCs w:val="20"/>
        </w:rPr>
        <w:t>Cogent Education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10</w:t>
      </w:r>
      <w:r w:rsidRPr="006C529D">
        <w:rPr>
          <w:rFonts w:ascii="Palatino Linotype" w:hAnsi="Palatino Linotype" w:cs="Times New Roman"/>
          <w:noProof/>
          <w:sz w:val="20"/>
          <w:szCs w:val="20"/>
        </w:rPr>
        <w:t>(2). https://doi.org/10.1080/2331186X.2023.2267934</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Mujianto, G. (2020). Pengelolaan kelas pada praktik pengalaman lapangan ( PPL ) pendidikan profesi guru ( PPG ) prajabatan bidang studi bahasa Indonesia di SMA Negeri 7 Malang. </w:t>
      </w:r>
      <w:r w:rsidRPr="006C529D">
        <w:rPr>
          <w:rFonts w:ascii="Palatino Linotype" w:hAnsi="Palatino Linotype" w:cs="Times New Roman"/>
          <w:i/>
          <w:iCs/>
          <w:noProof/>
          <w:sz w:val="20"/>
          <w:szCs w:val="20"/>
        </w:rPr>
        <w:t>KEMBARA: Jurnal Keilmuan Bahasa, Sastra, Dan Pengajarannya</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6</w:t>
      </w:r>
      <w:r w:rsidRPr="006C529D">
        <w:rPr>
          <w:rFonts w:ascii="Palatino Linotype" w:hAnsi="Palatino Linotype" w:cs="Times New Roman"/>
          <w:noProof/>
          <w:sz w:val="20"/>
          <w:szCs w:val="20"/>
        </w:rPr>
        <w:t>(2), 255–265.</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Neupane, N. (2024). Stakeholders’ Perceptions on EFL Teacher Professionalism: A Phenomenological Study at a Bachelor Programme in Nepal. </w:t>
      </w:r>
      <w:r w:rsidRPr="006C529D">
        <w:rPr>
          <w:rFonts w:ascii="Palatino Linotype" w:hAnsi="Palatino Linotype" w:cs="Times New Roman"/>
          <w:i/>
          <w:iCs/>
          <w:noProof/>
          <w:sz w:val="20"/>
          <w:szCs w:val="20"/>
        </w:rPr>
        <w:t>Qualitative Report</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29</w:t>
      </w:r>
      <w:r w:rsidRPr="006C529D">
        <w:rPr>
          <w:rFonts w:ascii="Palatino Linotype" w:hAnsi="Palatino Linotype" w:cs="Times New Roman"/>
          <w:noProof/>
          <w:sz w:val="20"/>
          <w:szCs w:val="20"/>
        </w:rPr>
        <w:t>(2), 377–391. https://doi.org/10.46743/2160-3715/2024.6270</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Niu, S. J., Niemi, H., Harju, V., &amp; Pehkonen, L. (2021). Finnish student teachers’ perceptions of their development of 21st-century competencies. </w:t>
      </w:r>
      <w:r w:rsidRPr="006C529D">
        <w:rPr>
          <w:rFonts w:ascii="Palatino Linotype" w:hAnsi="Palatino Linotype" w:cs="Times New Roman"/>
          <w:i/>
          <w:iCs/>
          <w:noProof/>
          <w:sz w:val="20"/>
          <w:szCs w:val="20"/>
        </w:rPr>
        <w:t>Journal of Education for Teaching</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47</w:t>
      </w:r>
      <w:r w:rsidRPr="006C529D">
        <w:rPr>
          <w:rFonts w:ascii="Palatino Linotype" w:hAnsi="Palatino Linotype" w:cs="Times New Roman"/>
          <w:noProof/>
          <w:sz w:val="20"/>
          <w:szCs w:val="20"/>
        </w:rPr>
        <w:t>(5), 638–653. https://doi.org/10.1080/02607476.2021.1951602</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Oktarina, santi, Emzir,  dan Z. R. (2017). Analysis of Learning Model Requirements Writing Academic Based On-Learning Moodle. </w:t>
      </w:r>
      <w:r w:rsidRPr="006C529D">
        <w:rPr>
          <w:rFonts w:ascii="Palatino Linotype" w:hAnsi="Palatino Linotype" w:cs="Times New Roman"/>
          <w:i/>
          <w:iCs/>
          <w:noProof/>
          <w:sz w:val="20"/>
          <w:szCs w:val="20"/>
        </w:rPr>
        <w:t>International Journal of Language Education and Cultural Review</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3</w:t>
      </w:r>
      <w:r w:rsidRPr="006C529D">
        <w:rPr>
          <w:rFonts w:ascii="Palatino Linotype" w:hAnsi="Palatino Linotype" w:cs="Times New Roman"/>
          <w:noProof/>
          <w:sz w:val="20"/>
          <w:szCs w:val="20"/>
        </w:rPr>
        <w:t>(2), 94--105. https://doi.org/htpp//doi.org/10.21009/IJLECR.032.08</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Oktarina, S. (2023). </w:t>
      </w:r>
      <w:r w:rsidRPr="006C529D">
        <w:rPr>
          <w:rFonts w:ascii="Palatino Linotype" w:hAnsi="Palatino Linotype" w:cs="Times New Roman"/>
          <w:i/>
          <w:iCs/>
          <w:noProof/>
          <w:sz w:val="20"/>
          <w:szCs w:val="20"/>
        </w:rPr>
        <w:t>Mobile Learning Based-Creative Writing In Senior High</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6</w:t>
      </w:r>
      <w:r w:rsidRPr="006C529D">
        <w:rPr>
          <w:rFonts w:ascii="Palatino Linotype" w:hAnsi="Palatino Linotype" w:cs="Times New Roman"/>
          <w:noProof/>
          <w:sz w:val="20"/>
          <w:szCs w:val="20"/>
        </w:rPr>
        <w:t>(2), 299–307.</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Oktarina, S., Indrawati, S., &amp; Slamet, A. (2022). </w:t>
      </w:r>
      <w:r w:rsidRPr="006C529D">
        <w:rPr>
          <w:rFonts w:ascii="Palatino Linotype" w:hAnsi="Palatino Linotype" w:cs="Times New Roman"/>
          <w:i/>
          <w:iCs/>
          <w:noProof/>
          <w:sz w:val="20"/>
          <w:szCs w:val="20"/>
        </w:rPr>
        <w:t>Students ’ and Lecturers ’ Perceptions toward Interactive Multimedia in Teaching Academic Writing</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6</w:t>
      </w:r>
      <w:r w:rsidRPr="006C529D">
        <w:rPr>
          <w:rFonts w:ascii="Palatino Linotype" w:hAnsi="Palatino Linotype" w:cs="Times New Roman"/>
          <w:noProof/>
          <w:sz w:val="20"/>
          <w:szCs w:val="20"/>
        </w:rPr>
        <w:t>(2), 377–384.</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Pujiastuti, E., &amp; Mushafanah, Q. (2024). </w:t>
      </w:r>
      <w:r w:rsidRPr="006C529D">
        <w:rPr>
          <w:rFonts w:ascii="Palatino Linotype" w:hAnsi="Palatino Linotype" w:cs="Times New Roman"/>
          <w:i/>
          <w:iCs/>
          <w:noProof/>
          <w:sz w:val="20"/>
          <w:szCs w:val="20"/>
        </w:rPr>
        <w:t>Analisis Pembelajaran Berdiferensiasi Pada Pelaksanaan Praktik Pengalaman Lapangan ( PPL ) Pendidikan Profesi Guru ( PPG ) Dalam Upaya Penerapan Kurikulum Merdeka Pada Kelas 4 SD Negeri Gayamsari 02</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06</w:t>
      </w:r>
      <w:r w:rsidRPr="006C529D">
        <w:rPr>
          <w:rFonts w:ascii="Palatino Linotype" w:hAnsi="Palatino Linotype" w:cs="Times New Roman"/>
          <w:noProof/>
          <w:sz w:val="20"/>
          <w:szCs w:val="20"/>
        </w:rPr>
        <w:t>(04), 20422–20427.</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Riyana, M., Hiskya, H. J., Suradji, F. R., &amp; Hanifah, S. (2024). Analisis Kepuasan Sekolah sebagai Pihak Penerima Mahasiswa PPL PPG Prajabatan dalam Upaya Meningkatkan Kualitas Pendidikan. </w:t>
      </w:r>
      <w:r w:rsidRPr="006C529D">
        <w:rPr>
          <w:rFonts w:ascii="Palatino Linotype" w:hAnsi="Palatino Linotype" w:cs="Times New Roman"/>
          <w:i/>
          <w:iCs/>
          <w:noProof/>
          <w:sz w:val="20"/>
          <w:szCs w:val="20"/>
        </w:rPr>
        <w:t>Edukatif</w:t>
      </w:r>
      <w:r w:rsidRPr="006C529D">
        <w:rPr>
          <w:rFonts w:ascii="Times New Roman" w:hAnsi="Times New Roman" w:cs="Times New Roman"/>
          <w:i/>
          <w:iCs/>
          <w:noProof/>
          <w:sz w:val="20"/>
          <w:szCs w:val="20"/>
        </w:rPr>
        <w:t> </w:t>
      </w:r>
      <w:r w:rsidRPr="006C529D">
        <w:rPr>
          <w:rFonts w:ascii="Palatino Linotype" w:hAnsi="Palatino Linotype" w:cs="Times New Roman"/>
          <w:i/>
          <w:iCs/>
          <w:noProof/>
          <w:sz w:val="20"/>
          <w:szCs w:val="20"/>
        </w:rPr>
        <w:t>: Jurnal Ilmu Pendidikan</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6</w:t>
      </w:r>
      <w:r w:rsidRPr="006C529D">
        <w:rPr>
          <w:rFonts w:ascii="Palatino Linotype" w:hAnsi="Palatino Linotype" w:cs="Times New Roman"/>
          <w:noProof/>
          <w:sz w:val="20"/>
          <w:szCs w:val="20"/>
        </w:rPr>
        <w:t>(1), 385–392. https://doi.org/10.31004/edukatif.v6i1.6058</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Stutchbury, K., Ebubedike, M., Amos, S., &amp; Chamberlain, L. (2023). Professional development in the digital age: supporting improvements in teacher education through MOOCs. </w:t>
      </w:r>
      <w:r w:rsidRPr="006C529D">
        <w:rPr>
          <w:rFonts w:ascii="Palatino Linotype" w:hAnsi="Palatino Linotype" w:cs="Times New Roman"/>
          <w:i/>
          <w:iCs/>
          <w:noProof/>
          <w:sz w:val="20"/>
          <w:szCs w:val="20"/>
        </w:rPr>
        <w:t>Open Learning</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00</w:t>
      </w:r>
      <w:r w:rsidRPr="006C529D">
        <w:rPr>
          <w:rFonts w:ascii="Palatino Linotype" w:hAnsi="Palatino Linotype" w:cs="Times New Roman"/>
          <w:noProof/>
          <w:sz w:val="20"/>
          <w:szCs w:val="20"/>
        </w:rPr>
        <w:t>(00), 1–24. https://doi.org/10.1080/02680513.2023.2195875</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Tican, C., &amp; Deniz, S. (2018). Pre-service Teachers’ Opinions about the Use of 21st Century Learner and 21st Century Teacher Skills. </w:t>
      </w:r>
      <w:r w:rsidRPr="006C529D">
        <w:rPr>
          <w:rFonts w:ascii="Palatino Linotype" w:hAnsi="Palatino Linotype" w:cs="Times New Roman"/>
          <w:i/>
          <w:iCs/>
          <w:noProof/>
          <w:sz w:val="20"/>
          <w:szCs w:val="20"/>
        </w:rPr>
        <w:t>European Journal of Educational Research</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8</w:t>
      </w:r>
      <w:r w:rsidRPr="006C529D">
        <w:rPr>
          <w:rFonts w:ascii="Palatino Linotype" w:hAnsi="Palatino Linotype" w:cs="Times New Roman"/>
          <w:noProof/>
          <w:sz w:val="20"/>
          <w:szCs w:val="20"/>
        </w:rPr>
        <w:t>(1), 181–197. https://doi.org/10.12973/eu-jer.8.1.181</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Toropova, A., Myrberg, E., &amp; Johansson, S. (2021). Teacher job satisfaction: the importance of school working conditions and teacher characteristics. </w:t>
      </w:r>
      <w:r w:rsidRPr="006C529D">
        <w:rPr>
          <w:rFonts w:ascii="Palatino Linotype" w:hAnsi="Palatino Linotype" w:cs="Times New Roman"/>
          <w:i/>
          <w:iCs/>
          <w:noProof/>
          <w:sz w:val="20"/>
          <w:szCs w:val="20"/>
        </w:rPr>
        <w:t>Educational Review</w:t>
      </w:r>
      <w:r w:rsidRPr="006C529D">
        <w:rPr>
          <w:rFonts w:ascii="Palatino Linotype" w:hAnsi="Palatino Linotype" w:cs="Times New Roman"/>
          <w:noProof/>
          <w:sz w:val="20"/>
          <w:szCs w:val="20"/>
        </w:rPr>
        <w:t xml:space="preserve">, </w:t>
      </w:r>
      <w:r w:rsidRPr="006C529D">
        <w:rPr>
          <w:rFonts w:ascii="Palatino Linotype" w:hAnsi="Palatino Linotype" w:cs="Times New Roman"/>
          <w:i/>
          <w:iCs/>
          <w:noProof/>
          <w:sz w:val="20"/>
          <w:szCs w:val="20"/>
        </w:rPr>
        <w:t>73</w:t>
      </w:r>
      <w:r w:rsidRPr="006C529D">
        <w:rPr>
          <w:rFonts w:ascii="Palatino Linotype" w:hAnsi="Palatino Linotype" w:cs="Times New Roman"/>
          <w:noProof/>
          <w:sz w:val="20"/>
          <w:szCs w:val="20"/>
        </w:rPr>
        <w:t>(1), 71–97. https://doi.org/10.1080/00131911.2019.1705247</w:t>
      </w:r>
    </w:p>
    <w:p w:rsidR="006C529D" w:rsidRPr="006C529D" w:rsidRDefault="006C529D" w:rsidP="006C529D">
      <w:pPr>
        <w:widowControl w:val="0"/>
        <w:autoSpaceDE w:val="0"/>
        <w:autoSpaceDN w:val="0"/>
        <w:adjustRightInd w:val="0"/>
        <w:spacing w:line="240" w:lineRule="auto"/>
        <w:ind w:left="480" w:hanging="480"/>
        <w:jc w:val="both"/>
        <w:rPr>
          <w:rFonts w:ascii="Palatino Linotype" w:hAnsi="Palatino Linotype" w:cs="Times New Roman"/>
          <w:noProof/>
          <w:sz w:val="20"/>
          <w:szCs w:val="20"/>
        </w:rPr>
      </w:pPr>
      <w:r w:rsidRPr="006C529D">
        <w:rPr>
          <w:rFonts w:ascii="Palatino Linotype" w:hAnsi="Palatino Linotype" w:cs="Times New Roman"/>
          <w:noProof/>
          <w:sz w:val="20"/>
          <w:szCs w:val="20"/>
        </w:rPr>
        <w:t xml:space="preserve">Zaky, R. A., &amp; Islami, E. (2022). </w:t>
      </w:r>
      <w:r w:rsidRPr="006C529D">
        <w:rPr>
          <w:rFonts w:ascii="Palatino Linotype" w:hAnsi="Palatino Linotype" w:cs="Times New Roman"/>
          <w:i/>
          <w:iCs/>
          <w:noProof/>
          <w:sz w:val="20"/>
          <w:szCs w:val="20"/>
        </w:rPr>
        <w:t>Trends of Teacher Professional Development Strategies</w:t>
      </w:r>
      <w:r w:rsidRPr="006C529D">
        <w:rPr>
          <w:rFonts w:ascii="Times New Roman" w:hAnsi="Times New Roman" w:cs="Times New Roman"/>
          <w:i/>
          <w:iCs/>
          <w:noProof/>
          <w:sz w:val="20"/>
          <w:szCs w:val="20"/>
        </w:rPr>
        <w:t> </w:t>
      </w:r>
      <w:r w:rsidRPr="006C529D">
        <w:rPr>
          <w:rFonts w:ascii="Palatino Linotype" w:hAnsi="Palatino Linotype" w:cs="Times New Roman"/>
          <w:i/>
          <w:iCs/>
          <w:noProof/>
          <w:sz w:val="20"/>
          <w:szCs w:val="20"/>
        </w:rPr>
        <w:t>: A Systematic Review</w:t>
      </w:r>
      <w:r w:rsidRPr="006C529D">
        <w:rPr>
          <w:rFonts w:ascii="Palatino Linotype" w:hAnsi="Palatino Linotype" w:cs="Times New Roman"/>
          <w:noProof/>
          <w:sz w:val="20"/>
          <w:szCs w:val="20"/>
        </w:rPr>
        <w:t>. 1–8.</w:t>
      </w:r>
    </w:p>
    <w:p w:rsidR="006C529D" w:rsidRPr="006C529D" w:rsidRDefault="006C529D" w:rsidP="006C529D">
      <w:pPr>
        <w:jc w:val="both"/>
        <w:rPr>
          <w:rFonts w:ascii="Palatino Linotype" w:hAnsi="Palatino Linotype" w:cs="Times New Roman"/>
          <w:sz w:val="20"/>
          <w:szCs w:val="20"/>
        </w:rPr>
      </w:pPr>
      <w:r w:rsidRPr="006C529D">
        <w:rPr>
          <w:rFonts w:ascii="Palatino Linotype" w:hAnsi="Palatino Linotype" w:cs="Times New Roman"/>
          <w:sz w:val="20"/>
          <w:szCs w:val="20"/>
        </w:rPr>
        <w:lastRenderedPageBreak/>
        <w:fldChar w:fldCharType="end"/>
      </w:r>
    </w:p>
    <w:p w:rsidR="00CC6979" w:rsidRPr="006C529D" w:rsidRDefault="00CC6979" w:rsidP="002A02C2">
      <w:pPr>
        <w:pStyle w:val="Alishlah21heading1"/>
        <w:numPr>
          <w:ilvl w:val="0"/>
          <w:numId w:val="0"/>
        </w:numPr>
        <w:rPr>
          <w:rFonts w:eastAsia="Arial"/>
          <w:szCs w:val="20"/>
        </w:rPr>
      </w:pPr>
    </w:p>
    <w:sectPr w:rsidR="00CC6979" w:rsidRPr="006C529D"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E74" w:rsidRDefault="00495E74" w:rsidP="008E64A2">
      <w:pPr>
        <w:spacing w:after="0" w:line="240" w:lineRule="auto"/>
      </w:pPr>
      <w:r>
        <w:separator/>
      </w:r>
    </w:p>
    <w:p w:rsidR="00495E74" w:rsidRDefault="00495E74"/>
  </w:endnote>
  <w:endnote w:type="continuationSeparator" w:id="0">
    <w:p w:rsidR="00495E74" w:rsidRDefault="00495E74" w:rsidP="008E64A2">
      <w:pPr>
        <w:spacing w:after="0" w:line="240" w:lineRule="auto"/>
      </w:pPr>
      <w:r>
        <w:continuationSeparator/>
      </w:r>
    </w:p>
    <w:p w:rsidR="00495E74" w:rsidRDefault="00495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E74" w:rsidRDefault="00495E74" w:rsidP="008E64A2">
      <w:pPr>
        <w:spacing w:after="0" w:line="240" w:lineRule="auto"/>
      </w:pPr>
      <w:r>
        <w:separator/>
      </w:r>
    </w:p>
    <w:p w:rsidR="00495E74" w:rsidRDefault="00495E74"/>
  </w:footnote>
  <w:footnote w:type="continuationSeparator" w:id="0">
    <w:p w:rsidR="00495E74" w:rsidRDefault="00495E74" w:rsidP="008E64A2">
      <w:pPr>
        <w:spacing w:after="0" w:line="240" w:lineRule="auto"/>
      </w:pPr>
      <w:r>
        <w:continuationSeparator/>
      </w:r>
    </w:p>
    <w:p w:rsidR="00495E74" w:rsidRDefault="00495E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80F34AE" wp14:editId="1A64B48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proofErr w:type="spellStart"/>
    <w:r w:rsidR="00727D5A">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6C529D">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4A0D29" w:rsidRDefault="004A0D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46D82AB" wp14:editId="183AB0BE">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nsid w:val="34C657F7"/>
    <w:multiLevelType w:val="hybridMultilevel"/>
    <w:tmpl w:val="BA04AB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395708"/>
    <w:multiLevelType w:val="hybridMultilevel"/>
    <w:tmpl w:val="C14E7C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05624B"/>
    <w:multiLevelType w:val="hybridMultilevel"/>
    <w:tmpl w:val="11F8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F039F"/>
    <w:multiLevelType w:val="hybridMultilevel"/>
    <w:tmpl w:val="3356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1"/>
  </w:num>
  <w:num w:numId="3">
    <w:abstractNumId w:val="6"/>
  </w:num>
  <w:num w:numId="4">
    <w:abstractNumId w:val="5"/>
  </w:num>
  <w:num w:numId="5">
    <w:abstractNumId w:val="17"/>
  </w:num>
  <w:num w:numId="6">
    <w:abstractNumId w:val="20"/>
  </w:num>
  <w:num w:numId="7">
    <w:abstractNumId w:val="1"/>
  </w:num>
  <w:num w:numId="8">
    <w:abstractNumId w:val="19"/>
  </w:num>
  <w:num w:numId="9">
    <w:abstractNumId w:val="8"/>
  </w:num>
  <w:num w:numId="10">
    <w:abstractNumId w:val="1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
  </w:num>
  <w:num w:numId="14">
    <w:abstractNumId w:val="12"/>
  </w:num>
  <w:num w:numId="15">
    <w:abstractNumId w:val="14"/>
  </w:num>
  <w:num w:numId="16">
    <w:abstractNumId w:val="0"/>
  </w:num>
  <w:num w:numId="17">
    <w:abstractNumId w:val="4"/>
  </w:num>
  <w:num w:numId="18">
    <w:abstractNumId w:val="7"/>
  </w:num>
  <w:num w:numId="19">
    <w:abstractNumId w:val="16"/>
  </w:num>
  <w:num w:numId="20">
    <w:abstractNumId w:val="15"/>
  </w:num>
  <w:num w:numId="21">
    <w:abstractNumId w:val="13"/>
  </w:num>
  <w:num w:numId="2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687AA6"/>
    <w:rsid w:val="000061CE"/>
    <w:rsid w:val="00031DD5"/>
    <w:rsid w:val="000333AC"/>
    <w:rsid w:val="000355EA"/>
    <w:rsid w:val="00035C67"/>
    <w:rsid w:val="00056E9C"/>
    <w:rsid w:val="000735BB"/>
    <w:rsid w:val="00075197"/>
    <w:rsid w:val="000831BD"/>
    <w:rsid w:val="000A13A3"/>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95E74"/>
    <w:rsid w:val="004A0D29"/>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87AA6"/>
    <w:rsid w:val="00690C1D"/>
    <w:rsid w:val="0069239F"/>
    <w:rsid w:val="006A6719"/>
    <w:rsid w:val="006B3B48"/>
    <w:rsid w:val="006B5DB7"/>
    <w:rsid w:val="006C529D"/>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7FA"/>
    <w:rsid w:val="00854115"/>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47A3C"/>
    <w:rsid w:val="00961E09"/>
    <w:rsid w:val="00961F83"/>
    <w:rsid w:val="00962121"/>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6979"/>
    <w:rsid w:val="00CC7F21"/>
    <w:rsid w:val="00CD3AE9"/>
    <w:rsid w:val="00CE131B"/>
    <w:rsid w:val="00CE242C"/>
    <w:rsid w:val="00CF5425"/>
    <w:rsid w:val="00D13D39"/>
    <w:rsid w:val="00D2296B"/>
    <w:rsid w:val="00D31547"/>
    <w:rsid w:val="00D37209"/>
    <w:rsid w:val="00D51A98"/>
    <w:rsid w:val="00D74358"/>
    <w:rsid w:val="00D75604"/>
    <w:rsid w:val="00D77FAD"/>
    <w:rsid w:val="00D81206"/>
    <w:rsid w:val="00D90DB0"/>
    <w:rsid w:val="00DA0836"/>
    <w:rsid w:val="00DA2631"/>
    <w:rsid w:val="00DD295B"/>
    <w:rsid w:val="00DD6277"/>
    <w:rsid w:val="00DE2B7D"/>
    <w:rsid w:val="00DF215F"/>
    <w:rsid w:val="00E00922"/>
    <w:rsid w:val="00E05855"/>
    <w:rsid w:val="00E1438C"/>
    <w:rsid w:val="00E22B8E"/>
    <w:rsid w:val="00E269E8"/>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nc-sa/4.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2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D2B1-DC81-4ECA-800F-91B7BBAC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(4)</Template>
  <TotalTime>35</TotalTime>
  <Pages>13</Pages>
  <Words>7222</Words>
  <Characters>41169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2022-03-12T14:54:00Z</cp:lastPrinted>
  <dcterms:created xsi:type="dcterms:W3CDTF">2024-08-20T14:21:00Z</dcterms:created>
  <dcterms:modified xsi:type="dcterms:W3CDTF">2024-09-18T10:21:00Z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c7c0b2bd-6a46-37c2-bc8b-44f253b2abf8</vt:lpwstr>
  </property>
  <property fmtid="{D5CDD505-2E9C-101B-9397-08002B2CF9AE}" pid="24" name="Mendeley Citation Style_1">
    <vt:lpwstr>http://www.zotero.org/styles/apa-6th-edition</vt:lpwstr>
  </property>
</Properties>
</file>