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7FD47" w14:textId="77777777" w:rsidR="00F61E74" w:rsidRDefault="00F61E74" w:rsidP="00F61E74">
      <w:pPr>
        <w:pStyle w:val="BodyText"/>
        <w:spacing w:before="1" w:line="256" w:lineRule="auto"/>
        <w:ind w:right="2203"/>
        <w:rPr>
          <w:rFonts w:ascii="Roboto" w:eastAsia="Roboto" w:hAnsi="Roboto" w:cs="Roboto"/>
        </w:rPr>
      </w:pPr>
    </w:p>
    <w:p w14:paraId="2EBC7E3C" w14:textId="77777777" w:rsidR="00F61E74" w:rsidRDefault="00F61E74" w:rsidP="00F61E74">
      <w:pPr>
        <w:pStyle w:val="BodyText"/>
        <w:spacing w:before="1" w:line="256" w:lineRule="auto"/>
        <w:ind w:right="2203"/>
        <w:rPr>
          <w:rFonts w:ascii="Roboto" w:eastAsia="Roboto" w:hAnsi="Roboto" w:cs="Roboto"/>
        </w:rPr>
      </w:pPr>
    </w:p>
    <w:p w14:paraId="10439DF0" w14:textId="77777777" w:rsidR="00F61E74" w:rsidRDefault="00F61E74" w:rsidP="00F61E74">
      <w:pPr>
        <w:pStyle w:val="BodyText"/>
        <w:spacing w:before="1" w:line="256" w:lineRule="auto"/>
        <w:ind w:right="2203"/>
        <w:rPr>
          <w:rFonts w:ascii="Roboto" w:eastAsia="Roboto" w:hAnsi="Roboto" w:cs="Roboto"/>
        </w:rPr>
      </w:pPr>
    </w:p>
    <w:p w14:paraId="0D0EC75F" w14:textId="77777777" w:rsidR="00F61E74" w:rsidRPr="0048254D" w:rsidRDefault="00F61E74" w:rsidP="00F61E74">
      <w:pPr>
        <w:pStyle w:val="Header"/>
        <w:ind w:right="45"/>
        <w:rPr>
          <w:rFonts w:ascii="Palatino Linotype" w:hAnsi="Palatino Linotype"/>
          <w:b/>
          <w:sz w:val="20"/>
        </w:rPr>
      </w:pPr>
      <w:bookmarkStart w:id="0" w:name="_Hlk97159129"/>
      <w:r w:rsidRPr="0048254D">
        <w:rPr>
          <w:rFonts w:ascii="Palatino Linotype" w:hAnsi="Palatino Linotype"/>
          <w:b/>
          <w:sz w:val="20"/>
        </w:rPr>
        <w:t>Al-Ishlah: Journal of Education</w:t>
      </w:r>
    </w:p>
    <w:bookmarkEnd w:id="0"/>
    <w:p w14:paraId="0B03506C" w14:textId="77777777" w:rsidR="00F61E74" w:rsidRPr="00933566" w:rsidRDefault="00F61E74" w:rsidP="00F61E74">
      <w:pPr>
        <w:tabs>
          <w:tab w:val="left" w:pos="7938"/>
          <w:tab w:val="right" w:pos="8789"/>
        </w:tabs>
        <w:rPr>
          <w:rFonts w:ascii="Times New Roman" w:eastAsia="Times New Roman" w:hAnsi="Times New Roman" w:cs="Times New Roman"/>
          <w:sz w:val="20"/>
          <w:szCs w:val="20"/>
        </w:rPr>
      </w:pPr>
      <w:r w:rsidRPr="0048254D">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40A165D5" wp14:editId="0ACC6B22">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9391AB"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p>
    <w:p w14:paraId="1930E899" w14:textId="77777777" w:rsidR="00F61E74" w:rsidRDefault="00F61E74" w:rsidP="00F61E74">
      <w:pPr>
        <w:pStyle w:val="Title"/>
        <w:jc w:val="both"/>
      </w:pPr>
    </w:p>
    <w:p w14:paraId="0457F341" w14:textId="77777777" w:rsidR="00F61E74" w:rsidRPr="00933566" w:rsidRDefault="00F61E74" w:rsidP="00F61E74">
      <w:pPr>
        <w:pStyle w:val="Title"/>
        <w:jc w:val="both"/>
      </w:pPr>
      <w:r w:rsidRPr="00792A2E">
        <w:t>Effectiveness of Assertive Training Techniques yo Increase Self-Disclosure of Students of Junior High School of Yogyakarta</w:t>
      </w:r>
    </w:p>
    <w:p w14:paraId="3D1BA489" w14:textId="77777777" w:rsidR="00F61E74" w:rsidRDefault="00F61E74" w:rsidP="00F61E74">
      <w:pPr>
        <w:pStyle w:val="Heading1"/>
        <w:spacing w:before="234"/>
        <w:ind w:left="140" w:firstLine="0"/>
        <w:rPr>
          <w:sz w:val="12"/>
        </w:rPr>
      </w:pPr>
      <w:r w:rsidRPr="004F05D4">
        <w:rPr>
          <w:rFonts w:ascii="Times New Roman" w:hAnsi="Times New Roman" w:cs="Times New Roman"/>
        </w:rPr>
        <w:t xml:space="preserve">Putri Luthfiyah Zahra </w:t>
      </w:r>
      <w:r>
        <w:rPr>
          <w:position w:val="5"/>
          <w:sz w:val="12"/>
        </w:rPr>
        <w:t xml:space="preserve">1 </w:t>
      </w:r>
      <w:r w:rsidRPr="004F05D4">
        <w:rPr>
          <w:rFonts w:ascii="Times New Roman" w:hAnsi="Times New Roman" w:cs="Times New Roman"/>
        </w:rPr>
        <w:t xml:space="preserve">Muhammad Nur Wangid </w:t>
      </w:r>
      <w:r>
        <w:rPr>
          <w:vertAlign w:val="superscript"/>
        </w:rPr>
        <w:t xml:space="preserve">2 </w:t>
      </w:r>
    </w:p>
    <w:p w14:paraId="6883DDC7" w14:textId="77777777" w:rsidR="00F61E74" w:rsidRPr="00C23A36" w:rsidRDefault="00F61E74" w:rsidP="00F61E74">
      <w:pPr>
        <w:spacing w:before="124"/>
        <w:ind w:left="340" w:right="2464" w:hanging="88"/>
        <w:rPr>
          <w:sz w:val="18"/>
        </w:rPr>
      </w:pPr>
      <w:r>
        <w:rPr>
          <w:position w:val="5"/>
          <w:sz w:val="11"/>
        </w:rPr>
        <w:t xml:space="preserve">1 </w:t>
      </w:r>
      <w:r>
        <w:rPr>
          <w:sz w:val="18"/>
        </w:rPr>
        <w:t xml:space="preserve">Guidance and Counseling, Faculty of Education and Psychology, State University of Yogyakarta; </w:t>
      </w:r>
      <w:hyperlink r:id="rId8" w:history="1">
        <w:r w:rsidRPr="00792A2E">
          <w:rPr>
            <w:sz w:val="18"/>
          </w:rPr>
          <w:t>putriluthfiyah.2022@student.uny.ac.id</w:t>
        </w:r>
      </w:hyperlink>
    </w:p>
    <w:p w14:paraId="25E01C79" w14:textId="1A611B09" w:rsidR="00F61E74" w:rsidRDefault="00F61E74" w:rsidP="00F61E74">
      <w:pPr>
        <w:spacing w:before="2" w:line="241" w:lineRule="exact"/>
        <w:ind w:left="252"/>
        <w:rPr>
          <w:sz w:val="18"/>
        </w:rPr>
      </w:pPr>
      <w:r>
        <w:rPr>
          <w:position w:val="5"/>
          <w:sz w:val="11"/>
        </w:rPr>
        <w:t xml:space="preserve">2 </w:t>
      </w:r>
      <w:r w:rsidR="006564C5">
        <w:rPr>
          <w:sz w:val="18"/>
        </w:rPr>
        <w:t>Educational Psychology</w:t>
      </w:r>
      <w:r>
        <w:rPr>
          <w:sz w:val="18"/>
        </w:rPr>
        <w:t xml:space="preserve"> and Counseling, Faculty of Education and Psychology,</w:t>
      </w:r>
    </w:p>
    <w:p w14:paraId="21B10721" w14:textId="589ACD12" w:rsidR="00F61E74" w:rsidRPr="00C23A36" w:rsidRDefault="00F61E74" w:rsidP="00F61E74">
      <w:pPr>
        <w:spacing w:line="241" w:lineRule="exact"/>
        <w:ind w:left="340"/>
        <w:rPr>
          <w:sz w:val="18"/>
          <w:szCs w:val="18"/>
        </w:rPr>
      </w:pPr>
      <w:r>
        <w:rPr>
          <w:sz w:val="18"/>
        </w:rPr>
        <w:t xml:space="preserve">State University of Yogyakarta; </w:t>
      </w:r>
      <w:r w:rsidR="000560AE" w:rsidRPr="000560AE">
        <w:rPr>
          <w:sz w:val="18"/>
          <w:szCs w:val="18"/>
        </w:rPr>
        <w:t>m_nurwangid@</w:t>
      </w:r>
      <w:r w:rsidRPr="000560AE">
        <w:rPr>
          <w:sz w:val="18"/>
          <w:szCs w:val="18"/>
        </w:rPr>
        <w:t>uny.ac.id</w:t>
      </w:r>
    </w:p>
    <w:p w14:paraId="1F6B472B" w14:textId="77777777" w:rsidR="00F61E74" w:rsidRDefault="00F61E74" w:rsidP="00F61E74">
      <w:pPr>
        <w:pStyle w:val="BodyText"/>
        <w:spacing w:before="5" w:after="1"/>
        <w:rPr>
          <w:sz w:val="19"/>
        </w:rPr>
      </w:pPr>
    </w:p>
    <w:tbl>
      <w:tblPr>
        <w:tblW w:w="0" w:type="auto"/>
        <w:tblInd w:w="240" w:type="dxa"/>
        <w:tblLayout w:type="fixed"/>
        <w:tblCellMar>
          <w:left w:w="0" w:type="dxa"/>
          <w:right w:w="0" w:type="dxa"/>
        </w:tblCellMar>
        <w:tblLook w:val="01E0" w:firstRow="1" w:lastRow="1" w:firstColumn="1" w:lastColumn="1" w:noHBand="0" w:noVBand="0"/>
      </w:tblPr>
      <w:tblGrid>
        <w:gridCol w:w="2789"/>
        <w:gridCol w:w="280"/>
        <w:gridCol w:w="5778"/>
      </w:tblGrid>
      <w:tr w:rsidR="00F61E74" w14:paraId="3215A9A8" w14:textId="77777777" w:rsidTr="00C12A41">
        <w:trPr>
          <w:trHeight w:val="425"/>
        </w:trPr>
        <w:tc>
          <w:tcPr>
            <w:tcW w:w="2789" w:type="dxa"/>
            <w:tcBorders>
              <w:top w:val="single" w:sz="4" w:space="0" w:color="000000"/>
            </w:tcBorders>
          </w:tcPr>
          <w:p w14:paraId="71960FB7" w14:textId="77777777" w:rsidR="00F61E74" w:rsidRDefault="00F61E74" w:rsidP="00C12A41">
            <w:pPr>
              <w:pStyle w:val="TableParagraph"/>
              <w:tabs>
                <w:tab w:val="left" w:pos="2788"/>
              </w:tabs>
              <w:spacing w:before="115"/>
              <w:jc w:val="left"/>
              <w:rPr>
                <w:b/>
                <w:sz w:val="20"/>
              </w:rPr>
            </w:pPr>
            <w:r>
              <w:rPr>
                <w:b/>
                <w:spacing w:val="52"/>
                <w:sz w:val="20"/>
                <w:u w:val="single"/>
              </w:rPr>
              <w:t xml:space="preserve"> ARTICLE INFO</w:t>
            </w:r>
            <w:r>
              <w:rPr>
                <w:b/>
                <w:sz w:val="20"/>
                <w:u w:val="single"/>
              </w:rPr>
              <w:tab/>
            </w:r>
          </w:p>
        </w:tc>
        <w:tc>
          <w:tcPr>
            <w:tcW w:w="280" w:type="dxa"/>
            <w:tcBorders>
              <w:top w:val="double" w:sz="4" w:space="0" w:color="000000"/>
            </w:tcBorders>
          </w:tcPr>
          <w:p w14:paraId="24E5CA2E" w14:textId="77777777" w:rsidR="00F61E74" w:rsidRDefault="00F61E74" w:rsidP="00C12A41">
            <w:pPr>
              <w:pStyle w:val="TableParagraph"/>
              <w:spacing w:before="0"/>
              <w:jc w:val="left"/>
              <w:rPr>
                <w:rFonts w:ascii="Times New Roman"/>
                <w:sz w:val="18"/>
              </w:rPr>
            </w:pPr>
          </w:p>
        </w:tc>
        <w:tc>
          <w:tcPr>
            <w:tcW w:w="5778" w:type="dxa"/>
            <w:tcBorders>
              <w:top w:val="single" w:sz="4" w:space="0" w:color="000000"/>
            </w:tcBorders>
          </w:tcPr>
          <w:p w14:paraId="1E8A135D" w14:textId="77777777" w:rsidR="00F61E74" w:rsidRDefault="00F61E74" w:rsidP="00C12A41">
            <w:pPr>
              <w:pStyle w:val="TableParagraph"/>
              <w:tabs>
                <w:tab w:val="left" w:pos="5778"/>
              </w:tabs>
              <w:spacing w:before="115"/>
              <w:ind w:right="-15"/>
              <w:jc w:val="left"/>
              <w:rPr>
                <w:b/>
                <w:sz w:val="20"/>
              </w:rPr>
            </w:pPr>
            <w:r>
              <w:rPr>
                <w:b/>
                <w:spacing w:val="44"/>
                <w:sz w:val="20"/>
                <w:u w:val="single"/>
              </w:rPr>
              <w:t xml:space="preserve"> ABSTRACT</w:t>
            </w:r>
            <w:r>
              <w:rPr>
                <w:b/>
                <w:sz w:val="20"/>
                <w:u w:val="single"/>
              </w:rPr>
              <w:tab/>
            </w:r>
          </w:p>
        </w:tc>
      </w:tr>
      <w:tr w:rsidR="00F61E74" w14:paraId="39ABA402" w14:textId="77777777" w:rsidTr="00C12A41">
        <w:trPr>
          <w:trHeight w:val="423"/>
        </w:trPr>
        <w:tc>
          <w:tcPr>
            <w:tcW w:w="2789" w:type="dxa"/>
          </w:tcPr>
          <w:p w14:paraId="041A67D4" w14:textId="77777777" w:rsidR="00F61E74" w:rsidRDefault="00F61E74" w:rsidP="00C12A41">
            <w:pPr>
              <w:pStyle w:val="TableParagraph"/>
              <w:spacing w:before="94"/>
              <w:ind w:left="108"/>
              <w:jc w:val="left"/>
              <w:rPr>
                <w:b/>
                <w:i/>
                <w:sz w:val="18"/>
              </w:rPr>
            </w:pPr>
            <w:r>
              <w:rPr>
                <w:b/>
                <w:i/>
                <w:spacing w:val="-2"/>
                <w:sz w:val="18"/>
              </w:rPr>
              <w:t>Keywords:</w:t>
            </w:r>
          </w:p>
        </w:tc>
        <w:tc>
          <w:tcPr>
            <w:tcW w:w="280" w:type="dxa"/>
            <w:vMerge w:val="restart"/>
          </w:tcPr>
          <w:p w14:paraId="040DE2AC" w14:textId="77777777" w:rsidR="00F61E74" w:rsidRDefault="00F61E74" w:rsidP="00C12A41">
            <w:pPr>
              <w:pStyle w:val="TableParagraph"/>
              <w:spacing w:before="0"/>
              <w:jc w:val="left"/>
              <w:rPr>
                <w:rFonts w:ascii="Times New Roman"/>
                <w:sz w:val="18"/>
              </w:rPr>
            </w:pPr>
          </w:p>
        </w:tc>
        <w:tc>
          <w:tcPr>
            <w:tcW w:w="5778" w:type="dxa"/>
            <w:vMerge w:val="restart"/>
          </w:tcPr>
          <w:p w14:paraId="23BD8BDF" w14:textId="77777777" w:rsidR="00F61E74" w:rsidRPr="005A084F" w:rsidRDefault="00F61E74" w:rsidP="00C12A41">
            <w:pPr>
              <w:pStyle w:val="TableParagraph"/>
              <w:ind w:left="89"/>
              <w:jc w:val="both"/>
              <w:rPr>
                <w:sz w:val="20"/>
                <w:szCs w:val="20"/>
                <w:lang w:val="en"/>
              </w:rPr>
            </w:pPr>
            <w:r w:rsidRPr="005A084F">
              <w:rPr>
                <w:sz w:val="20"/>
                <w:szCs w:val="20"/>
              </w:rPr>
              <w:t>This study was conducted based on the results of several studies showing the effectiveness of group counseling with assertive training techniques which are still inconsistent in their results. Therefore, this study aims to reveal the effectiveness of assertive training techniques in increasing the self-disclosure of students of the Junior High School of Yogyakarta. This study is a quantitative study of the quasi-experimental type with a Pretest-posttest control group design. The subjects in this study were grade VII students of Junior High School of Yogyakarta. The sampling technique in this study used purposive sampling totaling 12 students and divided into two class groups, namely the experimental group and the control group, each group consisting of 6 students with low self-disclosure. Instrument validity test with expert judgment and application of Aiken</w:t>
            </w:r>
            <w:r>
              <w:rPr>
                <w:sz w:val="20"/>
                <w:szCs w:val="20"/>
              </w:rPr>
              <w:t>’</w:t>
            </w:r>
            <w:r w:rsidRPr="005A084F">
              <w:rPr>
                <w:sz w:val="20"/>
                <w:szCs w:val="20"/>
              </w:rPr>
              <w:t xml:space="preserve">s V test and stated 24 valid statement items with a V value of 0.601. The reliability test of this research instrument uses the Alpha Cronbach formula with a reliability coefficient value of 0.917 so it is declared "Reliable" for use in research. The data analysis technique in the study is non-parametric statistics with Hypothesis Testing, namely the Paired Test (Wilcoxon Test) and the Independent Test (Mann-Whitney Test). The results of the Hypothesis Test have been processed using 2 tests, namely the Paired Test (Wilcoxon Test) and the Independent Test (Mann Whitney Test).  It is obtained that the results of the Wilcoxon Test for the experimental group with an Asymp.Sig value of 0.026 &lt;0.05 so Ha is accepted. In addition, in the control group Asymp, the Sig value is 0.056&gt; 0.05 so Ha is rejected. For the Mann-Whitney Test, the experimental group has an Asymp. Sig value of 0.004 &lt; 0.05 so Ha is accepted, while the control group has an Asymp.Sig value of 0.138 &gt; 0.05 so Ha is rejected. Based on the results of the test, the hypothesis of the experimental group, namely </w:t>
            </w:r>
            <w:r>
              <w:rPr>
                <w:sz w:val="20"/>
                <w:szCs w:val="20"/>
              </w:rPr>
              <w:t>“</w:t>
            </w:r>
            <w:r w:rsidRPr="005A084F">
              <w:rPr>
                <w:sz w:val="20"/>
                <w:szCs w:val="20"/>
              </w:rPr>
              <w:t>Assertive Techniques are effective in increasing students</w:t>
            </w:r>
            <w:r>
              <w:rPr>
                <w:sz w:val="20"/>
                <w:szCs w:val="20"/>
              </w:rPr>
              <w:t>’</w:t>
            </w:r>
            <w:r w:rsidRPr="005A084F">
              <w:rPr>
                <w:sz w:val="20"/>
                <w:szCs w:val="20"/>
              </w:rPr>
              <w:t xml:space="preserve"> self-disclosure at Junior High School of 14 Yogyakarta</w:t>
            </w:r>
            <w:r>
              <w:rPr>
                <w:sz w:val="20"/>
                <w:szCs w:val="20"/>
              </w:rPr>
              <w:t>”</w:t>
            </w:r>
            <w:r w:rsidRPr="005A084F">
              <w:rPr>
                <w:sz w:val="20"/>
                <w:szCs w:val="20"/>
              </w:rPr>
              <w:t xml:space="preserve"> is accepted.</w:t>
            </w:r>
          </w:p>
        </w:tc>
      </w:tr>
      <w:tr w:rsidR="00F61E74" w14:paraId="28965DDA" w14:textId="77777777" w:rsidTr="00C12A41">
        <w:trPr>
          <w:trHeight w:val="908"/>
        </w:trPr>
        <w:tc>
          <w:tcPr>
            <w:tcW w:w="2789" w:type="dxa"/>
          </w:tcPr>
          <w:p w14:paraId="08BFAAD6" w14:textId="77777777" w:rsidR="00F61E74" w:rsidRPr="00C23A36" w:rsidRDefault="00F61E74" w:rsidP="00C12A41">
            <w:pPr>
              <w:pStyle w:val="TableParagraph"/>
              <w:spacing w:before="31"/>
              <w:ind w:left="144" w:right="195"/>
              <w:jc w:val="both"/>
              <w:rPr>
                <w:sz w:val="18"/>
                <w:szCs w:val="18"/>
                <w:lang w:val="en"/>
              </w:rPr>
            </w:pPr>
            <w:r w:rsidRPr="00792A2E">
              <w:rPr>
                <w:sz w:val="18"/>
                <w:szCs w:val="18"/>
              </w:rPr>
              <w:t>Self-disclosure, group counseling, assertive training techniques.</w:t>
            </w:r>
          </w:p>
        </w:tc>
        <w:tc>
          <w:tcPr>
            <w:tcW w:w="280" w:type="dxa"/>
            <w:vMerge/>
            <w:tcBorders>
              <w:top w:val="nil"/>
            </w:tcBorders>
          </w:tcPr>
          <w:p w14:paraId="3C097982" w14:textId="77777777" w:rsidR="00F61E74" w:rsidRDefault="00F61E74" w:rsidP="00C12A41">
            <w:pPr>
              <w:rPr>
                <w:sz w:val="2"/>
                <w:szCs w:val="2"/>
              </w:rPr>
            </w:pPr>
          </w:p>
        </w:tc>
        <w:tc>
          <w:tcPr>
            <w:tcW w:w="5778" w:type="dxa"/>
            <w:vMerge/>
            <w:tcBorders>
              <w:top w:val="nil"/>
            </w:tcBorders>
          </w:tcPr>
          <w:p w14:paraId="528738AE" w14:textId="77777777" w:rsidR="00F61E74" w:rsidRDefault="00F61E74" w:rsidP="00C12A41">
            <w:pPr>
              <w:rPr>
                <w:sz w:val="2"/>
                <w:szCs w:val="2"/>
              </w:rPr>
            </w:pPr>
          </w:p>
        </w:tc>
      </w:tr>
      <w:tr w:rsidR="00F61E74" w14:paraId="2AE16086" w14:textId="77777777" w:rsidTr="00C12A41">
        <w:trPr>
          <w:trHeight w:val="1551"/>
        </w:trPr>
        <w:tc>
          <w:tcPr>
            <w:tcW w:w="2789" w:type="dxa"/>
            <w:tcBorders>
              <w:bottom w:val="single" w:sz="4" w:space="0" w:color="000000"/>
            </w:tcBorders>
          </w:tcPr>
          <w:p w14:paraId="2B9B4A97" w14:textId="17F578B7" w:rsidR="00F61E74" w:rsidRDefault="00F61E74" w:rsidP="00C12A41">
            <w:pPr>
              <w:pStyle w:val="TableParagraph"/>
              <w:spacing w:before="95"/>
              <w:ind w:left="144" w:right="108"/>
              <w:jc w:val="both"/>
              <w:rPr>
                <w:sz w:val="18"/>
              </w:rPr>
            </w:pPr>
          </w:p>
        </w:tc>
        <w:tc>
          <w:tcPr>
            <w:tcW w:w="280" w:type="dxa"/>
            <w:vMerge/>
            <w:tcBorders>
              <w:top w:val="nil"/>
            </w:tcBorders>
          </w:tcPr>
          <w:p w14:paraId="7F8946E3" w14:textId="77777777" w:rsidR="00F61E74" w:rsidRDefault="00F61E74" w:rsidP="00C12A41">
            <w:pPr>
              <w:rPr>
                <w:sz w:val="2"/>
                <w:szCs w:val="2"/>
              </w:rPr>
            </w:pPr>
          </w:p>
        </w:tc>
        <w:tc>
          <w:tcPr>
            <w:tcW w:w="5778" w:type="dxa"/>
            <w:vMerge/>
            <w:tcBorders>
              <w:top w:val="nil"/>
            </w:tcBorders>
          </w:tcPr>
          <w:p w14:paraId="50716FF8" w14:textId="77777777" w:rsidR="00F61E74" w:rsidRDefault="00F61E74" w:rsidP="00C12A41">
            <w:pPr>
              <w:rPr>
                <w:sz w:val="2"/>
                <w:szCs w:val="2"/>
              </w:rPr>
            </w:pPr>
          </w:p>
        </w:tc>
      </w:tr>
      <w:tr w:rsidR="00F61E74" w14:paraId="5A12200D" w14:textId="77777777" w:rsidTr="00C12A41">
        <w:trPr>
          <w:trHeight w:val="452"/>
        </w:trPr>
        <w:tc>
          <w:tcPr>
            <w:tcW w:w="2789" w:type="dxa"/>
            <w:tcBorders>
              <w:top w:val="single" w:sz="4" w:space="0" w:color="000000"/>
            </w:tcBorders>
          </w:tcPr>
          <w:p w14:paraId="2340CFF2" w14:textId="77777777" w:rsidR="00F61E74" w:rsidRDefault="00F61E74" w:rsidP="00C12A41">
            <w:pPr>
              <w:pStyle w:val="TableParagraph"/>
              <w:spacing w:before="122"/>
              <w:ind w:left="108"/>
              <w:jc w:val="left"/>
              <w:rPr>
                <w:b/>
                <w:i/>
                <w:sz w:val="18"/>
              </w:rPr>
            </w:pPr>
            <w:r>
              <w:rPr>
                <w:b/>
                <w:i/>
                <w:sz w:val="18"/>
              </w:rPr>
              <w:t>Article history:</w:t>
            </w:r>
          </w:p>
        </w:tc>
        <w:tc>
          <w:tcPr>
            <w:tcW w:w="280" w:type="dxa"/>
            <w:vMerge/>
            <w:tcBorders>
              <w:top w:val="nil"/>
            </w:tcBorders>
          </w:tcPr>
          <w:p w14:paraId="08763389" w14:textId="77777777" w:rsidR="00F61E74" w:rsidRDefault="00F61E74" w:rsidP="00C12A41">
            <w:pPr>
              <w:rPr>
                <w:sz w:val="2"/>
                <w:szCs w:val="2"/>
              </w:rPr>
            </w:pPr>
          </w:p>
        </w:tc>
        <w:tc>
          <w:tcPr>
            <w:tcW w:w="5778" w:type="dxa"/>
            <w:vMerge/>
            <w:tcBorders>
              <w:top w:val="nil"/>
            </w:tcBorders>
          </w:tcPr>
          <w:p w14:paraId="39A3C039" w14:textId="77777777" w:rsidR="00F61E74" w:rsidRDefault="00F61E74" w:rsidP="00C12A41">
            <w:pPr>
              <w:rPr>
                <w:sz w:val="2"/>
                <w:szCs w:val="2"/>
              </w:rPr>
            </w:pPr>
          </w:p>
        </w:tc>
      </w:tr>
      <w:tr w:rsidR="00F61E74" w14:paraId="5FA5FEDA" w14:textId="77777777" w:rsidTr="00C12A41">
        <w:trPr>
          <w:trHeight w:val="4273"/>
        </w:trPr>
        <w:tc>
          <w:tcPr>
            <w:tcW w:w="2789" w:type="dxa"/>
          </w:tcPr>
          <w:p w14:paraId="0464684B" w14:textId="77777777" w:rsidR="00F61E74" w:rsidRDefault="00F61E74" w:rsidP="00C12A41">
            <w:pPr>
              <w:pStyle w:val="TableParagraph"/>
              <w:ind w:left="108"/>
              <w:jc w:val="left"/>
              <w:rPr>
                <w:sz w:val="18"/>
              </w:rPr>
            </w:pPr>
          </w:p>
        </w:tc>
        <w:tc>
          <w:tcPr>
            <w:tcW w:w="280" w:type="dxa"/>
            <w:vMerge/>
            <w:tcBorders>
              <w:top w:val="nil"/>
            </w:tcBorders>
          </w:tcPr>
          <w:p w14:paraId="1B01C95C" w14:textId="77777777" w:rsidR="00F61E74" w:rsidRDefault="00F61E74" w:rsidP="00C12A41">
            <w:pPr>
              <w:rPr>
                <w:sz w:val="2"/>
                <w:szCs w:val="2"/>
              </w:rPr>
            </w:pPr>
          </w:p>
        </w:tc>
        <w:tc>
          <w:tcPr>
            <w:tcW w:w="5778" w:type="dxa"/>
            <w:vMerge/>
            <w:tcBorders>
              <w:top w:val="nil"/>
            </w:tcBorders>
          </w:tcPr>
          <w:p w14:paraId="2E96862B" w14:textId="77777777" w:rsidR="00F61E74" w:rsidRDefault="00F61E74" w:rsidP="00C12A41">
            <w:pPr>
              <w:rPr>
                <w:sz w:val="2"/>
                <w:szCs w:val="2"/>
              </w:rPr>
            </w:pPr>
          </w:p>
        </w:tc>
      </w:tr>
      <w:tr w:rsidR="00F61E74" w14:paraId="2128A018" w14:textId="77777777" w:rsidTr="00C12A41">
        <w:trPr>
          <w:trHeight w:val="1104"/>
        </w:trPr>
        <w:tc>
          <w:tcPr>
            <w:tcW w:w="2789" w:type="dxa"/>
            <w:tcBorders>
              <w:bottom w:val="single" w:sz="4" w:space="0" w:color="000000"/>
            </w:tcBorders>
          </w:tcPr>
          <w:p w14:paraId="7E2EEC39" w14:textId="77777777" w:rsidR="00F61E74" w:rsidRDefault="00F61E74" w:rsidP="00C12A41">
            <w:pPr>
              <w:pStyle w:val="TableParagraph"/>
              <w:spacing w:before="0"/>
              <w:jc w:val="left"/>
              <w:rPr>
                <w:rFonts w:ascii="Times New Roman"/>
                <w:sz w:val="18"/>
              </w:rPr>
            </w:pPr>
          </w:p>
        </w:tc>
        <w:tc>
          <w:tcPr>
            <w:tcW w:w="280" w:type="dxa"/>
          </w:tcPr>
          <w:p w14:paraId="692950A6" w14:textId="77777777" w:rsidR="00F61E74" w:rsidRDefault="00F61E74" w:rsidP="00C12A41">
            <w:pPr>
              <w:pStyle w:val="TableParagraph"/>
              <w:spacing w:before="0"/>
              <w:jc w:val="left"/>
              <w:rPr>
                <w:rFonts w:ascii="Times New Roman"/>
                <w:sz w:val="18"/>
              </w:rPr>
            </w:pPr>
          </w:p>
        </w:tc>
        <w:tc>
          <w:tcPr>
            <w:tcW w:w="5778" w:type="dxa"/>
            <w:tcBorders>
              <w:bottom w:val="single" w:sz="4" w:space="0" w:color="000000"/>
            </w:tcBorders>
          </w:tcPr>
          <w:p w14:paraId="7107D994" w14:textId="77777777" w:rsidR="00F61E74" w:rsidRDefault="00F61E74" w:rsidP="00C12A41">
            <w:pPr>
              <w:pStyle w:val="TableParagraph"/>
              <w:spacing w:before="40"/>
              <w:ind w:left="1108"/>
              <w:jc w:val="left"/>
              <w:rPr>
                <w:i/>
                <w:sz w:val="18"/>
              </w:rPr>
            </w:pPr>
            <w:r>
              <w:rPr>
                <w:i/>
                <w:sz w:val="18"/>
              </w:rPr>
              <w:t xml:space="preserve">This is an open access article under the </w:t>
            </w:r>
            <w:hyperlink r:id="rId9">
              <w:r>
                <w:rPr>
                  <w:i/>
                  <w:color w:val="0462C1"/>
                  <w:sz w:val="18"/>
                  <w:u w:val="single" w:color="0462C1"/>
                </w:rPr>
                <w:t>CC BY-NC-SA</w:t>
              </w:r>
            </w:hyperlink>
            <w:r>
              <w:rPr>
                <w:i/>
                <w:color w:val="0462C1"/>
                <w:spacing w:val="3"/>
                <w:sz w:val="18"/>
              </w:rPr>
              <w:t xml:space="preserve"> </w:t>
            </w:r>
            <w:r>
              <w:rPr>
                <w:i/>
                <w:spacing w:val="-2"/>
                <w:sz w:val="18"/>
              </w:rPr>
              <w:t>license.</w:t>
            </w:r>
          </w:p>
          <w:p w14:paraId="5532E479" w14:textId="77777777" w:rsidR="00F61E74" w:rsidRDefault="00F61E74" w:rsidP="00C12A41">
            <w:pPr>
              <w:pStyle w:val="TableParagraph"/>
              <w:spacing w:before="5"/>
              <w:jc w:val="left"/>
              <w:rPr>
                <w:sz w:val="8"/>
              </w:rPr>
            </w:pPr>
          </w:p>
          <w:p w14:paraId="1C73CA67" w14:textId="77777777" w:rsidR="00F61E74" w:rsidRDefault="00F61E74" w:rsidP="00C12A41">
            <w:pPr>
              <w:pStyle w:val="TableParagraph"/>
              <w:spacing w:before="0"/>
              <w:ind w:left="4005"/>
              <w:jc w:val="left"/>
              <w:rPr>
                <w:sz w:val="20"/>
              </w:rPr>
            </w:pPr>
            <w:r>
              <w:rPr>
                <w:noProof/>
                <w:sz w:val="20"/>
              </w:rPr>
              <w:drawing>
                <wp:inline distT="0" distB="0" distL="0" distR="0" wp14:anchorId="5F36A727" wp14:editId="4EB77F06">
                  <wp:extent cx="1056118" cy="37204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056118" cy="372046"/>
                          </a:xfrm>
                          <a:prstGeom prst="rect">
                            <a:avLst/>
                          </a:prstGeom>
                        </pic:spPr>
                      </pic:pic>
                    </a:graphicData>
                  </a:graphic>
                </wp:inline>
              </w:drawing>
            </w:r>
          </w:p>
        </w:tc>
      </w:tr>
      <w:tr w:rsidR="00F61E74" w14:paraId="731E080B" w14:textId="77777777" w:rsidTr="00C12A41">
        <w:trPr>
          <w:trHeight w:val="726"/>
        </w:trPr>
        <w:tc>
          <w:tcPr>
            <w:tcW w:w="8847" w:type="dxa"/>
            <w:gridSpan w:val="3"/>
          </w:tcPr>
          <w:p w14:paraId="2E9287EB" w14:textId="77777777" w:rsidR="00F61E74" w:rsidRDefault="00F61E74" w:rsidP="00C12A41">
            <w:pPr>
              <w:pStyle w:val="TableParagraph"/>
              <w:spacing w:before="2"/>
              <w:jc w:val="left"/>
              <w:rPr>
                <w:b/>
                <w:sz w:val="18"/>
              </w:rPr>
            </w:pPr>
            <w:r>
              <w:rPr>
                <w:b/>
                <w:sz w:val="18"/>
              </w:rPr>
              <w:t>Corresponding Author:</w:t>
            </w:r>
          </w:p>
          <w:p w14:paraId="46751BFC" w14:textId="707F42E7" w:rsidR="00F61E74" w:rsidRDefault="00D903BA" w:rsidP="00C12A41">
            <w:pPr>
              <w:pStyle w:val="TableParagraph"/>
              <w:spacing w:line="242" w:lineRule="exact"/>
              <w:jc w:val="left"/>
              <w:rPr>
                <w:sz w:val="18"/>
              </w:rPr>
            </w:pPr>
            <w:r>
              <w:rPr>
                <w:sz w:val="18"/>
              </w:rPr>
              <w:t>Putri Luthfiyah Zahra</w:t>
            </w:r>
          </w:p>
          <w:p w14:paraId="15BF75AE" w14:textId="1B589AD7" w:rsidR="00F61E74" w:rsidRDefault="00F61E74" w:rsidP="00C12A41">
            <w:pPr>
              <w:pStyle w:val="TableParagraph"/>
              <w:tabs>
                <w:tab w:val="left" w:pos="8846"/>
              </w:tabs>
              <w:spacing w:before="0" w:line="219" w:lineRule="exact"/>
              <w:ind w:left="-12" w:right="-15"/>
              <w:jc w:val="left"/>
              <w:rPr>
                <w:spacing w:val="-3"/>
                <w:sz w:val="18"/>
                <w:szCs w:val="18"/>
              </w:rPr>
            </w:pPr>
            <w:r>
              <w:rPr>
                <w:sz w:val="18"/>
              </w:rPr>
              <w:t>Guidance and Counseling</w:t>
            </w:r>
            <w:r>
              <w:rPr>
                <w:sz w:val="18"/>
                <w:u w:val="double"/>
              </w:rPr>
              <w:t xml:space="preserve">, UNY; </w:t>
            </w:r>
            <w:hyperlink r:id="rId11" w:history="1">
              <w:r w:rsidR="00D903BA" w:rsidRPr="00792A2E">
                <w:rPr>
                  <w:sz w:val="18"/>
                </w:rPr>
                <w:t>putriluthfiyah.2022@student.uny.ac.id</w:t>
              </w:r>
            </w:hyperlink>
          </w:p>
          <w:p w14:paraId="6D125399" w14:textId="77777777" w:rsidR="00F61E74" w:rsidRDefault="00F61E74" w:rsidP="00C12A41">
            <w:pPr>
              <w:pStyle w:val="TableParagraph"/>
              <w:tabs>
                <w:tab w:val="left" w:pos="8846"/>
              </w:tabs>
              <w:spacing w:before="0" w:line="219" w:lineRule="exact"/>
              <w:ind w:left="-12" w:right="-15"/>
              <w:jc w:val="left"/>
              <w:rPr>
                <w:sz w:val="18"/>
              </w:rPr>
            </w:pPr>
            <w:r>
              <w:rPr>
                <w:sz w:val="18"/>
                <w:u w:val="double"/>
              </w:rPr>
              <w:tab/>
            </w:r>
          </w:p>
        </w:tc>
      </w:tr>
    </w:tbl>
    <w:p w14:paraId="62278AC0" w14:textId="77777777" w:rsidR="00F61E74" w:rsidRDefault="00000000" w:rsidP="00F61E74">
      <w:pPr>
        <w:ind w:left="5154"/>
        <w:rPr>
          <w:sz w:val="16"/>
        </w:rPr>
        <w:sectPr w:rsidR="00F61E74" w:rsidSect="00F61E74">
          <w:pgSz w:w="11910" w:h="16840"/>
          <w:pgMar w:top="0" w:right="1300" w:bottom="280" w:left="1300" w:header="720" w:footer="720" w:gutter="0"/>
          <w:cols w:space="720"/>
        </w:sectPr>
      </w:pPr>
      <w:hyperlink r:id="rId12">
        <w:r w:rsidR="00F61E74">
          <w:rPr>
            <w:spacing w:val="-2"/>
            <w:sz w:val="16"/>
          </w:rPr>
          <w:t>http://journal.staihubbulwathan.id/index.php/alishlah</w:t>
        </w:r>
      </w:hyperlink>
    </w:p>
    <w:p w14:paraId="2202D23A" w14:textId="77777777" w:rsidR="00F61E74" w:rsidRDefault="00F61E74" w:rsidP="00F61E74">
      <w:pPr>
        <w:pStyle w:val="BodyText"/>
      </w:pPr>
    </w:p>
    <w:p w14:paraId="6147B2D1" w14:textId="77777777" w:rsidR="00F61E74" w:rsidRDefault="00F61E74" w:rsidP="00F61E74">
      <w:pPr>
        <w:pStyle w:val="Heading1"/>
        <w:numPr>
          <w:ilvl w:val="0"/>
          <w:numId w:val="1"/>
        </w:numPr>
        <w:tabs>
          <w:tab w:val="left" w:pos="568"/>
        </w:tabs>
      </w:pPr>
      <w:r>
        <w:rPr>
          <w:spacing w:val="-2"/>
        </w:rPr>
        <w:t>INTRODUCTION</w:t>
      </w:r>
    </w:p>
    <w:p w14:paraId="4AEDF428" w14:textId="514F3C09" w:rsidR="00846721" w:rsidRPr="00FF6CD3" w:rsidRDefault="00846721" w:rsidP="00C220C2">
      <w:pPr>
        <w:pStyle w:val="BodyText"/>
        <w:ind w:left="136" w:right="135" w:firstLine="720"/>
        <w:jc w:val="both"/>
      </w:pPr>
      <w:r w:rsidRPr="00FF6CD3">
        <w:t xml:space="preserve">School is a place for individuals to communicate with peers. A person's closeness to peers will affect self-disclosure through the way individuals think, behave, act which will result in confidence to reveal their identity. The ability of individuals to solve the problems they face will also be influenced by their self-disclosure. As stated by </w:t>
      </w:r>
      <w:r w:rsidR="00BB798B" w:rsidRPr="00FF6CD3">
        <w:fldChar w:fldCharType="begin" w:fldLock="1"/>
      </w:r>
      <w:r w:rsidR="000C62A8" w:rsidRPr="00FF6CD3">
        <w:instrText>ADDIN CSL_CITATION {"citationItems":[{"id":"ITEM-1","itemData":{"DOI":"10.1177/01650254221132777","ISSN":"14640651","abstract":"Adolescence is characterized by frequent emotional challenges, intense emotions, and higher levels of expressive suppression use than found in older populations. While evidence suggests that contingent expressive suppression use based on context is the most functional, it remains unclear whether adolescents use expressive suppression differentially based on social context. Because the peer relationship is highly salient in adolescence, the current study was designed to assess whether adolescents use expressive suppression differentially based on their social context. Adolescents (N = 179, Mage = 13.94, 49.2% female) reported emotional events using experience sampling via a smartphone application for 14 days. Multilevel modeling revealed that adolescents used less expressive suppression when they were alone compared with when they were with people, and used more expressive suppression when they were with their peers compared with when they were with family. In addition, more closeness with family predicted less overall expressive suppression use, while closeness with peers did not influence the level of expressive suppression use within the peer context. We discuss the importance of peer relations in adolescence and the relationship between closeness and emotional expression.","author":[{"dropping-particle":"","family":"Wylie","given":"Megan S.","non-dropping-particle":"","parse-names":false,"suffix":""},{"dropping-particle":"","family":"France","given":"Kalee","non-dropping-particle":"De","parse-names":false,"suffix":""},{"dropping-particle":"","family":"Hollenstein","given":"Tom","non-dropping-particle":"","parse-names":false,"suffix":""}],"container-title":"International Journal of Behavioral Development","id":"ITEM-1","issue":"1","issued":{"date-parts":[["2023"]]},"page":"1-8","title":"Adolescents suppress emotional expression more with peers compared to parents and less when they feel close to others","type":"article-journal","volume":"47"},"uris":["http://www.mendeley.com/documents/?uuid=6c92f09a-de8a-485b-a382-175d54fd8062"]}],"mendeley":{"formattedCitation":"(Wylie et al., 2023)","manualFormatting":"Wylie et al., (2023)","plainTextFormattedCitation":"(Wylie et al., 2023)","previouslyFormattedCitation":"(Wylie et al., 2023)"},"properties":{"noteIndex":0},"schema":"https://github.com/citation-style-language/schema/raw/master/csl-citation.json"}</w:instrText>
      </w:r>
      <w:r w:rsidR="00BB798B" w:rsidRPr="00FF6CD3">
        <w:fldChar w:fldCharType="separate"/>
      </w:r>
      <w:r w:rsidR="00BB798B" w:rsidRPr="00FF6CD3">
        <w:rPr>
          <w:noProof/>
        </w:rPr>
        <w:t xml:space="preserve">Wylie et al., </w:t>
      </w:r>
      <w:r w:rsidR="000C62A8" w:rsidRPr="00FF6CD3">
        <w:rPr>
          <w:noProof/>
        </w:rPr>
        <w:t>(</w:t>
      </w:r>
      <w:r w:rsidR="00BB798B" w:rsidRPr="00FF6CD3">
        <w:rPr>
          <w:noProof/>
        </w:rPr>
        <w:t>2023)</w:t>
      </w:r>
      <w:r w:rsidR="00BB798B" w:rsidRPr="00FF6CD3">
        <w:fldChar w:fldCharType="end"/>
      </w:r>
      <w:r w:rsidR="00BB798B" w:rsidRPr="00FF6CD3">
        <w:t xml:space="preserve"> </w:t>
      </w:r>
      <w:r w:rsidRPr="00FF6CD3">
        <w:t xml:space="preserve">that adolescents are closer to their peers than to their own parents. This can be due to adolescents having an opinion that friends are able to understand them better. Adolescent self-disclosure to friends or peers will be a medium to get advice, advice, and help needed to deal with the problems faced. </w:t>
      </w:r>
    </w:p>
    <w:p w14:paraId="25BC7E65" w14:textId="1D7EA5FB" w:rsidR="00846721" w:rsidRPr="00FF6CD3" w:rsidRDefault="000C62A8" w:rsidP="00C220C2">
      <w:pPr>
        <w:pStyle w:val="BodyText"/>
        <w:ind w:left="136" w:right="135" w:firstLine="720"/>
        <w:jc w:val="both"/>
      </w:pPr>
      <w:r w:rsidRPr="00FF6CD3">
        <w:fldChar w:fldCharType="begin" w:fldLock="1"/>
      </w:r>
      <w:r w:rsidRPr="00FF6CD3">
        <w:instrText>ADDIN CSL_CITATION {"citationItems":[{"id":"ITEM-1","itemData":{"DOI":"10.25217/0020236395700","ISBN":"0020236395","ISSN":"26141566","abstract":"Some adolescents who live in orphanages mayfeel a lack of affection from their parents during their development; So, some orphanage adolescents experience a lack of guidance in dealing with problems in life, including mental health problems. To prevent this, it is necessary to have an attitude of self-compassion and self-disclosure of adolescents to their foster parents. In addition, it is necessary to strengthen the spirituality of orphanage adolescents to prevent adolescents from mental health disorders. This study aims to find a match and habit of the model of the influence of self-compassion and self-disclosure through spirituality on the mental health of orphanage adolescenets. This research uses a survey method with a quantitative descriptive approach to correlational models. The study subjects were orphanage as many as 165 samples were taken randomly at 3 orphans in Yogyakarta. Research data were obtained from observations, interviews, and research questionnaires. Analyze the research data using SmartPLS version 3 software with a two-stage embedded second-order approach. The results of this study show that a match of the research model was found between structural results and empirical data. This study implies that strengthening mental health for adolescents living in foster care can be done by consistently instilling the value of spirituality and improving self-compassion attitudes.","author":[{"dropping-particle":"","family":"Aziz","given":"Akbar Nur","non-dropping-particle":"","parse-names":false,"suffix":""},{"dropping-particle":"","family":"Rahmatullah","given":"Azam Syukur","non-dropping-particle":"","parse-names":false,"suffix":""},{"dropping-particle":"","family":"Khilmiyah","given":"Akif","non-dropping-particle":"","parse-names":false,"suffix":""}],"container-title":"Islamic Guidance and Counseling Journal","id":"ITEM-1","issue":"2","issued":{"date-parts":[["2023"]]},"page":"1-19","title":"Effects of Self-Compassion and Self-Disclosure on Mental Health through Spirituality: A Study on Adolescents in Orphanages","type":"article-journal","volume":"6"},"uris":["http://www.mendeley.com/documents/?uuid=179772b6-8068-4562-b3fb-de55340faaf9"]}],"mendeley":{"formattedCitation":"(Aziz et al., 2023)","manualFormatting":"Aziz et al., (2023)","plainTextFormattedCitation":"(Aziz et al., 2023)","previouslyFormattedCitation":"(Aziz et al., 2023)"},"properties":{"noteIndex":0},"schema":"https://github.com/citation-style-language/schema/raw/master/csl-citation.json"}</w:instrText>
      </w:r>
      <w:r w:rsidRPr="00FF6CD3">
        <w:fldChar w:fldCharType="separate"/>
      </w:r>
      <w:r w:rsidRPr="00FF6CD3">
        <w:rPr>
          <w:noProof/>
        </w:rPr>
        <w:t>Aziz et al., (2023)</w:t>
      </w:r>
      <w:r w:rsidRPr="00FF6CD3">
        <w:fldChar w:fldCharType="end"/>
      </w:r>
      <w:r w:rsidRPr="00FF6CD3">
        <w:t xml:space="preserve"> </w:t>
      </w:r>
      <w:r w:rsidR="00846721" w:rsidRPr="00FF6CD3">
        <w:t xml:space="preserve">in self-disclosure can make individuals strong and confident in their social relationships and release feelings that become problems that exist in individuals. This is inversely proportional if an individual does not have good self-confidence, he is unable to behave as needed to get good things. </w:t>
      </w:r>
      <w:r w:rsidRPr="00FF6CD3">
        <w:fldChar w:fldCharType="begin" w:fldLock="1"/>
      </w:r>
      <w:r w:rsidR="00642074" w:rsidRPr="00FF6CD3">
        <w:instrText>ADDIN CSL_CITATION {"citationItems":[{"id":"ITEM-1","itemData":{"DOI":"10.1002/ijop.12957","ISSN":"1464066X","PMID":"37931920","abstract":"Reciprocal self-disclosure has reportedly been associated with increased interpersonal trust. However, existing research mainly focuses on online disclosure between acquaintances and overlooks the types of reciprocal disclosure, especially in the initial interactions between strangers communicating online. This study aimed to investigate how three types of reciprocal self-disclosure (turn-taking reciprocity, extended reciprocity and non-reciprocity) contribute to trust and the mechanism of positive interpersonal liking, and whether any effect was instant and stable or increased across two interactions during computer-mediated communication (CMC). Participants were assigned to one of the three reciprocal disclosure conditions and engaged in online interactions. Self-reported and behavioural results demonstrated higher levels of interpersonal trust and liking in the second interaction phase than in the first across all conditions. The turn-taking reciprocity condition showed higher interpersonal trust than did the extended condition, and higher interpersonal liking than did the extended and non-reciprocity conditions; this effect was apparent in both interactions. These findings help us understand the relationship between online self-disclosure and interpersonal trust, suggesting that certain patterns of communication with strangers (e.g., turn-taking reciprocity) may foster more positive social outcomes during CMC over time, while demonstrating the importance of immediacy in synchronous conversations.","author":[{"dropping-particle":"","family":"Chen","given":"Qiong","non-dropping-particle":"","parse-names":false,"suffix":""},{"dropping-particle":"","family":"Zhang","given":"Qianqian","non-dropping-particle":"","parse-names":false,"suffix":""},{"dropping-particle":"","family":"Zhao","given":"Siping","non-dropping-particle":"","parse-names":false,"suffix":""},{"dropping-particle":"","family":"Li","given":"Caina","non-dropping-particle":"","parse-names":false,"suffix":""}],"container-title":"International Journal of Psychology","id":"ITEM-1","issue":"1","issued":{"date-parts":[["2024"]]},"page":"143-154","title":"Trusting strangers: The benefits of reciprocal self-disclosure during online computer-mediated communication and mediating role of interpersonal liking","type":"article-journal","volume":"59"},"uris":["http://www.mendeley.com/documents/?uuid=283fde23-01ad-4790-972c-113dc600df52"]}],"mendeley":{"formattedCitation":"(Chen et al., 2024)","manualFormatting":"Chen et al., (2024)","plainTextFormattedCitation":"(Chen et al., 2024)","previouslyFormattedCitation":"(Chen et al., 2024)"},"properties":{"noteIndex":0},"schema":"https://github.com/citation-style-language/schema/raw/master/csl-citation.json"}</w:instrText>
      </w:r>
      <w:r w:rsidRPr="00FF6CD3">
        <w:fldChar w:fldCharType="separate"/>
      </w:r>
      <w:r w:rsidRPr="00FF6CD3">
        <w:rPr>
          <w:noProof/>
        </w:rPr>
        <w:t>Chen et al., (2024)</w:t>
      </w:r>
      <w:r w:rsidRPr="00FF6CD3">
        <w:fldChar w:fldCharType="end"/>
      </w:r>
      <w:r w:rsidR="00846721" w:rsidRPr="00FF6CD3">
        <w:t xml:space="preserve"> that the most consistent and frequently cited finding regarding the interpersonal effects of self-disclosure is the reciprocal relationship of self-disclosure. This is related to the greater likelihood that individuals who receive self-disclosure will respond by revealing information about themselves based on their level of familiarity.</w:t>
      </w:r>
    </w:p>
    <w:p w14:paraId="4B49B6B1" w14:textId="7C171D67" w:rsidR="00846721" w:rsidRPr="00FF6CD3" w:rsidRDefault="00846721" w:rsidP="00C220C2">
      <w:pPr>
        <w:pStyle w:val="BodyText"/>
        <w:ind w:left="136" w:right="135" w:firstLine="720"/>
        <w:jc w:val="both"/>
      </w:pPr>
      <w:r w:rsidRPr="00FF6CD3">
        <w:t xml:space="preserve">Based on </w:t>
      </w:r>
      <w:r w:rsidR="00642074" w:rsidRPr="00FF6CD3">
        <w:fldChar w:fldCharType="begin" w:fldLock="1"/>
      </w:r>
      <w:r w:rsidR="00AE4FE3" w:rsidRPr="00FF6CD3">
        <w:instrText>ADDIN CSL_CITATION {"citationItems":[{"id":"ITEM-1","itemData":{"author":[{"dropping-particle":"","family":"Patel","given":"Nilesh Kumar","non-dropping-particle":"","parse-names":false,"suffix":""}],"container-title":"Research Reflectica","id":"ITEM-1","issue":"March","issued":{"date-parts":[["2023"]]},"page":"1-11","title":"The Study of Correlation Between Self-Disclosure and Students Liking of Secondary School Teachers","type":"article-journal","volume":"1"},"uris":["http://www.mendeley.com/documents/?uuid=a2564c20-87d1-41e2-bf90-1fbe78718525"]}],"mendeley":{"formattedCitation":"(Patel, 2023)","manualFormatting":"Patel (2023)","plainTextFormattedCitation":"(Patel, 2023)","previouslyFormattedCitation":"(Patel, 2023)"},"properties":{"noteIndex":0},"schema":"https://github.com/citation-style-language/schema/raw/master/csl-citation.json"}</w:instrText>
      </w:r>
      <w:r w:rsidR="00642074" w:rsidRPr="00FF6CD3">
        <w:fldChar w:fldCharType="separate"/>
      </w:r>
      <w:r w:rsidR="00642074" w:rsidRPr="00FF6CD3">
        <w:rPr>
          <w:noProof/>
        </w:rPr>
        <w:t>Patel (2023)</w:t>
      </w:r>
      <w:r w:rsidR="00642074" w:rsidRPr="00FF6CD3">
        <w:fldChar w:fldCharType="end"/>
      </w:r>
      <w:r w:rsidR="00642074" w:rsidRPr="00FF6CD3">
        <w:t xml:space="preserve"> </w:t>
      </w:r>
      <w:r w:rsidRPr="00FF6CD3">
        <w:t>the BK teacher's statement that they still find students who find it difficult to do self-disclosure honestly, and openly talk about feelings, thoughts, and personal experiences that they are experiencing both to peers, teachers at school and parents. As experienced by one of the students, the student's parents felt that their child had no problems at school because when he returned home from school his child went straight home, but something different was found by the teacher at school when the student tried to open up to the teacher, it turned out that the student when at home felt lonely because both parents worked from morning to evening so that to fill free time was only spent watching sites that were not friendly to a student</w:t>
      </w:r>
      <w:r w:rsidR="00C71901" w:rsidRPr="00FF6CD3">
        <w:t xml:space="preserve"> </w:t>
      </w:r>
      <w:r w:rsidR="00C71901" w:rsidRPr="00FF6CD3">
        <w:fldChar w:fldCharType="begin" w:fldLock="1"/>
      </w:r>
      <w:r w:rsidR="00C71901" w:rsidRPr="00FF6CD3">
        <w:instrText>ADDIN CSL_CITATION {"citationItems":[{"id":"ITEM-1","itemData":{"DOI":"10.1080/14733285.2024.2310566","ISSN":"14733277","abstract":"This article exposes the spatial dimensions that children seek to support their alone time needs in the family home, based on empirical data from the At Home with Children research project. Domestic ideals problematise child alone time at home as a threat to family togetherness. In turn, housing foregrounds this idea through the move towards open-plan living and overcrowding policy's indifference to children’s ‘alone space’ needs. This article offers new thinking by exploring the perspectives of children and teenagers on the everyday spatial negotiation of their alone time needs while at home with family during COVID-19 lockdown. Findings from semi-structured interviews with 45 families living across England and Scotland, UK, reveal that both children and teenagers seek spaces for alone time to enable four core experiences: privacy, agency, ownership, and restoration. Here, associated dimensions of space are identified by children and teenagers, contributing new understandings to children’s domestic geographies and showing the relevance of space for alone time, to children’s well-being, fundamentally challenging adult-centred constructions of family togetherness. The article's focus on the voiced needs of children sets a new agenda for the housing standards, with major policy implications for measures of occupation density, which can enable children's well-being.","author":[{"dropping-particle":"","family":"Santos","given":"Sandra Costa","non-dropping-particle":"","parse-names":false,"suffix":""},{"dropping-particle":"","family":"Parnell","given":"Rosie","non-dropping-particle":"","parse-names":false,"suffix":""},{"dropping-particle":"","family":"Abo Kanon","given":"Husam","non-dropping-particle":"","parse-names":false,"suffix":""},{"dropping-particle":"","family":"Pattinson","given":"Emily","non-dropping-particle":"","parse-names":false,"suffix":""},{"dropping-particle":"","family":"Pitsikali","given":"Alkistis","non-dropping-particle":"","parse-names":false,"suffix":""},{"dropping-particle":"","family":"Sarhan","given":"Heba","non-dropping-particle":"","parse-names":false,"suffix":""}],"container-title":"Children's Geographies","id":"ITEM-1","issued":{"date-parts":[["2024"]]},"page":"513-529","title":"Nice To Get Some Alone Time’: Children’S Spatial Negotiation of Alone Time Needs in the Family Home","type":"article-journal"},"uris":["http://www.mendeley.com/documents/?uuid=1ddced1c-49cc-4f11-a3f8-f3ab7f6068d7"]}],"mendeley":{"formattedCitation":"(Santos et al., 2024)","plainTextFormattedCitation":"(Santos et al., 2024)","previouslyFormattedCitation":"(Santos et al., 2024)"},"properties":{"noteIndex":0},"schema":"https://github.com/citation-style-language/schema/raw/master/csl-citation.json"}</w:instrText>
      </w:r>
      <w:r w:rsidR="00C71901" w:rsidRPr="00FF6CD3">
        <w:fldChar w:fldCharType="separate"/>
      </w:r>
      <w:r w:rsidR="00C71901" w:rsidRPr="00FF6CD3">
        <w:rPr>
          <w:noProof/>
        </w:rPr>
        <w:t>(Santos et al., 2024)</w:t>
      </w:r>
      <w:r w:rsidR="00C71901" w:rsidRPr="00FF6CD3">
        <w:fldChar w:fldCharType="end"/>
      </w:r>
      <w:r w:rsidRPr="00FF6CD3">
        <w:t>.</w:t>
      </w:r>
    </w:p>
    <w:p w14:paraId="65F28182" w14:textId="77777777" w:rsidR="00846721" w:rsidRPr="00FF6CD3" w:rsidRDefault="00846721" w:rsidP="00C220C2">
      <w:pPr>
        <w:pStyle w:val="BodyText"/>
        <w:ind w:left="136" w:right="135" w:firstLine="720"/>
        <w:jc w:val="both"/>
      </w:pPr>
      <w:r w:rsidRPr="00FF6CD3">
        <w:t>Based on the phenomenon of self-disclosure in Yogyakarta State Junior High School students, the questionnaire results obtained from 71 students as many as 45% of students belonged to a state of low self-disclosure, 33.8% of students belonged to a state of self-disclosure in the medium category, 21.2% of students belonged to a state of self-disclosure in the high category. Self-openness found that students are still difficult to communicate their problems with friends and teachers at school, there are students who are in groups in their friendship environment, so that to get into the group they try to follow the habits of the group of friends.</w:t>
      </w:r>
    </w:p>
    <w:p w14:paraId="235F56EF" w14:textId="6DECED72" w:rsidR="00846721" w:rsidRPr="00FF6CD3" w:rsidRDefault="00846721" w:rsidP="00C220C2">
      <w:pPr>
        <w:pStyle w:val="BodyText"/>
        <w:ind w:left="136" w:right="135" w:firstLine="720"/>
        <w:jc w:val="both"/>
      </w:pPr>
      <w:r w:rsidRPr="00FF6CD3">
        <w:t xml:space="preserve">To overcome this problem, an effective counseling approach is needed. One method that is considered potential is group counseling using assertive training techniques. </w:t>
      </w:r>
      <w:r w:rsidR="00C71901" w:rsidRPr="00FF6CD3">
        <w:fldChar w:fldCharType="begin" w:fldLock="1"/>
      </w:r>
      <w:r w:rsidR="00E01386" w:rsidRPr="00FF6CD3">
        <w:instrText>ADDIN CSL_CITATION {"citationItems":[{"id":"ITEM-1","itemData":{"DOI":"10.51276/edu.v2i1.113","ISSN":"2722-5194","abstract":"Abstract: There are varoius techniques in the counseling approach which are implemented according to the counselee's problem. One of the popular counseling techniques in the behavioral approach is called the behavioral contract. The purpose of this study was to develop a group counseling stage design of the behavioral contract technique to solve the student's academic procrastination problem. Development of the group counseling stage design of the behavioral contract technique used the Borg and Gall development model. The development of the design consist of three stages which begins with the need asessment stage, the product development planning stage, and the initial product development stage. The data collection technique was conducted by interviewing 5 counseling teachers from different schools. Product validation was carried out with expert counseling expert judgment with 3 revisions. The result was the design of the behavioral contract technique group counseling stage can be applied in counseling service in schools that was consisting of 3 stages, namely: the beginning stage, the working stage, and the terminating stage. Each stage of the group counseling contains activity steps that should be done. Design of group counseling with behavioral contract technique is compiled for 8 meetings with a duration of 45 minutes per meeting. This research is only up to the third stages, namely developing the initial product. Therefore, the next step in this research will be further developed and published in another article. Abstrak: Teknik dalam pendekatan konseling sangat bermacam-macam yang dapat digunakan sesuai dengan masalah konseli. Salah satu  teknik konseling dalam pendekatan behavior yaitu teknik behavioral contract. Tujuan penelitian ini adalah mengembangkan rancangan tahapan konseling kelompok teknik behavioral contract untuk mengatasi masalah prokrastinasi akademik siswa. Pengembangan rancangan konseling kelompok  teknik behavioral contract menggunakan model pengembangan Borg and Gall. Pengembangan produk rancangan ini terdiri dari 3 tahapan, diawali dari tahap asesmen kebutuhan, tahap perencanaan mengembangkan produk, dan tahap mengembangkan produk awal. Teknik pengumpulan data dilakukan dengan wawancara kepada 5 orang guru bimbingan konseling yang berbeda sekolah. Validasi produk dilakukan dengan expert judgement ahli konseling sebanyak 3 kali revisi. Hasilnya adalah rancangan tahapan konseling kelompok dengan teknik behavioral contract dapat di…","author":[{"dropping-particle":"","family":"Sari","given":"Alfiani Fernita","non-dropping-particle":"","parse-names":false,"suffix":""},{"dropping-particle":"","family":"Ayriza","given":"Yulia","non-dropping-particle":"","parse-names":false,"suffix":""}],"container-title":"Edunesia : Jurnal Ilmiah Pendidikan","id":"ITEM-1","issue":"1","issued":{"date-parts":[["2021"]]},"page":"189-199","title":"The Development Design of Group Counseling With Behavioral Contract Technique To Reduce Students’ Academic Procrastination Behavior","type":"article-journal","volume":"2"},"uris":["http://www.mendeley.com/documents/?uuid=0e9137b1-b994-4d61-a5e6-4ba712abb6ad"]}],"mendeley":{"formattedCitation":"(Sari &amp; Ayriza, 2021)","manualFormatting":"Sari &amp; Ayriza (2021)","plainTextFormattedCitation":"(Sari &amp; Ayriza, 2021)","previouslyFormattedCitation":"(Sari &amp; Ayriza, 2021)"},"properties":{"noteIndex":0},"schema":"https://github.com/citation-style-language/schema/raw/master/csl-citation.json"}</w:instrText>
      </w:r>
      <w:r w:rsidR="00C71901" w:rsidRPr="00FF6CD3">
        <w:fldChar w:fldCharType="separate"/>
      </w:r>
      <w:r w:rsidR="00C71901" w:rsidRPr="00FF6CD3">
        <w:rPr>
          <w:noProof/>
        </w:rPr>
        <w:t>Sari &amp; Ayriza (2021)</w:t>
      </w:r>
      <w:r w:rsidR="00C71901" w:rsidRPr="00FF6CD3">
        <w:fldChar w:fldCharType="end"/>
      </w:r>
      <w:r w:rsidRPr="00FF6CD3">
        <w:t xml:space="preserve">stated that the use of group counseling is very effective because it is efficient to help counselees who have similar problems and goals can be used as a medium for sharing ideas, thoughts, and experiences by fellow group members. Furthermore, </w:t>
      </w:r>
      <w:r w:rsidR="00E01386" w:rsidRPr="00FF6CD3">
        <w:fldChar w:fldCharType="begin" w:fldLock="1"/>
      </w:r>
      <w:r w:rsidR="00E01386" w:rsidRPr="00FF6CD3">
        <w:instrText>ADDIN CSL_CITATION {"citationItems":[{"id":"ITEM-1","itemData":{"DOI":"10.1177/0306624X241227409","ISSN":"15526933","abstract":"Existing research has demonstrated the benefits of therapist self-disclosure (TSD) in strengthening therapeutic alliance. However, little is known about its effectiveness in the forensic context. The current research sought to address this gap by interviewing six Compassion Focused (CFT) therapists who had experience of working across a range of forensic settings. Results of an Interpretative Phenomenological Analysis (IPA) indicated that all participants advocated using TSD as a powerful therapeutic tool when working with forensic clients. However, there was a tension between balancing risk with the rewards of TSD, and participants expressed how the secure forensic environment was not conducive to its use. There was a consensus that TSD was more strongly discouraged with clients who had sexual convictions. For some, this had an impact on their own disclosures. Training on the function of TSD is recommended in forensic practice to address some of the environmental barriers to its implementation.","author":[{"dropping-particle":"","family":"Rachwal","given":"Francesca","non-dropping-particle":"","parse-names":false,"suffix":""},{"dropping-particle":"","family":"Gredecki","given":"Neil","non-dropping-particle":"","parse-names":false,"suffix":""}],"container-title":"International Journal of Offender Therapy and Comparative Criminology","id":"ITEM-1","issued":{"date-parts":[["2024"]]},"title":"A Phenomenological Investigation into the Use of Therapist Self-disclosure in Compassion-Focused Therapy With Forensic Clients","type":"article-journal"},"uris":["http://www.mendeley.com/documents/?uuid=17d07e97-c5b0-4be2-a563-19797c8be84b"]}],"mendeley":{"formattedCitation":"(Rachwal &amp; Gredecki, 2024)","manualFormatting":"Rachwal &amp; Gredecki (2024)","plainTextFormattedCitation":"(Rachwal &amp; Gredecki, 2024)","previouslyFormattedCitation":"(Rachwal &amp; Gredecki, 2024)"},"properties":{"noteIndex":0},"schema":"https://github.com/citation-style-language/schema/raw/master/csl-citation.json"}</w:instrText>
      </w:r>
      <w:r w:rsidR="00E01386" w:rsidRPr="00FF6CD3">
        <w:fldChar w:fldCharType="separate"/>
      </w:r>
      <w:r w:rsidR="00E01386" w:rsidRPr="00FF6CD3">
        <w:rPr>
          <w:noProof/>
        </w:rPr>
        <w:t>Rachwal &amp; Gredecki (2024)</w:t>
      </w:r>
      <w:r w:rsidR="00E01386" w:rsidRPr="00FF6CD3">
        <w:fldChar w:fldCharType="end"/>
      </w:r>
      <w:r w:rsidRPr="00FF6CD3">
        <w:t xml:space="preserve"> also stated that basically in the implementation of group counseling counselors must use a theoretical approach, and assertive training techniques are one of the approaches that can support students to understand and improve self-disclosure.</w:t>
      </w:r>
    </w:p>
    <w:p w14:paraId="56ACB3AC" w14:textId="7D695E2C" w:rsidR="00846721" w:rsidRPr="00FF6CD3" w:rsidRDefault="00846721" w:rsidP="00E01386">
      <w:pPr>
        <w:pStyle w:val="BodyText"/>
        <w:ind w:left="136" w:right="135" w:firstLine="720"/>
        <w:jc w:val="both"/>
      </w:pPr>
      <w:r w:rsidRPr="00FF6CD3">
        <w:t xml:space="preserve">According to </w:t>
      </w:r>
      <w:r w:rsidR="00E01386" w:rsidRPr="00FF6CD3">
        <w:fldChar w:fldCharType="begin" w:fldLock="1"/>
      </w:r>
      <w:r w:rsidR="00E01386" w:rsidRPr="00FF6CD3">
        <w:instrText>ADDIN CSL_CITATION {"citationItems":[{"id":"ITEM-1","itemData":{"DOI":"10.2147/JMDH.S460343","ISSN":"11782390","abstract":"Bullying is a global problem in adolescents which has increased every year. One of the factors in the occurrence of bullying is the ability of interpersonal skills. This ability can build good relationships with assertive between adolescents and can prevent bullying. The purpose of this study is to describe assertiveness therapy for reducing bullying behavior and its impacts among adolescents. The method used in this study is scoping review. The search strategy used is PRISMA Extension for Scoping Reviews through three databases namely, CINAHL, and Scopus. The authors used inclusion criteria and exclusion criteria in the selection of articles. The major keywords used in the article search were bullying, assertiveness therapy, and adolescents. Data analysis used descriptive qualitative. The results showed that there were 10 articles that discussed assertive therapy. All articles show that assertiveness therapy can reduce bullying behavior and its impact significantly, such as reducing the impact of anxiety and increasing self-esteem. Assertiveness therapy methods carried out in the form of education, games, and role play. Education is carried out online and offline. Educational media is provided directly and through media such as educational videos which can be accessed at any time. Gender and cultural approaches are important aspects in the implementation of assertive therapy. Assertive therapy can improve interpersonal skills, social skills, empathy and assertiveness so that it can reduce bullying behavior and its impacts in adolescents. Then, this data becomes the basis for nurses to carry out assertive therapy as an effort to prevent and reduce bullying behavior in adolescents.","author":[{"dropping-particle":"","family":"Yosep","given":"Iyus","non-dropping-particle":"","parse-names":false,"suffix":""},{"dropping-particle":"","family":"Suryani","given":"Suryani","non-dropping-particle":"","parse-names":false,"suffix":""},{"dropping-particle":"","family":"Mediani","given":"Henny Suzana","non-dropping-particle":"","parse-names":false,"suffix":""},{"dropping-particle":"","family":"Mardhiyah","given":"Ai","non-dropping-particle":"","parse-names":false,"suffix":""},{"dropping-particle":"","family":"Maulana","given":"Indra","non-dropping-particle":"","parse-names":false,"suffix":""},{"dropping-particle":"","family":"Hernawaty","given":"Taty","non-dropping-particle":"","parse-names":false,"suffix":""},{"dropping-particle":"","family":"Hazmi","given":"Helmy","non-dropping-particle":"","parse-names":false,"suffix":""}],"container-title":"Journal of Multidisciplinary Healthcare","id":"ITEM-1","issued":{"date-parts":[["2024"]]},"page":"1777-1790","title":"A Scoping Review of Assertiveness Therapy for Reducing Bullying Behavior and Its Impacts Among Adolescents","type":"article-journal","volume":"17"},"uris":["http://www.mendeley.com/documents/?uuid=f1fe2ccd-4a59-4ac9-8418-4b99bbfd9e02"]}],"mendeley":{"formattedCitation":"(Yosep et al., 2024)","manualFormatting":"Yosep et al., (2024)","plainTextFormattedCitation":"(Yosep et al., 2024)","previouslyFormattedCitation":"(Yosep et al., 2024)"},"properties":{"noteIndex":0},"schema":"https://github.com/citation-style-language/schema/raw/master/csl-citation.json"}</w:instrText>
      </w:r>
      <w:r w:rsidR="00E01386" w:rsidRPr="00FF6CD3">
        <w:fldChar w:fldCharType="separate"/>
      </w:r>
      <w:r w:rsidR="00E01386" w:rsidRPr="00FF6CD3">
        <w:rPr>
          <w:noProof/>
        </w:rPr>
        <w:t>Yosep et al., (2024)</w:t>
      </w:r>
      <w:r w:rsidR="00E01386" w:rsidRPr="00FF6CD3">
        <w:fldChar w:fldCharType="end"/>
      </w:r>
      <w:r w:rsidR="00E01386" w:rsidRPr="00FF6CD3">
        <w:t xml:space="preserve"> </w:t>
      </w:r>
      <w:r w:rsidRPr="00FF6CD3">
        <w:t xml:space="preserve">assertive training is in behavioral counseling which focuses on cases that have difficulty in feelings that are not appropriate in expressing them. Meanwhile, </w:t>
      </w:r>
      <w:r w:rsidR="00E01386" w:rsidRPr="00FF6CD3">
        <w:fldChar w:fldCharType="begin" w:fldLock="1"/>
      </w:r>
      <w:r w:rsidR="00E01386" w:rsidRPr="00FF6CD3">
        <w:instrText>ADDIN CSL_CITATION {"citationItems":[{"id":"ITEM-1","itemData":{"DOI":"10.47743/saeb-2024-0018","ISSN":"25013165","abstract":"The importance of interpersonal communication skills in the business environment will only increase as the world undergoes trends of globalization and digitization, as well as various crises. The factors that affect interpersonal skills, such as life experience, situational factors, and individual characteristics, are difficult to isolate. Among the prominent antecedents of interpersonal communication effectiveness are personality characteristics. The current study used one-time training to examine how personality traits and interpersonal skills relate among 127 managers from a wide variety of professions in Israel. The current study confirmed the effect of personality characteristics on interpersonal communication skills, albeit weakly. A significant improvement was found in the Emotional stability following the training. Participating in the training changed the way people associate personality traits with Interaction management. An in-depth study of an intervening variable found that those with low extraversion and high conscientiousness improved assertiveness, empathy, supportiveness, openness to experience, and self-disclosure, in contrast to those with less solid personality characteristics who showed a smaller improvement or even decreased in these skills. Our findings have important implications for increasing the effectiveness of interpersonal skills training.","author":[{"dropping-particle":"","family":"Efrat","given":"Alon","non-dropping-particle":"","parse-names":false,"suffix":""},{"dropping-particle":"","family":"Zaiț","given":"Adriana","non-dropping-particle":"","parse-names":false,"suffix":""}],"container-title":"Scientific Annals of Economics and Business","id":"ITEM-1","issue":"2","issued":{"date-parts":[["2024"]]},"page":"265-283","title":"The Effect of Personality Characteristics on the Development of Interpersonal Communication Skills Through One-Time Training","type":"article-journal","volume":"71"},"uris":["http://www.mendeley.com/documents/?uuid=d3572c67-a5f3-4361-8385-ea6de0600813"]}],"mendeley":{"formattedCitation":"(Efrat &amp; Zaiț, 2024)","manualFormatting":"Efrat &amp; Zaiț (2024)","plainTextFormattedCitation":"(Efrat &amp; Zaiț, 2024)","previouslyFormattedCitation":"(Efrat &amp; Zaiț, 2024)"},"properties":{"noteIndex":0},"schema":"https://github.com/citation-style-language/schema/raw/master/csl-citation.json"}</w:instrText>
      </w:r>
      <w:r w:rsidR="00E01386" w:rsidRPr="00FF6CD3">
        <w:fldChar w:fldCharType="separate"/>
      </w:r>
      <w:r w:rsidR="00E01386" w:rsidRPr="00FF6CD3">
        <w:rPr>
          <w:noProof/>
        </w:rPr>
        <w:t>Efrat &amp; Zaiț (2024)</w:t>
      </w:r>
      <w:r w:rsidR="00E01386" w:rsidRPr="00FF6CD3">
        <w:fldChar w:fldCharType="end"/>
      </w:r>
      <w:r w:rsidR="00E01386" w:rsidRPr="00FF6CD3">
        <w:t xml:space="preserve"> </w:t>
      </w:r>
      <w:r w:rsidRPr="00FF6CD3">
        <w:t>concluded that assertive training is assertiveness training which is an activity carried out to assist individuals in developing more direct ways of relating in interpersonal situations.</w:t>
      </w:r>
      <w:r w:rsidR="00E01386" w:rsidRPr="00FF6CD3">
        <w:t xml:space="preserve"> </w:t>
      </w:r>
      <w:r w:rsidR="00E01386" w:rsidRPr="00FF6CD3">
        <w:fldChar w:fldCharType="begin" w:fldLock="1"/>
      </w:r>
      <w:r w:rsidR="007F0E57" w:rsidRPr="00FF6CD3">
        <w:instrText>ADDIN CSL_CITATION {"citationItems":[{"id":"ITEM-1","itemData":{"DOI":"10.37680/scaffolding.v6i2.5618","author":[{"dropping-particle":"","family":"Wenny Widiasti","given":"Alfin Siregar","non-dropping-particle":"","parse-names":false,"suffix":""}],"container-title":"Jurnal Pendidikan Islam dan Multikulturalisme","id":"ITEM-1","issue":"2","issued":{"date-parts":[["2024"]]},"page":"174-185","title":"Effectiveness of Group Counseling Services To Help Students","type":"article-journal","volume":"6"},"uris":["http://www.mendeley.com/documents/?uuid=91d5090e-45b7-46ca-933b-aae0cab8114c"]}],"mendeley":{"formattedCitation":"(Wenny Widiasti, 2024)","manualFormatting":"Wenny Widiasti (2024)","plainTextFormattedCitation":"(Wenny Widiasti, 2024)","previouslyFormattedCitation":"(Wenny Widiasti, 2024)"},"properties":{"noteIndex":0},"schema":"https://github.com/citation-style-language/schema/raw/master/csl-citation.json"}</w:instrText>
      </w:r>
      <w:r w:rsidR="00E01386" w:rsidRPr="00FF6CD3">
        <w:fldChar w:fldCharType="separate"/>
      </w:r>
      <w:r w:rsidR="00E01386" w:rsidRPr="00FF6CD3">
        <w:rPr>
          <w:noProof/>
        </w:rPr>
        <w:t>Wenny Widiasti (2024)</w:t>
      </w:r>
      <w:r w:rsidR="00E01386" w:rsidRPr="00FF6CD3">
        <w:fldChar w:fldCharType="end"/>
      </w:r>
      <w:r w:rsidR="00E01386" w:rsidRPr="00FF6CD3">
        <w:t xml:space="preserve"> </w:t>
      </w:r>
      <w:r w:rsidRPr="00FF6CD3">
        <w:t xml:space="preserve">reveals that the basic assumption of assertive training is the application of behavioral training with the aim of helping individuals develop more direct ways of relating in interpersonal situations. The focus is on practicing through role-playing, newly acquired social skills so that individuals are expected to be able to overcome their inadequacies and learn to express their feelings and thoughts more openly with the belief that they have the right to show an open reaction someone has the right to express or express themselves. </w:t>
      </w:r>
    </w:p>
    <w:p w14:paraId="3A75A8AC" w14:textId="243D957F" w:rsidR="00846721" w:rsidRPr="00FF6CD3" w:rsidRDefault="007F0E57" w:rsidP="00C220C2">
      <w:pPr>
        <w:pStyle w:val="BodyText"/>
        <w:ind w:left="136" w:right="135" w:firstLine="720"/>
        <w:jc w:val="both"/>
      </w:pPr>
      <w:r w:rsidRPr="00FF6CD3">
        <w:t xml:space="preserve">State </w:t>
      </w:r>
      <w:r w:rsidR="00846721" w:rsidRPr="00FF6CD3">
        <w:t>that the application of assertive training techniques is a very effective technique for increasing social interactions, where social interactions can through the provision of assertive training techniques, students can eliminate negative thoughts such as feeling unsure, helpless, unmotivated, not open to friends and feeling that they do not have the skills or ability to refuse or say something to their friends</w:t>
      </w:r>
      <w:r w:rsidRPr="00FF6CD3">
        <w:t xml:space="preserve"> </w:t>
      </w:r>
      <w:r w:rsidRPr="00FF6CD3">
        <w:fldChar w:fldCharType="begin" w:fldLock="1"/>
      </w:r>
      <w:r w:rsidRPr="00FF6CD3">
        <w:instrText>ADDIN CSL_CITATION {"citationItems":[{"id":"ITEM-1","itemData":{"author":[{"dropping-particle":"","family":"Joni Afri, Freddi Sarman","given":"Rully Andiyaksa","non-dropping-particle":"","parse-names":false,"suffix":""}],"container-title":"Pedagogy Review","id":"ITEM-1","issue":"November","issued":{"date-parts":[["2022"]]},"page":"55-61","title":"Improve Students' Assertive Behavior using Assertive Training Techniques in Tenth Grade Students of Adhyaksa Jambi","type":"article-journal","volume":"1"},"uris":["http://www.mendeley.com/documents/?uuid=d36fd200-be22-4d47-8c91-458f61d4a070"]}],"mendeley":{"formattedCitation":"(Joni Afri, Freddi Sarman, 2022)","manualFormatting":"(Afri, 2022)","plainTextFormattedCitation":"(Joni Afri, Freddi Sarman, 2022)","previouslyFormattedCitation":"(Joni Afri, Freddi Sarman, 2022)"},"properties":{"noteIndex":0},"schema":"https://github.com/citation-style-language/schema/raw/master/csl-citation.json"}</w:instrText>
      </w:r>
      <w:r w:rsidRPr="00FF6CD3">
        <w:fldChar w:fldCharType="separate"/>
      </w:r>
      <w:r w:rsidRPr="00FF6CD3">
        <w:rPr>
          <w:noProof/>
        </w:rPr>
        <w:t>(Afri, 2022)</w:t>
      </w:r>
      <w:r w:rsidRPr="00FF6CD3">
        <w:fldChar w:fldCharType="end"/>
      </w:r>
      <w:r w:rsidR="00846721" w:rsidRPr="00FF6CD3">
        <w:t xml:space="preserve">. According to Bruno, assertive training theory is assumed because many humans </w:t>
      </w:r>
      <w:r w:rsidR="00846721" w:rsidRPr="00FF6CD3">
        <w:lastRenderedPageBreak/>
        <w:t xml:space="preserve">suffer from feelings of anxiety, unhappiness, and even depression due to not being able to defend their rights and defend their personal interests </w:t>
      </w:r>
      <w:r w:rsidRPr="00FF6CD3">
        <w:fldChar w:fldCharType="begin" w:fldLock="1"/>
      </w:r>
      <w:r w:rsidRPr="00FF6CD3">
        <w:instrText>ADDIN CSL_CITATION {"citationItems":[{"id":"ITEM-1","itemData":{"author":[{"dropping-particle":"","family":"Afu","given":"Maria O","non-dropping-particle":"","parse-names":false,"suffix":""}],"container-title":"International Journal of Education and National Development","id":"ITEM-1","issue":"3","issued":{"date-parts":[["2023"]]},"page":"54-74","title":"Relationship between Insecurity , Depression and Students Academic Achievement in Nigeria : Implication for Guidance","type":"article-journal","volume":"1"},"uris":["http://www.mendeley.com/documents/?uuid=bcb5a225-8b55-4a1a-8b69-0a0c6444e30d"]}],"mendeley":{"formattedCitation":"(Afu, 2023)","plainTextFormattedCitation":"(Afu, 2023)","previouslyFormattedCitation":"(Afu, 2023)"},"properties":{"noteIndex":0},"schema":"https://github.com/citation-style-language/schema/raw/master/csl-citation.json"}</w:instrText>
      </w:r>
      <w:r w:rsidRPr="00FF6CD3">
        <w:fldChar w:fldCharType="separate"/>
      </w:r>
      <w:r w:rsidRPr="00FF6CD3">
        <w:rPr>
          <w:noProof/>
        </w:rPr>
        <w:t>(Afu, 2023)</w:t>
      </w:r>
      <w:r w:rsidRPr="00FF6CD3">
        <w:fldChar w:fldCharType="end"/>
      </w:r>
      <w:r w:rsidR="00846721" w:rsidRPr="00FF6CD3">
        <w:t>. Lazarus revealed that the purpose of assertive training is to improve a person's interpersonal skills to be able to say no, make requests, express feelings positively or negatively, be able to open and end a conversation</w:t>
      </w:r>
      <w:r w:rsidR="00196C31" w:rsidRPr="00FF6CD3">
        <w:rPr>
          <w:rFonts w:eastAsia="Times New Roman" w:cs="Times New Roman"/>
          <w:color w:val="000000"/>
        </w:rPr>
        <w:t xml:space="preserve"> </w:t>
      </w:r>
      <w:r w:rsidR="00196C31" w:rsidRPr="00FF6CD3">
        <w:rPr>
          <w:rFonts w:eastAsia="Times New Roman" w:cs="Times New Roman"/>
          <w:color w:val="000000"/>
        </w:rPr>
        <w:fldChar w:fldCharType="begin" w:fldLock="1"/>
      </w:r>
      <w:r w:rsidR="00FF6CD3" w:rsidRPr="00FF6CD3">
        <w:rPr>
          <w:rFonts w:eastAsia="Times New Roman" w:cs="Times New Roman"/>
          <w:color w:val="000000"/>
        </w:rPr>
        <w:instrText>ADDIN CSL_CITATION {"citationItems":[{"id":"ITEM-1","itemData":{"abstract":"… selfefficacy post intervention. The total mean score of the participants dietary self-efficacy … indicate that the intervention was effective in improving the participants dietary self-efficacy. …","author":[{"dropping-particle":"","family":"Mokadem","given":"NMEL","non-dropping-particle":"","parse-names":false,"suffix":""},{"dropping-particle":"","family":"Shokr","given":"E A","non-dropping-particle":"","parse-names":false,"suffix":""}],"container-title":"International Journal of Advance Research in Nursing","id":"ITEM-1","issue":"3","issued":{"date-parts":[["2021"]]},"page":"01-06","title":"Assertiveness training","type":"article-journal","volume":"4"},"uris":["http://www.mendeley.com/documents/?uuid=111cba84-1140-4fc3-a147-c0a7cc0b65c4"]}],"mendeley":{"formattedCitation":"(Mokadem &amp; Shokr, 2021)","plainTextFormattedCitation":"(Mokadem &amp; Shokr, 2021)","previouslyFormattedCitation":"(Mokadem &amp; Shokr, 2021)"},"properties":{"noteIndex":0},"schema":"https://github.com/citation-style-language/schema/raw/master/csl-citation.json"}</w:instrText>
      </w:r>
      <w:r w:rsidR="00196C31" w:rsidRPr="00FF6CD3">
        <w:rPr>
          <w:rFonts w:eastAsia="Times New Roman" w:cs="Times New Roman"/>
          <w:color w:val="000000"/>
        </w:rPr>
        <w:fldChar w:fldCharType="separate"/>
      </w:r>
      <w:r w:rsidR="00196C31" w:rsidRPr="00FF6CD3">
        <w:rPr>
          <w:rFonts w:eastAsia="Times New Roman" w:cs="Times New Roman"/>
          <w:noProof/>
          <w:color w:val="000000"/>
        </w:rPr>
        <w:t>(Mokadem &amp; Shokr, 2021)</w:t>
      </w:r>
      <w:r w:rsidR="00196C31" w:rsidRPr="00FF6CD3">
        <w:rPr>
          <w:rFonts w:eastAsia="Times New Roman" w:cs="Times New Roman"/>
          <w:color w:val="000000"/>
        </w:rPr>
        <w:fldChar w:fldCharType="end"/>
      </w:r>
      <w:r w:rsidR="00196C31" w:rsidRPr="00FF6CD3">
        <w:rPr>
          <w:rFonts w:eastAsia="Times New Roman" w:cs="Times New Roman"/>
          <w:color w:val="000000"/>
        </w:rPr>
        <w:t>.</w:t>
      </w:r>
      <w:r w:rsidR="004601FA" w:rsidRPr="00FF6CD3">
        <w:rPr>
          <w:rFonts w:cs="Times New Roman"/>
          <w:color w:val="000000"/>
        </w:rPr>
        <w:t xml:space="preserve"> </w:t>
      </w:r>
    </w:p>
    <w:p w14:paraId="4ED4AA7F" w14:textId="46721659" w:rsidR="00846721" w:rsidRPr="00FF6CD3" w:rsidRDefault="00846721" w:rsidP="00C220C2">
      <w:pPr>
        <w:pStyle w:val="BodyText"/>
        <w:ind w:left="136" w:right="135" w:firstLine="720"/>
        <w:jc w:val="both"/>
      </w:pPr>
      <w:r w:rsidRPr="00FF6CD3">
        <w:t xml:space="preserve">Another relevant research that supports is the research of </w:t>
      </w:r>
      <w:r w:rsidR="00FF6CD3" w:rsidRPr="00FF6CD3">
        <w:fldChar w:fldCharType="begin" w:fldLock="1"/>
      </w:r>
      <w:r w:rsidR="00FF6CD3" w:rsidRPr="00FF6CD3">
        <w:instrText>ADDIN CSL_CITATION {"citationItems":[{"id":"ITEM-1","itemData":{"DOI":"10.1186/s40359-023-01154-x","ISSN":"20507283","PMID":"37032337","abstract":"Background: Children and adolescents are the assets of the society and their mental and physical health ensures the future health of next generations. The aim of the current study was to evaluate the effect of problem-solving and assertiveness skill training on improving self-esteem and mental health in high school female students of Isfahan city in 2019. Methods: This study was a randomized clinical trial. The target population was 10th grade female high school students in Isfahan city of Iran. 96 students of a female public high school were included in the study, allocated to two groups, 32 for intervention group and 64 for control group. Six 90-min sessions were considered for problem-solving and assertiveness skill training which included lectures, question and answer, movie displaying, brainstorming and role-play. The Coopersmith Self-esteem Inventory Questionnaire (CSEI) and General Health Questionnaire (GHQ) were used in order to evaluate the variables of the study before and one month after the intervention. Results: Mean scores of the self-esteem variable changed significantly in the intervention group compared to control group before (25.2 ± 2.905) and after (29.9 ± 4.155) the intervention (p &lt; 0.05). Mean scores of mental health also changed significantly before (27.67 ± 5.42) and after (19.033 ± 4.9) the intervention in comparison with the control group (p &lt; 0.05). Conclusion: The findings of the present study showed that educational intervention based on problem-solving and assertiveness can enhance self-esteem and mental health in students. Future studies are needed to confirm and determine the structure of these associations. Trial Registration IRCT Code: IRCT20171230038142N9. Registration Date: 07/07/2019. Ethics Code: IR.MUI.MED.REC.1398.130.","author":[{"dropping-particle":"","family":"Golshiri","given":"Parastoo","non-dropping-particle":"","parse-names":false,"suffix":""},{"dropping-particle":"","family":"Mostofi","given":"Alireza","non-dropping-particle":"","parse-names":false,"suffix":""},{"dropping-particle":"","family":"Rouzbahani","given":"Shiva","non-dropping-particle":"","parse-names":false,"suffix":""}],"container-title":"BMC Psychology","id":"ITEM-1","issue":"1","issued":{"date-parts":[["2023"]]},"page":"1-8","publisher":"BioMed Central","title":"The effect of problem-solving and assertiveness training on self-esteem and mental health of female adolescents: a randomized clinical trial","type":"article-journal","volume":"11"},"uris":["http://www.mendeley.com/documents/?uuid=b2c131e3-659a-4d64-a9ad-82d8dbea66b8"]}],"mendeley":{"formattedCitation":"(Golshiri et al., 2023)","manualFormatting":"Golshiri et al., (2023)","plainTextFormattedCitation":"(Golshiri et al., 2023)","previouslyFormattedCitation":"(Golshiri et al., 2023)"},"properties":{"noteIndex":0},"schema":"https://github.com/citation-style-language/schema/raw/master/csl-citation.json"}</w:instrText>
      </w:r>
      <w:r w:rsidR="00FF6CD3" w:rsidRPr="00FF6CD3">
        <w:fldChar w:fldCharType="separate"/>
      </w:r>
      <w:r w:rsidR="00FF6CD3" w:rsidRPr="00FF6CD3">
        <w:rPr>
          <w:noProof/>
        </w:rPr>
        <w:t>Golshiri et al., (2023)</w:t>
      </w:r>
      <w:r w:rsidR="00FF6CD3" w:rsidRPr="00FF6CD3">
        <w:fldChar w:fldCharType="end"/>
      </w:r>
      <w:r w:rsidRPr="00FF6CD3">
        <w:t xml:space="preserve"> entitled, “Investigating the impact of assertiveness training on assertiveness and Self-esteem of High School students”. This study shows that assertive techniques have significantly increased assertiveness and decreased aggression and submission in the experimental group as well as the treatment given has significantly increased students' self-esteem. Therefore, it is proven that assertive techniques are significantly effective on assertiveness, aggression, submission, and self-esteem of students.</w:t>
      </w:r>
    </w:p>
    <w:p w14:paraId="4F9DA613" w14:textId="00036099" w:rsidR="00846721" w:rsidRPr="00FF6CD3" w:rsidRDefault="00846721" w:rsidP="00C220C2">
      <w:pPr>
        <w:pStyle w:val="BodyText"/>
        <w:ind w:left="136" w:right="135" w:firstLine="720"/>
        <w:jc w:val="both"/>
      </w:pPr>
      <w:r w:rsidRPr="00FF6CD3">
        <w:t xml:space="preserve">Research conducted by </w:t>
      </w:r>
      <w:r w:rsidR="00FF6CD3" w:rsidRPr="00FF6CD3">
        <w:fldChar w:fldCharType="begin" w:fldLock="1"/>
      </w:r>
      <w:r w:rsidR="00E000E1">
        <w:instrText>ADDIN CSL_CITATION {"citationItems":[{"id":"ITEM-1","itemData":{"DOI":"10.34172/jmdc.1230","abstract":"Background and aims: Professional commitment and moral courage affect the quality of nursing care. Assertiveness is a necessary communication skill for nurses. The studies have less focused on the relationship between the mentioned variables. Therefore, this study examined the impact of assertiveness-based empowerment on professional commitment and moral courage. Methods: This quasi-experimental study was conducted on 70 nurses of Shahrekord educational hospitals who entered the study via available sampling and random allocation in intervention and control groups in 2021. Then, the assertiveness-based program was implemented in six 2-hour sessions for the intervention group. In both groups, data were collected before, immediately, and three months after the intervention using the Nurses’ Professional Commitment Standard questionnaire (NPCS) and Sekerka’s moral courage. The data was analyzed using SPSS software version 18. One sample t-test, chi-square, and repeated measurements analysis were used. Results: Before the study, neither group showed significant differences in demographic data, professional commitment, and moral courage (P&gt;0.05). However, this difference was significant immediately after the intervention and three months later (P&lt;0.001). Conclusion: The empowerment program based on assertiveness improved nurses’ professional commitment and moral courage. Therefore, it is appropriate to use these moral virtues in the professional training of nurses to provide high-quality care to patients.","author":[{"dropping-particle":"","family":"Nouroozi","given":"Azadeh","non-dropping-particle":"","parse-names":false,"suffix":""},{"dropping-particle":"","family":"Etemadifar","given":"Shahram","non-dropping-particle":"","parse-names":false,"suffix":""},{"dropping-particle":"","family":"Deris","given":"Fatemeh","non-dropping-particle":"","parse-names":false,"suffix":""},{"dropping-particle":"","family":"Davoodvand","given":"Shirmohammad","non-dropping-particle":"","parse-names":false,"suffix":""}],"container-title":"Journal of Multidisciplinary Care","id":"ITEM-1","issue":"3","issued":{"date-parts":[["2023"]]},"page":"111-116","title":"The effect of assertiveness-based empowerment on professional commitment and moral courage of nurses working in Shahrekord educational hospitals","type":"article-journal","volume":"12"},"uris":["http://www.mendeley.com/documents/?uuid=d399d16e-df3b-440d-a827-3d4fd7bc8e41"]}],"mendeley":{"formattedCitation":"(Nouroozi et al., 2023)","manualFormatting":"Nouroozi et al., (2023)","plainTextFormattedCitation":"(Nouroozi et al., 2023)","previouslyFormattedCitation":"(Nouroozi et al., 2023)"},"properties":{"noteIndex":0},"schema":"https://github.com/citation-style-language/schema/raw/master/csl-citation.json"}</w:instrText>
      </w:r>
      <w:r w:rsidR="00FF6CD3" w:rsidRPr="00FF6CD3">
        <w:fldChar w:fldCharType="separate"/>
      </w:r>
      <w:r w:rsidR="00FF6CD3" w:rsidRPr="00FF6CD3">
        <w:rPr>
          <w:noProof/>
        </w:rPr>
        <w:t>Nouroozi et al., (2023)</w:t>
      </w:r>
      <w:r w:rsidR="00FF6CD3" w:rsidRPr="00FF6CD3">
        <w:fldChar w:fldCharType="end"/>
      </w:r>
      <w:r w:rsidRPr="00FF6CD3">
        <w:t xml:space="preserve"> entitled, “Effect of Assertiveness Training Program on Psychiatric Mental Health Nurses” showed that there was a highly statistically significant difference between the mean scores of total self-esteem, assertive skills, and communication skills among the studied examples of post-program implementation compared to pre-program implementation, as well as a highly statistically significant positive correlation between total self-esteem, assertive skills and communication skills after program implementation. In conclusion, the assertive training program had a positive effect on the communication skills and self-esteem of psychiatric mental health nurses.</w:t>
      </w:r>
    </w:p>
    <w:p w14:paraId="6DF8FBDE" w14:textId="77777777" w:rsidR="00846721" w:rsidRPr="00FF6CD3" w:rsidRDefault="00846721" w:rsidP="00C220C2">
      <w:pPr>
        <w:pStyle w:val="BodyText"/>
        <w:ind w:left="136" w:right="135" w:firstLine="720"/>
        <w:jc w:val="both"/>
      </w:pPr>
      <w:r w:rsidRPr="00FF6CD3">
        <w:t>The successful use of assertive training techniques in various studies can be a source of inspiration for guidance and counseling providers in schools. The focus of this study aims to change attitudes, perceptions, and ways of thinking, trust in relationships so that students can develop themselves and achieve optimal self-realization so as to increase self-disclosure through assertive training techniques.</w:t>
      </w:r>
    </w:p>
    <w:p w14:paraId="03E3731B" w14:textId="77777777" w:rsidR="00846721" w:rsidRDefault="00846721" w:rsidP="00C220C2">
      <w:pPr>
        <w:pStyle w:val="BodyText"/>
        <w:ind w:left="136" w:right="135" w:firstLine="720"/>
        <w:jc w:val="both"/>
      </w:pPr>
    </w:p>
    <w:p w14:paraId="18DDFFD1" w14:textId="609C657B" w:rsidR="00F61E74" w:rsidRDefault="00F61E74" w:rsidP="00846721">
      <w:pPr>
        <w:pStyle w:val="Heading1"/>
        <w:numPr>
          <w:ilvl w:val="0"/>
          <w:numId w:val="1"/>
        </w:numPr>
        <w:tabs>
          <w:tab w:val="left" w:pos="568"/>
        </w:tabs>
        <w:spacing w:before="260"/>
      </w:pPr>
      <w:r>
        <w:rPr>
          <w:spacing w:val="-2"/>
        </w:rPr>
        <w:t>METHODS</w:t>
      </w:r>
    </w:p>
    <w:p w14:paraId="27EBCCE7" w14:textId="77777777" w:rsidR="00846721" w:rsidRDefault="00846721" w:rsidP="00C220C2">
      <w:pPr>
        <w:pStyle w:val="BodyText"/>
        <w:ind w:left="136" w:right="135" w:firstLine="720"/>
        <w:jc w:val="both"/>
      </w:pPr>
      <w:r>
        <w:t>This research applies a quasi-experimental design. Based on Sugiyono's (2019) explanation, experimental research is a method used to identify the impact of certain treatments on other variables under controlled conditions. In this type of research, actions are carried out systematically and planned with certain treatments to produce data used in testing hypotheses or answering research questions.</w:t>
      </w:r>
    </w:p>
    <w:p w14:paraId="1C2075CA" w14:textId="77777777" w:rsidR="00846721" w:rsidRDefault="00846721" w:rsidP="00C220C2">
      <w:pPr>
        <w:pStyle w:val="BodyText"/>
        <w:ind w:left="136" w:right="135" w:firstLine="720"/>
        <w:jc w:val="both"/>
      </w:pPr>
      <w:r>
        <w:t>This research applies a pretest-posttest control group design within a quasi-experimental framework. Sugiyono (2019) explains that this design involves two groups, namely an experimental group that receives treatment and a control group that does not receive treatment. With the control group, this study can compare the posttest results between the experimental group and the control group to evaluate the effectiveness of the treatment given.</w:t>
      </w:r>
    </w:p>
    <w:p w14:paraId="24537EE1" w14:textId="77777777" w:rsidR="00846721" w:rsidRDefault="00846721" w:rsidP="00C220C2">
      <w:pPr>
        <w:pStyle w:val="BodyText"/>
        <w:ind w:left="136" w:right="135" w:firstLine="720"/>
        <w:jc w:val="both"/>
      </w:pPr>
      <w:r>
        <w:t>This study involved two groups: the control group and the experimental group. The control group serves as a comparison to evaluate the effectiveness of the intervention. The main focus of this procedure is to increase self-disclosure at SMP Negeri Yogyakarta by applying assertive training techniques. Based on purposive pretest scores at the participant selection stage. To determine whether the treatment provided has a significant impact, the pretest and posttest results will be compared. The decrease in scores between the pretest and posttest will show the effectiveness of assertive training techniques to increase self-disclosure in students at SMP Negeri Yogyakarta.</w:t>
      </w:r>
    </w:p>
    <w:p w14:paraId="3D2AD666" w14:textId="77777777" w:rsidR="00846721" w:rsidRDefault="00846721" w:rsidP="00C220C2">
      <w:pPr>
        <w:pStyle w:val="BodyText"/>
        <w:ind w:left="136" w:right="135" w:firstLine="720"/>
        <w:jc w:val="both"/>
      </w:pPr>
      <w:r>
        <w:t>For this study, the sample was purposively selected based on specific criteria. The selected samples were seventh grade students of Yogyakarta State Junior High School who showed low self-disclosure. Out of 71 participants, 12 students met the criteria. Instead of being randomized or based on strata, this method uses subjects based on specific criteria. This study selected samples based on:</w:t>
      </w:r>
    </w:p>
    <w:p w14:paraId="2F6FE9D0" w14:textId="06BA1FE6" w:rsidR="00846721" w:rsidRDefault="00846721" w:rsidP="00C220C2">
      <w:pPr>
        <w:pStyle w:val="BodyText"/>
        <w:numPr>
          <w:ilvl w:val="0"/>
          <w:numId w:val="3"/>
        </w:numPr>
        <w:ind w:right="135"/>
        <w:jc w:val="both"/>
      </w:pPr>
      <w:r>
        <w:t>Students who are in grade VII at SMP N 14 in Yogyakarta.</w:t>
      </w:r>
    </w:p>
    <w:p w14:paraId="73699378" w14:textId="11887F8D" w:rsidR="00846721" w:rsidRDefault="00846721" w:rsidP="00C220C2">
      <w:pPr>
        <w:pStyle w:val="BodyText"/>
        <w:numPr>
          <w:ilvl w:val="0"/>
          <w:numId w:val="3"/>
        </w:numPr>
        <w:ind w:right="135"/>
        <w:jc w:val="both"/>
      </w:pPr>
      <w:r>
        <w:t>Male and female.</w:t>
      </w:r>
    </w:p>
    <w:p w14:paraId="344B6AAA" w14:textId="449C5253" w:rsidR="00846721" w:rsidRDefault="00846721" w:rsidP="00C220C2">
      <w:pPr>
        <w:pStyle w:val="BodyText"/>
        <w:numPr>
          <w:ilvl w:val="0"/>
          <w:numId w:val="3"/>
        </w:numPr>
        <w:ind w:right="135"/>
        <w:jc w:val="both"/>
      </w:pPr>
      <w:r>
        <w:t>Aged up to 12-17 years old.</w:t>
      </w:r>
    </w:p>
    <w:p w14:paraId="4C47D034" w14:textId="450E56C9" w:rsidR="00846721" w:rsidRDefault="00846721" w:rsidP="00C220C2">
      <w:pPr>
        <w:pStyle w:val="BodyText"/>
        <w:numPr>
          <w:ilvl w:val="0"/>
          <w:numId w:val="3"/>
        </w:numPr>
        <w:ind w:right="135"/>
        <w:jc w:val="both"/>
      </w:pPr>
      <w:r>
        <w:t xml:space="preserve">Have never participated in group counseling activities using assertive training techniques. </w:t>
      </w:r>
    </w:p>
    <w:p w14:paraId="43F74190" w14:textId="7A0B2990" w:rsidR="00846721" w:rsidRDefault="00846721" w:rsidP="00C220C2">
      <w:pPr>
        <w:pStyle w:val="BodyText"/>
        <w:numPr>
          <w:ilvl w:val="0"/>
          <w:numId w:val="3"/>
        </w:numPr>
        <w:ind w:right="135"/>
        <w:jc w:val="both"/>
      </w:pPr>
      <w:r>
        <w:t>Individuals who have an average score of low self-disclosure level.</w:t>
      </w:r>
    </w:p>
    <w:p w14:paraId="19E0471B" w14:textId="77777777" w:rsidR="00C220C2" w:rsidRDefault="00C220C2" w:rsidP="00C220C2">
      <w:pPr>
        <w:pStyle w:val="BodyText"/>
        <w:ind w:left="862" w:right="135"/>
        <w:jc w:val="both"/>
      </w:pPr>
    </w:p>
    <w:p w14:paraId="4FD16C01" w14:textId="77777777" w:rsidR="00F61E74" w:rsidRPr="00846721" w:rsidRDefault="00F61E74" w:rsidP="00846721">
      <w:pPr>
        <w:pStyle w:val="BodyText"/>
        <w:spacing w:before="121"/>
        <w:ind w:left="502" w:right="135"/>
        <w:jc w:val="both"/>
      </w:pPr>
    </w:p>
    <w:p w14:paraId="30293503" w14:textId="77777777" w:rsidR="00F61E74" w:rsidRPr="000B5EEA" w:rsidRDefault="00F61E74" w:rsidP="00F61E74">
      <w:pPr>
        <w:spacing w:after="5"/>
        <w:rPr>
          <w:rFonts w:ascii="Times New Roman"/>
          <w:sz w:val="20"/>
        </w:rPr>
      </w:pPr>
    </w:p>
    <w:p w14:paraId="37E374FB" w14:textId="77777777" w:rsidR="00F61E74" w:rsidRPr="00D61DDD" w:rsidRDefault="00F61E74" w:rsidP="004601FA">
      <w:pPr>
        <w:pStyle w:val="Heading1"/>
        <w:numPr>
          <w:ilvl w:val="0"/>
          <w:numId w:val="1"/>
        </w:numPr>
        <w:tabs>
          <w:tab w:val="left" w:pos="567"/>
        </w:tabs>
      </w:pPr>
      <w:r>
        <w:lastRenderedPageBreak/>
        <w:t>RESULTS AND DISCUSSION</w:t>
      </w:r>
    </w:p>
    <w:p w14:paraId="2C0B8033" w14:textId="77777777" w:rsidR="00F61E74" w:rsidRPr="00D61DDD" w:rsidRDefault="00F61E74" w:rsidP="00F61E74">
      <w:pPr>
        <w:pStyle w:val="Heading1"/>
        <w:tabs>
          <w:tab w:val="left" w:pos="568"/>
        </w:tabs>
        <w:ind w:firstLine="0"/>
        <w:rPr>
          <w:i/>
          <w:iCs/>
        </w:rPr>
      </w:pPr>
      <w:r w:rsidRPr="00D61DDD">
        <w:rPr>
          <w:i/>
          <w:iCs/>
        </w:rPr>
        <w:t>Results</w:t>
      </w:r>
    </w:p>
    <w:p w14:paraId="5041F526" w14:textId="4B4D2A11" w:rsidR="00F61E74" w:rsidRDefault="00846721" w:rsidP="00F61E74">
      <w:pPr>
        <w:pStyle w:val="BodyText"/>
        <w:spacing w:before="8" w:line="237" w:lineRule="auto"/>
        <w:ind w:left="136" w:right="133" w:firstLine="720"/>
        <w:jc w:val="both"/>
      </w:pPr>
      <w:r>
        <w:t xml:space="preserve">In line with the control group given a questionnaire to find out the category </w:t>
      </w:r>
      <w:r>
        <w:rPr>
          <w:iCs/>
        </w:rPr>
        <w:t>of respondents' self-disclosure</w:t>
      </w:r>
      <w:r>
        <w:t xml:space="preserve">, so is the experimental group given a questionnaire to find out the </w:t>
      </w:r>
      <w:r>
        <w:rPr>
          <w:i/>
        </w:rPr>
        <w:t xml:space="preserve">pretest score </w:t>
      </w:r>
      <w:r>
        <w:t xml:space="preserve">to find out the category of students' self-disclosure. After the results of the score and category are known, the experimental group is given treatment with </w:t>
      </w:r>
      <w:r>
        <w:rPr>
          <w:iCs/>
        </w:rPr>
        <w:t xml:space="preserve">assertive training </w:t>
      </w:r>
      <w:r w:rsidRPr="00CB12A7">
        <w:rPr>
          <w:i/>
        </w:rPr>
        <w:t xml:space="preserve">techniques </w:t>
      </w:r>
      <w:r>
        <w:t xml:space="preserve">that aim to increase self-openness and then given a questionnaire after the treatment called </w:t>
      </w:r>
      <w:r>
        <w:rPr>
          <w:i/>
        </w:rPr>
        <w:t>posttest</w:t>
      </w:r>
      <w:r>
        <w:t xml:space="preserve">. The following are the results of </w:t>
      </w:r>
      <w:r>
        <w:rPr>
          <w:i/>
        </w:rPr>
        <w:t xml:space="preserve">the pretest </w:t>
      </w:r>
      <w:r>
        <w:t xml:space="preserve">and </w:t>
      </w:r>
      <w:r>
        <w:rPr>
          <w:i/>
        </w:rPr>
        <w:t xml:space="preserve">posttest </w:t>
      </w:r>
      <w:r>
        <w:t>of the experimental group</w:t>
      </w:r>
      <w:r w:rsidR="00F61E74">
        <w:t>.</w:t>
      </w:r>
    </w:p>
    <w:p w14:paraId="2C5E8CB5" w14:textId="2A575524" w:rsidR="00846721" w:rsidRPr="00846721" w:rsidRDefault="00846721" w:rsidP="00846721">
      <w:pPr>
        <w:ind w:left="142"/>
        <w:jc w:val="both"/>
        <w:rPr>
          <w:rFonts w:ascii="Times New Roman" w:hAnsi="Times New Roman" w:cs="Times New Roman"/>
          <w:sz w:val="20"/>
          <w:szCs w:val="20"/>
        </w:rPr>
      </w:pPr>
      <w:r w:rsidRPr="00411F20">
        <w:rPr>
          <w:rFonts w:ascii="Times New Roman" w:hAnsi="Times New Roman" w:cs="Times New Roman"/>
          <w:b/>
          <w:bCs/>
          <w:iCs/>
          <w:sz w:val="20"/>
          <w:szCs w:val="20"/>
        </w:rPr>
        <w:t xml:space="preserve">Table 1. </w:t>
      </w:r>
      <w:r w:rsidRPr="00411F20">
        <w:rPr>
          <w:rFonts w:ascii="Times New Roman" w:hAnsi="Times New Roman" w:cs="Times New Roman"/>
          <w:iCs/>
          <w:sz w:val="20"/>
          <w:szCs w:val="20"/>
        </w:rPr>
        <w:t>Results</w:t>
      </w:r>
      <w:r w:rsidRPr="00411F20">
        <w:rPr>
          <w:rFonts w:ascii="Times New Roman" w:hAnsi="Times New Roman" w:cs="Times New Roman"/>
          <w:i/>
          <w:sz w:val="20"/>
          <w:szCs w:val="20"/>
        </w:rPr>
        <w:t xml:space="preserve"> of Prestest</w:t>
      </w:r>
      <w:r w:rsidRPr="00411F20">
        <w:rPr>
          <w:rFonts w:ascii="Times New Roman" w:hAnsi="Times New Roman" w:cs="Times New Roman"/>
          <w:iCs/>
          <w:sz w:val="20"/>
          <w:szCs w:val="20"/>
        </w:rPr>
        <w:t xml:space="preserve"> and </w:t>
      </w:r>
      <w:r w:rsidRPr="00411F20">
        <w:rPr>
          <w:rFonts w:ascii="Times New Roman" w:hAnsi="Times New Roman" w:cs="Times New Roman"/>
          <w:i/>
          <w:sz w:val="20"/>
          <w:szCs w:val="20"/>
        </w:rPr>
        <w:t xml:space="preserve">Post Test </w:t>
      </w:r>
      <w:r w:rsidRPr="00411F20">
        <w:rPr>
          <w:rFonts w:ascii="Times New Roman" w:hAnsi="Times New Roman" w:cs="Times New Roman"/>
          <w:sz w:val="20"/>
          <w:szCs w:val="20"/>
        </w:rPr>
        <w:t>of the Experimental Group</w:t>
      </w:r>
    </w:p>
    <w:tbl>
      <w:tblPr>
        <w:tblStyle w:val="TableGrid3"/>
        <w:tblW w:w="0" w:type="auto"/>
        <w:tblInd w:w="137" w:type="dxa"/>
        <w:tblLook w:val="04A0" w:firstRow="1" w:lastRow="0" w:firstColumn="1" w:lastColumn="0" w:noHBand="0" w:noVBand="1"/>
      </w:tblPr>
      <w:tblGrid>
        <w:gridCol w:w="461"/>
        <w:gridCol w:w="1701"/>
        <w:gridCol w:w="911"/>
        <w:gridCol w:w="1349"/>
        <w:gridCol w:w="1135"/>
        <w:gridCol w:w="1349"/>
      </w:tblGrid>
      <w:tr w:rsidR="00F61E74" w:rsidRPr="00B97C0F" w14:paraId="3236A469" w14:textId="77777777" w:rsidTr="00846721">
        <w:trPr>
          <w:trHeight w:val="87"/>
        </w:trPr>
        <w:tc>
          <w:tcPr>
            <w:tcW w:w="461" w:type="dxa"/>
          </w:tcPr>
          <w:p w14:paraId="34BDCA21" w14:textId="77777777" w:rsidR="00F61E74" w:rsidRPr="00B97C0F" w:rsidRDefault="00F61E74" w:rsidP="00B97C0F">
            <w:pPr>
              <w:spacing w:before="120"/>
              <w:jc w:val="center"/>
              <w:rPr>
                <w:rFonts w:ascii="Times New Roman" w:eastAsia="Calibri" w:hAnsi="Times New Roman" w:cs="Times New Roman"/>
                <w:b/>
                <w:bCs/>
                <w:iCs/>
                <w:sz w:val="20"/>
                <w:szCs w:val="20"/>
              </w:rPr>
            </w:pPr>
            <w:r w:rsidRPr="00B97C0F">
              <w:rPr>
                <w:rFonts w:ascii="Times New Roman" w:eastAsia="Calibri" w:hAnsi="Times New Roman" w:cs="Times New Roman"/>
                <w:b/>
                <w:bCs/>
                <w:iCs/>
                <w:sz w:val="20"/>
                <w:szCs w:val="20"/>
              </w:rPr>
              <w:t>No</w:t>
            </w:r>
          </w:p>
        </w:tc>
        <w:tc>
          <w:tcPr>
            <w:tcW w:w="1701" w:type="dxa"/>
          </w:tcPr>
          <w:p w14:paraId="70001A7E" w14:textId="6F3079B4" w:rsidR="00F61E74" w:rsidRPr="00B97C0F" w:rsidRDefault="00846721" w:rsidP="00B97C0F">
            <w:pPr>
              <w:jc w:val="center"/>
              <w:rPr>
                <w:rFonts w:ascii="Times New Roman" w:eastAsia="Calibri" w:hAnsi="Times New Roman" w:cs="Times New Roman"/>
                <w:b/>
                <w:bCs/>
                <w:iCs/>
                <w:sz w:val="20"/>
                <w:szCs w:val="20"/>
              </w:rPr>
            </w:pPr>
            <w:r w:rsidRPr="00B97C0F">
              <w:rPr>
                <w:rFonts w:ascii="Times New Roman" w:eastAsia="Calibri" w:hAnsi="Times New Roman" w:cs="Times New Roman"/>
                <w:b/>
                <w:bCs/>
                <w:iCs/>
                <w:sz w:val="20"/>
                <w:szCs w:val="20"/>
              </w:rPr>
              <w:t>Student Name</w:t>
            </w:r>
          </w:p>
        </w:tc>
        <w:tc>
          <w:tcPr>
            <w:tcW w:w="911" w:type="dxa"/>
          </w:tcPr>
          <w:p w14:paraId="4F05510E" w14:textId="77777777" w:rsidR="00F61E74" w:rsidRPr="00B97C0F" w:rsidRDefault="00F61E74" w:rsidP="00B97C0F">
            <w:pPr>
              <w:spacing w:before="120"/>
              <w:jc w:val="center"/>
              <w:rPr>
                <w:rFonts w:ascii="Times New Roman" w:eastAsia="Calibri" w:hAnsi="Times New Roman" w:cs="Times New Roman"/>
                <w:b/>
                <w:bCs/>
                <w:i/>
                <w:sz w:val="20"/>
                <w:szCs w:val="20"/>
              </w:rPr>
            </w:pPr>
            <w:r w:rsidRPr="00B97C0F">
              <w:rPr>
                <w:rFonts w:ascii="Times New Roman" w:eastAsia="Calibri" w:hAnsi="Times New Roman" w:cs="Times New Roman"/>
                <w:b/>
                <w:bCs/>
                <w:i/>
                <w:sz w:val="20"/>
                <w:szCs w:val="20"/>
              </w:rPr>
              <w:t>Pretest</w:t>
            </w:r>
          </w:p>
        </w:tc>
        <w:tc>
          <w:tcPr>
            <w:tcW w:w="1349" w:type="dxa"/>
          </w:tcPr>
          <w:p w14:paraId="1A03548A" w14:textId="0FADE989" w:rsidR="00F61E74" w:rsidRPr="00B97C0F" w:rsidRDefault="00846721" w:rsidP="00B97C0F">
            <w:pPr>
              <w:spacing w:before="120"/>
              <w:jc w:val="center"/>
              <w:rPr>
                <w:rFonts w:ascii="Times New Roman" w:eastAsia="Calibri" w:hAnsi="Times New Roman" w:cs="Times New Roman"/>
                <w:b/>
                <w:bCs/>
                <w:iCs/>
                <w:sz w:val="20"/>
                <w:szCs w:val="20"/>
              </w:rPr>
            </w:pPr>
            <w:r w:rsidRPr="00B97C0F">
              <w:rPr>
                <w:rFonts w:ascii="Times New Roman" w:eastAsia="Calibri" w:hAnsi="Times New Roman" w:cs="Times New Roman"/>
                <w:b/>
                <w:bCs/>
                <w:iCs/>
                <w:sz w:val="20"/>
                <w:szCs w:val="20"/>
              </w:rPr>
              <w:t>Information</w:t>
            </w:r>
          </w:p>
        </w:tc>
        <w:tc>
          <w:tcPr>
            <w:tcW w:w="1135" w:type="dxa"/>
          </w:tcPr>
          <w:p w14:paraId="0CCEEC6E" w14:textId="77777777" w:rsidR="00F61E74" w:rsidRPr="00B97C0F" w:rsidRDefault="00F61E74" w:rsidP="00B97C0F">
            <w:pPr>
              <w:spacing w:before="120"/>
              <w:jc w:val="center"/>
              <w:rPr>
                <w:rFonts w:ascii="Times New Roman" w:eastAsia="Calibri" w:hAnsi="Times New Roman" w:cs="Times New Roman"/>
                <w:b/>
                <w:bCs/>
                <w:i/>
                <w:sz w:val="20"/>
                <w:szCs w:val="20"/>
              </w:rPr>
            </w:pPr>
            <w:r w:rsidRPr="00B97C0F">
              <w:rPr>
                <w:rFonts w:ascii="Times New Roman" w:eastAsia="Calibri" w:hAnsi="Times New Roman" w:cs="Times New Roman"/>
                <w:b/>
                <w:bCs/>
                <w:i/>
                <w:sz w:val="20"/>
                <w:szCs w:val="20"/>
              </w:rPr>
              <w:t>Postest</w:t>
            </w:r>
          </w:p>
        </w:tc>
        <w:tc>
          <w:tcPr>
            <w:tcW w:w="1349" w:type="dxa"/>
          </w:tcPr>
          <w:p w14:paraId="7950F792" w14:textId="71A60BFB" w:rsidR="00F61E74" w:rsidRPr="00B97C0F" w:rsidRDefault="00846721" w:rsidP="00B97C0F">
            <w:pPr>
              <w:spacing w:before="120"/>
              <w:jc w:val="center"/>
              <w:rPr>
                <w:rFonts w:ascii="Times New Roman" w:eastAsia="Calibri" w:hAnsi="Times New Roman" w:cs="Times New Roman"/>
                <w:b/>
                <w:bCs/>
                <w:iCs/>
                <w:sz w:val="20"/>
                <w:szCs w:val="20"/>
              </w:rPr>
            </w:pPr>
            <w:r w:rsidRPr="00B97C0F">
              <w:rPr>
                <w:rFonts w:ascii="Times New Roman" w:eastAsia="Calibri" w:hAnsi="Times New Roman" w:cs="Times New Roman"/>
                <w:b/>
                <w:bCs/>
                <w:iCs/>
                <w:sz w:val="20"/>
                <w:szCs w:val="20"/>
              </w:rPr>
              <w:t>Information</w:t>
            </w:r>
          </w:p>
        </w:tc>
      </w:tr>
      <w:tr w:rsidR="00F61E74" w:rsidRPr="00B97C0F" w14:paraId="62906FD9" w14:textId="77777777" w:rsidTr="00846721">
        <w:tc>
          <w:tcPr>
            <w:tcW w:w="461" w:type="dxa"/>
          </w:tcPr>
          <w:p w14:paraId="754E1A19" w14:textId="77777777" w:rsidR="00F61E74" w:rsidRPr="00B97C0F" w:rsidRDefault="00F61E74" w:rsidP="00B97C0F">
            <w:pPr>
              <w:jc w:val="center"/>
              <w:rPr>
                <w:rFonts w:ascii="Times New Roman" w:eastAsia="Calibri" w:hAnsi="Times New Roman" w:cs="Times New Roman"/>
                <w:iCs/>
                <w:sz w:val="20"/>
                <w:szCs w:val="20"/>
              </w:rPr>
            </w:pPr>
            <w:r w:rsidRPr="00B97C0F">
              <w:rPr>
                <w:rFonts w:ascii="Times New Roman" w:eastAsia="Calibri" w:hAnsi="Times New Roman" w:cs="Times New Roman"/>
                <w:iCs/>
                <w:sz w:val="20"/>
                <w:szCs w:val="20"/>
              </w:rPr>
              <w:t>1.</w:t>
            </w:r>
          </w:p>
        </w:tc>
        <w:tc>
          <w:tcPr>
            <w:tcW w:w="1701" w:type="dxa"/>
            <w:vAlign w:val="bottom"/>
          </w:tcPr>
          <w:p w14:paraId="504C15A3" w14:textId="77777777" w:rsidR="00F61E74" w:rsidRPr="00B97C0F" w:rsidRDefault="00F61E74" w:rsidP="00B97C0F">
            <w:pPr>
              <w:jc w:val="center"/>
              <w:rPr>
                <w:rFonts w:ascii="Times New Roman" w:eastAsia="Calibri" w:hAnsi="Times New Roman" w:cs="Times New Roman"/>
                <w:iCs/>
                <w:sz w:val="20"/>
                <w:szCs w:val="20"/>
              </w:rPr>
            </w:pPr>
            <w:r w:rsidRPr="00B97C0F">
              <w:rPr>
                <w:rFonts w:ascii="Times New Roman" w:eastAsia="Calibri" w:hAnsi="Times New Roman" w:cs="Times New Roman"/>
                <w:color w:val="000000"/>
                <w:sz w:val="20"/>
                <w:szCs w:val="20"/>
              </w:rPr>
              <w:t>EJMD</w:t>
            </w:r>
          </w:p>
        </w:tc>
        <w:tc>
          <w:tcPr>
            <w:tcW w:w="911" w:type="dxa"/>
            <w:vAlign w:val="bottom"/>
          </w:tcPr>
          <w:p w14:paraId="11E6DF11" w14:textId="77777777" w:rsidR="00F61E74" w:rsidRPr="00B97C0F" w:rsidRDefault="00F61E74" w:rsidP="00B97C0F">
            <w:pPr>
              <w:jc w:val="center"/>
              <w:rPr>
                <w:rFonts w:ascii="Times New Roman" w:eastAsia="Calibri" w:hAnsi="Times New Roman" w:cs="Times New Roman"/>
                <w:iCs/>
                <w:sz w:val="20"/>
                <w:szCs w:val="20"/>
              </w:rPr>
            </w:pPr>
            <w:r w:rsidRPr="00B97C0F">
              <w:rPr>
                <w:rFonts w:ascii="Times New Roman" w:eastAsia="Calibri" w:hAnsi="Times New Roman" w:cs="Times New Roman"/>
                <w:color w:val="000000"/>
                <w:sz w:val="20"/>
                <w:szCs w:val="20"/>
              </w:rPr>
              <w:t>42</w:t>
            </w:r>
          </w:p>
        </w:tc>
        <w:tc>
          <w:tcPr>
            <w:tcW w:w="1349" w:type="dxa"/>
          </w:tcPr>
          <w:p w14:paraId="61084246" w14:textId="0B666AD0" w:rsidR="00F61E74" w:rsidRPr="00B97C0F" w:rsidRDefault="00846721" w:rsidP="00B97C0F">
            <w:pPr>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Low</w:t>
            </w:r>
          </w:p>
        </w:tc>
        <w:tc>
          <w:tcPr>
            <w:tcW w:w="1135" w:type="dxa"/>
            <w:vAlign w:val="bottom"/>
          </w:tcPr>
          <w:p w14:paraId="14E372FD" w14:textId="77777777" w:rsidR="00F61E74" w:rsidRPr="00B97C0F" w:rsidRDefault="00F61E74" w:rsidP="00B97C0F">
            <w:pPr>
              <w:jc w:val="center"/>
              <w:rPr>
                <w:rFonts w:ascii="Times New Roman" w:eastAsia="Calibri" w:hAnsi="Times New Roman" w:cs="Times New Roman"/>
                <w:iCs/>
                <w:sz w:val="20"/>
                <w:szCs w:val="20"/>
              </w:rPr>
            </w:pPr>
            <w:r w:rsidRPr="00B97C0F">
              <w:rPr>
                <w:rFonts w:ascii="Times New Roman" w:eastAsia="Calibri" w:hAnsi="Times New Roman" w:cs="Times New Roman"/>
                <w:color w:val="000000"/>
                <w:sz w:val="20"/>
                <w:szCs w:val="20"/>
              </w:rPr>
              <w:t>84</w:t>
            </w:r>
          </w:p>
        </w:tc>
        <w:tc>
          <w:tcPr>
            <w:tcW w:w="1349" w:type="dxa"/>
          </w:tcPr>
          <w:p w14:paraId="74BF1B8A" w14:textId="6FC99A32" w:rsidR="00F61E74" w:rsidRPr="00B97C0F" w:rsidRDefault="00846721" w:rsidP="00B97C0F">
            <w:pPr>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High</w:t>
            </w:r>
          </w:p>
        </w:tc>
      </w:tr>
      <w:tr w:rsidR="00846721" w:rsidRPr="00B97C0F" w14:paraId="2B8A0954" w14:textId="77777777" w:rsidTr="00846721">
        <w:tc>
          <w:tcPr>
            <w:tcW w:w="461" w:type="dxa"/>
          </w:tcPr>
          <w:p w14:paraId="5A1FB544"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iCs/>
                <w:sz w:val="20"/>
                <w:szCs w:val="20"/>
              </w:rPr>
              <w:t>2.</w:t>
            </w:r>
          </w:p>
        </w:tc>
        <w:tc>
          <w:tcPr>
            <w:tcW w:w="1701" w:type="dxa"/>
            <w:vAlign w:val="bottom"/>
          </w:tcPr>
          <w:p w14:paraId="0D79DEF4"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color w:val="000000"/>
                <w:sz w:val="20"/>
                <w:szCs w:val="20"/>
              </w:rPr>
              <w:t>SA</w:t>
            </w:r>
          </w:p>
        </w:tc>
        <w:tc>
          <w:tcPr>
            <w:tcW w:w="911" w:type="dxa"/>
            <w:vAlign w:val="bottom"/>
          </w:tcPr>
          <w:p w14:paraId="176AE3AD"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color w:val="000000"/>
                <w:sz w:val="20"/>
                <w:szCs w:val="20"/>
              </w:rPr>
              <w:t>41</w:t>
            </w:r>
          </w:p>
        </w:tc>
        <w:tc>
          <w:tcPr>
            <w:tcW w:w="1349" w:type="dxa"/>
          </w:tcPr>
          <w:p w14:paraId="7AAD1DB0" w14:textId="00C75D6A" w:rsidR="00846721" w:rsidRPr="00B97C0F" w:rsidRDefault="00846721" w:rsidP="00846721">
            <w:pPr>
              <w:jc w:val="center"/>
              <w:rPr>
                <w:rFonts w:ascii="Times New Roman" w:eastAsia="Calibri" w:hAnsi="Times New Roman" w:cs="Times New Roman"/>
                <w:iCs/>
                <w:sz w:val="20"/>
                <w:szCs w:val="20"/>
              </w:rPr>
            </w:pPr>
            <w:r w:rsidRPr="00EF7C4D">
              <w:rPr>
                <w:rFonts w:ascii="Times New Roman" w:eastAsia="Calibri" w:hAnsi="Times New Roman" w:cs="Times New Roman"/>
                <w:iCs/>
                <w:sz w:val="20"/>
                <w:szCs w:val="20"/>
              </w:rPr>
              <w:t>Low</w:t>
            </w:r>
          </w:p>
        </w:tc>
        <w:tc>
          <w:tcPr>
            <w:tcW w:w="1135" w:type="dxa"/>
            <w:vAlign w:val="bottom"/>
          </w:tcPr>
          <w:p w14:paraId="5E58F1D4"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color w:val="000000"/>
                <w:sz w:val="20"/>
                <w:szCs w:val="20"/>
              </w:rPr>
              <w:t>86</w:t>
            </w:r>
          </w:p>
        </w:tc>
        <w:tc>
          <w:tcPr>
            <w:tcW w:w="1349" w:type="dxa"/>
          </w:tcPr>
          <w:p w14:paraId="15424CD3" w14:textId="7F7612F2" w:rsidR="00846721" w:rsidRPr="00B97C0F" w:rsidRDefault="00846721" w:rsidP="00846721">
            <w:pPr>
              <w:jc w:val="center"/>
              <w:rPr>
                <w:rFonts w:ascii="Times New Roman" w:eastAsia="Calibri" w:hAnsi="Times New Roman" w:cs="Times New Roman"/>
                <w:iCs/>
                <w:sz w:val="20"/>
                <w:szCs w:val="20"/>
              </w:rPr>
            </w:pPr>
            <w:r w:rsidRPr="00DC1AB9">
              <w:rPr>
                <w:rFonts w:ascii="Times New Roman" w:eastAsia="Calibri" w:hAnsi="Times New Roman" w:cs="Times New Roman"/>
                <w:iCs/>
                <w:sz w:val="20"/>
                <w:szCs w:val="20"/>
              </w:rPr>
              <w:t>High</w:t>
            </w:r>
          </w:p>
        </w:tc>
      </w:tr>
      <w:tr w:rsidR="00846721" w:rsidRPr="00B97C0F" w14:paraId="2206CBDB" w14:textId="77777777" w:rsidTr="00846721">
        <w:tc>
          <w:tcPr>
            <w:tcW w:w="461" w:type="dxa"/>
          </w:tcPr>
          <w:p w14:paraId="6994AAB6"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iCs/>
                <w:sz w:val="20"/>
                <w:szCs w:val="20"/>
              </w:rPr>
              <w:t>3.</w:t>
            </w:r>
          </w:p>
        </w:tc>
        <w:tc>
          <w:tcPr>
            <w:tcW w:w="1701" w:type="dxa"/>
            <w:vAlign w:val="bottom"/>
          </w:tcPr>
          <w:p w14:paraId="07660819"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color w:val="000000"/>
                <w:sz w:val="20"/>
                <w:szCs w:val="20"/>
              </w:rPr>
              <w:t>SMA</w:t>
            </w:r>
          </w:p>
        </w:tc>
        <w:tc>
          <w:tcPr>
            <w:tcW w:w="911" w:type="dxa"/>
            <w:vAlign w:val="bottom"/>
          </w:tcPr>
          <w:p w14:paraId="705163D9"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color w:val="000000"/>
                <w:sz w:val="20"/>
                <w:szCs w:val="20"/>
              </w:rPr>
              <w:t>42</w:t>
            </w:r>
          </w:p>
        </w:tc>
        <w:tc>
          <w:tcPr>
            <w:tcW w:w="1349" w:type="dxa"/>
          </w:tcPr>
          <w:p w14:paraId="7D706195" w14:textId="61961EB6" w:rsidR="00846721" w:rsidRPr="00B97C0F" w:rsidRDefault="00846721" w:rsidP="00846721">
            <w:pPr>
              <w:jc w:val="center"/>
              <w:rPr>
                <w:rFonts w:ascii="Times New Roman" w:eastAsia="Calibri" w:hAnsi="Times New Roman" w:cs="Times New Roman"/>
                <w:iCs/>
                <w:sz w:val="20"/>
                <w:szCs w:val="20"/>
              </w:rPr>
            </w:pPr>
            <w:r w:rsidRPr="00EF7C4D">
              <w:rPr>
                <w:rFonts w:ascii="Times New Roman" w:eastAsia="Calibri" w:hAnsi="Times New Roman" w:cs="Times New Roman"/>
                <w:iCs/>
                <w:sz w:val="20"/>
                <w:szCs w:val="20"/>
              </w:rPr>
              <w:t>Low</w:t>
            </w:r>
          </w:p>
        </w:tc>
        <w:tc>
          <w:tcPr>
            <w:tcW w:w="1135" w:type="dxa"/>
            <w:vAlign w:val="bottom"/>
          </w:tcPr>
          <w:p w14:paraId="5B5C84BE"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color w:val="000000"/>
                <w:sz w:val="20"/>
                <w:szCs w:val="20"/>
              </w:rPr>
              <w:t>86</w:t>
            </w:r>
          </w:p>
        </w:tc>
        <w:tc>
          <w:tcPr>
            <w:tcW w:w="1349" w:type="dxa"/>
          </w:tcPr>
          <w:p w14:paraId="075D515B" w14:textId="75D42BAF" w:rsidR="00846721" w:rsidRPr="00B97C0F" w:rsidRDefault="00846721" w:rsidP="00846721">
            <w:pPr>
              <w:jc w:val="center"/>
              <w:rPr>
                <w:rFonts w:ascii="Times New Roman" w:eastAsia="Calibri" w:hAnsi="Times New Roman" w:cs="Times New Roman"/>
                <w:iCs/>
                <w:sz w:val="20"/>
                <w:szCs w:val="20"/>
              </w:rPr>
            </w:pPr>
            <w:r w:rsidRPr="00DC1AB9">
              <w:rPr>
                <w:rFonts w:ascii="Times New Roman" w:eastAsia="Calibri" w:hAnsi="Times New Roman" w:cs="Times New Roman"/>
                <w:iCs/>
                <w:sz w:val="20"/>
                <w:szCs w:val="20"/>
              </w:rPr>
              <w:t>High</w:t>
            </w:r>
          </w:p>
        </w:tc>
      </w:tr>
      <w:tr w:rsidR="00846721" w:rsidRPr="00B97C0F" w14:paraId="7F6DC94F" w14:textId="77777777" w:rsidTr="00846721">
        <w:tc>
          <w:tcPr>
            <w:tcW w:w="461" w:type="dxa"/>
          </w:tcPr>
          <w:p w14:paraId="79C74215"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iCs/>
                <w:sz w:val="20"/>
                <w:szCs w:val="20"/>
              </w:rPr>
              <w:t>4.</w:t>
            </w:r>
          </w:p>
        </w:tc>
        <w:tc>
          <w:tcPr>
            <w:tcW w:w="1701" w:type="dxa"/>
            <w:vAlign w:val="bottom"/>
          </w:tcPr>
          <w:p w14:paraId="6C3F224D"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color w:val="000000"/>
                <w:sz w:val="20"/>
                <w:szCs w:val="20"/>
              </w:rPr>
              <w:t>KPZ</w:t>
            </w:r>
          </w:p>
        </w:tc>
        <w:tc>
          <w:tcPr>
            <w:tcW w:w="911" w:type="dxa"/>
            <w:vAlign w:val="bottom"/>
          </w:tcPr>
          <w:p w14:paraId="4D13DBC8"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color w:val="000000"/>
                <w:sz w:val="20"/>
                <w:szCs w:val="20"/>
              </w:rPr>
              <w:t>38</w:t>
            </w:r>
          </w:p>
        </w:tc>
        <w:tc>
          <w:tcPr>
            <w:tcW w:w="1349" w:type="dxa"/>
          </w:tcPr>
          <w:p w14:paraId="0DE37295" w14:textId="437C0D00" w:rsidR="00846721" w:rsidRPr="00B97C0F" w:rsidRDefault="00846721" w:rsidP="00846721">
            <w:pPr>
              <w:jc w:val="center"/>
              <w:rPr>
                <w:rFonts w:ascii="Times New Roman" w:eastAsia="Calibri" w:hAnsi="Times New Roman" w:cs="Times New Roman"/>
                <w:iCs/>
                <w:sz w:val="20"/>
                <w:szCs w:val="20"/>
              </w:rPr>
            </w:pPr>
            <w:r w:rsidRPr="00EF7C4D">
              <w:rPr>
                <w:rFonts w:ascii="Times New Roman" w:eastAsia="Calibri" w:hAnsi="Times New Roman" w:cs="Times New Roman"/>
                <w:iCs/>
                <w:sz w:val="20"/>
                <w:szCs w:val="20"/>
              </w:rPr>
              <w:t>Low</w:t>
            </w:r>
          </w:p>
        </w:tc>
        <w:tc>
          <w:tcPr>
            <w:tcW w:w="1135" w:type="dxa"/>
            <w:vAlign w:val="bottom"/>
          </w:tcPr>
          <w:p w14:paraId="69AF7952"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color w:val="000000"/>
                <w:sz w:val="20"/>
                <w:szCs w:val="20"/>
              </w:rPr>
              <w:t>85</w:t>
            </w:r>
          </w:p>
        </w:tc>
        <w:tc>
          <w:tcPr>
            <w:tcW w:w="1349" w:type="dxa"/>
          </w:tcPr>
          <w:p w14:paraId="0BCE2BAA" w14:textId="062CA7F1" w:rsidR="00846721" w:rsidRPr="00B97C0F" w:rsidRDefault="00846721" w:rsidP="00846721">
            <w:pPr>
              <w:jc w:val="center"/>
              <w:rPr>
                <w:rFonts w:ascii="Times New Roman" w:eastAsia="Calibri" w:hAnsi="Times New Roman" w:cs="Times New Roman"/>
                <w:iCs/>
                <w:sz w:val="20"/>
                <w:szCs w:val="20"/>
              </w:rPr>
            </w:pPr>
            <w:r w:rsidRPr="00DC1AB9">
              <w:rPr>
                <w:rFonts w:ascii="Times New Roman" w:eastAsia="Calibri" w:hAnsi="Times New Roman" w:cs="Times New Roman"/>
                <w:iCs/>
                <w:sz w:val="20"/>
                <w:szCs w:val="20"/>
              </w:rPr>
              <w:t>High</w:t>
            </w:r>
          </w:p>
        </w:tc>
      </w:tr>
      <w:tr w:rsidR="00846721" w:rsidRPr="00B97C0F" w14:paraId="42FB5D3C" w14:textId="77777777" w:rsidTr="00846721">
        <w:tc>
          <w:tcPr>
            <w:tcW w:w="461" w:type="dxa"/>
          </w:tcPr>
          <w:p w14:paraId="31D0D083"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iCs/>
                <w:sz w:val="20"/>
                <w:szCs w:val="20"/>
              </w:rPr>
              <w:t>5.</w:t>
            </w:r>
          </w:p>
        </w:tc>
        <w:tc>
          <w:tcPr>
            <w:tcW w:w="1701" w:type="dxa"/>
            <w:vAlign w:val="bottom"/>
          </w:tcPr>
          <w:p w14:paraId="32DC1253"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color w:val="000000"/>
                <w:sz w:val="20"/>
                <w:szCs w:val="20"/>
              </w:rPr>
              <w:t>AS</w:t>
            </w:r>
          </w:p>
        </w:tc>
        <w:tc>
          <w:tcPr>
            <w:tcW w:w="911" w:type="dxa"/>
            <w:vAlign w:val="bottom"/>
          </w:tcPr>
          <w:p w14:paraId="3FB7C0BC"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color w:val="000000"/>
                <w:sz w:val="20"/>
                <w:szCs w:val="20"/>
              </w:rPr>
              <w:t>39</w:t>
            </w:r>
          </w:p>
        </w:tc>
        <w:tc>
          <w:tcPr>
            <w:tcW w:w="1349" w:type="dxa"/>
          </w:tcPr>
          <w:p w14:paraId="0769CA30" w14:textId="1EB37542" w:rsidR="00846721" w:rsidRPr="00B97C0F" w:rsidRDefault="00846721" w:rsidP="00846721">
            <w:pPr>
              <w:jc w:val="center"/>
              <w:rPr>
                <w:rFonts w:ascii="Times New Roman" w:eastAsia="Calibri" w:hAnsi="Times New Roman" w:cs="Times New Roman"/>
                <w:iCs/>
                <w:sz w:val="20"/>
                <w:szCs w:val="20"/>
              </w:rPr>
            </w:pPr>
            <w:r w:rsidRPr="00EF7C4D">
              <w:rPr>
                <w:rFonts w:ascii="Times New Roman" w:eastAsia="Calibri" w:hAnsi="Times New Roman" w:cs="Times New Roman"/>
                <w:iCs/>
                <w:sz w:val="20"/>
                <w:szCs w:val="20"/>
              </w:rPr>
              <w:t>Low</w:t>
            </w:r>
          </w:p>
        </w:tc>
        <w:tc>
          <w:tcPr>
            <w:tcW w:w="1135" w:type="dxa"/>
            <w:vAlign w:val="bottom"/>
          </w:tcPr>
          <w:p w14:paraId="007E3768"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color w:val="000000"/>
                <w:sz w:val="20"/>
                <w:szCs w:val="20"/>
              </w:rPr>
              <w:t>84</w:t>
            </w:r>
          </w:p>
        </w:tc>
        <w:tc>
          <w:tcPr>
            <w:tcW w:w="1349" w:type="dxa"/>
          </w:tcPr>
          <w:p w14:paraId="05204B74" w14:textId="247786BA" w:rsidR="00846721" w:rsidRPr="00B97C0F" w:rsidRDefault="00846721" w:rsidP="00846721">
            <w:pPr>
              <w:jc w:val="center"/>
              <w:rPr>
                <w:rFonts w:ascii="Times New Roman" w:eastAsia="Calibri" w:hAnsi="Times New Roman" w:cs="Times New Roman"/>
                <w:iCs/>
                <w:sz w:val="20"/>
                <w:szCs w:val="20"/>
              </w:rPr>
            </w:pPr>
            <w:r w:rsidRPr="00DC1AB9">
              <w:rPr>
                <w:rFonts w:ascii="Times New Roman" w:eastAsia="Calibri" w:hAnsi="Times New Roman" w:cs="Times New Roman"/>
                <w:iCs/>
                <w:sz w:val="20"/>
                <w:szCs w:val="20"/>
              </w:rPr>
              <w:t>High</w:t>
            </w:r>
          </w:p>
        </w:tc>
      </w:tr>
      <w:tr w:rsidR="00846721" w:rsidRPr="00B97C0F" w14:paraId="08956F49" w14:textId="77777777" w:rsidTr="00846721">
        <w:tc>
          <w:tcPr>
            <w:tcW w:w="461" w:type="dxa"/>
          </w:tcPr>
          <w:p w14:paraId="40349FB2"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iCs/>
                <w:sz w:val="20"/>
                <w:szCs w:val="20"/>
              </w:rPr>
              <w:t>6.</w:t>
            </w:r>
          </w:p>
        </w:tc>
        <w:tc>
          <w:tcPr>
            <w:tcW w:w="1701" w:type="dxa"/>
            <w:vAlign w:val="bottom"/>
          </w:tcPr>
          <w:p w14:paraId="3DDF4289"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color w:val="000000"/>
                <w:sz w:val="20"/>
                <w:szCs w:val="20"/>
              </w:rPr>
              <w:t>FA</w:t>
            </w:r>
          </w:p>
        </w:tc>
        <w:tc>
          <w:tcPr>
            <w:tcW w:w="911" w:type="dxa"/>
            <w:vAlign w:val="bottom"/>
          </w:tcPr>
          <w:p w14:paraId="39085790"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color w:val="000000"/>
                <w:sz w:val="20"/>
                <w:szCs w:val="20"/>
              </w:rPr>
              <w:t>40</w:t>
            </w:r>
          </w:p>
        </w:tc>
        <w:tc>
          <w:tcPr>
            <w:tcW w:w="1349" w:type="dxa"/>
          </w:tcPr>
          <w:p w14:paraId="10140855" w14:textId="33AE01A7" w:rsidR="00846721" w:rsidRPr="00B97C0F" w:rsidRDefault="00846721" w:rsidP="00846721">
            <w:pPr>
              <w:jc w:val="center"/>
              <w:rPr>
                <w:rFonts w:ascii="Times New Roman" w:eastAsia="Calibri" w:hAnsi="Times New Roman" w:cs="Times New Roman"/>
                <w:iCs/>
                <w:sz w:val="20"/>
                <w:szCs w:val="20"/>
              </w:rPr>
            </w:pPr>
            <w:r w:rsidRPr="00EF7C4D">
              <w:rPr>
                <w:rFonts w:ascii="Times New Roman" w:eastAsia="Calibri" w:hAnsi="Times New Roman" w:cs="Times New Roman"/>
                <w:iCs/>
                <w:sz w:val="20"/>
                <w:szCs w:val="20"/>
              </w:rPr>
              <w:t>Low</w:t>
            </w:r>
          </w:p>
        </w:tc>
        <w:tc>
          <w:tcPr>
            <w:tcW w:w="1135" w:type="dxa"/>
            <w:vAlign w:val="bottom"/>
          </w:tcPr>
          <w:p w14:paraId="6B905043" w14:textId="77777777" w:rsidR="00846721" w:rsidRPr="00B97C0F" w:rsidRDefault="00846721" w:rsidP="00846721">
            <w:pPr>
              <w:jc w:val="center"/>
              <w:rPr>
                <w:rFonts w:ascii="Times New Roman" w:eastAsia="Calibri" w:hAnsi="Times New Roman" w:cs="Times New Roman"/>
                <w:iCs/>
                <w:sz w:val="20"/>
                <w:szCs w:val="20"/>
              </w:rPr>
            </w:pPr>
            <w:r w:rsidRPr="00B97C0F">
              <w:rPr>
                <w:rFonts w:ascii="Times New Roman" w:eastAsia="Calibri" w:hAnsi="Times New Roman" w:cs="Times New Roman"/>
                <w:color w:val="000000"/>
                <w:sz w:val="20"/>
                <w:szCs w:val="20"/>
              </w:rPr>
              <w:t>85</w:t>
            </w:r>
          </w:p>
        </w:tc>
        <w:tc>
          <w:tcPr>
            <w:tcW w:w="1349" w:type="dxa"/>
          </w:tcPr>
          <w:p w14:paraId="1A63FAB3" w14:textId="58E87515" w:rsidR="00846721" w:rsidRPr="00B97C0F" w:rsidRDefault="00846721" w:rsidP="00846721">
            <w:pPr>
              <w:jc w:val="center"/>
              <w:rPr>
                <w:rFonts w:ascii="Times New Roman" w:eastAsia="Calibri" w:hAnsi="Times New Roman" w:cs="Times New Roman"/>
                <w:iCs/>
                <w:sz w:val="20"/>
                <w:szCs w:val="20"/>
              </w:rPr>
            </w:pPr>
            <w:r w:rsidRPr="00DC1AB9">
              <w:rPr>
                <w:rFonts w:ascii="Times New Roman" w:eastAsia="Calibri" w:hAnsi="Times New Roman" w:cs="Times New Roman"/>
                <w:iCs/>
                <w:sz w:val="20"/>
                <w:szCs w:val="20"/>
              </w:rPr>
              <w:t>High</w:t>
            </w:r>
          </w:p>
        </w:tc>
      </w:tr>
      <w:tr w:rsidR="00F61E74" w:rsidRPr="00B97C0F" w14:paraId="309DA314" w14:textId="77777777" w:rsidTr="00846721">
        <w:tc>
          <w:tcPr>
            <w:tcW w:w="461" w:type="dxa"/>
          </w:tcPr>
          <w:p w14:paraId="67DAF738" w14:textId="77777777" w:rsidR="00F61E74" w:rsidRPr="00B97C0F" w:rsidRDefault="00F61E74" w:rsidP="00B97C0F">
            <w:pPr>
              <w:jc w:val="center"/>
              <w:rPr>
                <w:rFonts w:ascii="Times New Roman" w:eastAsia="Calibri" w:hAnsi="Times New Roman" w:cs="Times New Roman"/>
                <w:iCs/>
                <w:sz w:val="20"/>
                <w:szCs w:val="20"/>
              </w:rPr>
            </w:pPr>
          </w:p>
        </w:tc>
        <w:tc>
          <w:tcPr>
            <w:tcW w:w="1701" w:type="dxa"/>
            <w:vAlign w:val="bottom"/>
          </w:tcPr>
          <w:p w14:paraId="564B05EB" w14:textId="2B71580A" w:rsidR="00F61E74" w:rsidRPr="00B97C0F" w:rsidRDefault="00846721" w:rsidP="00B97C0F">
            <w:pPr>
              <w:jc w:val="center"/>
              <w:rPr>
                <w:rFonts w:ascii="Times New Roman" w:eastAsia="Calibri" w:hAnsi="Times New Roman" w:cs="Times New Roman"/>
                <w:b/>
                <w:bCs/>
                <w:color w:val="000000"/>
                <w:sz w:val="20"/>
                <w:szCs w:val="20"/>
              </w:rPr>
            </w:pPr>
            <w:r w:rsidRPr="00B97C0F">
              <w:rPr>
                <w:rFonts w:ascii="Times New Roman" w:eastAsia="Calibri" w:hAnsi="Times New Roman" w:cs="Times New Roman"/>
                <w:b/>
                <w:bCs/>
                <w:color w:val="000000"/>
                <w:sz w:val="20"/>
                <w:szCs w:val="20"/>
              </w:rPr>
              <w:t>Sum</w:t>
            </w:r>
          </w:p>
        </w:tc>
        <w:tc>
          <w:tcPr>
            <w:tcW w:w="911" w:type="dxa"/>
            <w:vAlign w:val="bottom"/>
          </w:tcPr>
          <w:p w14:paraId="172EFBC3" w14:textId="77777777" w:rsidR="00F61E74" w:rsidRPr="00B97C0F" w:rsidRDefault="00F61E74" w:rsidP="00B97C0F">
            <w:pPr>
              <w:jc w:val="center"/>
              <w:rPr>
                <w:rFonts w:ascii="Times New Roman" w:eastAsia="Calibri" w:hAnsi="Times New Roman" w:cs="Times New Roman"/>
                <w:b/>
                <w:bCs/>
                <w:color w:val="000000"/>
                <w:sz w:val="20"/>
                <w:szCs w:val="20"/>
              </w:rPr>
            </w:pPr>
            <w:r w:rsidRPr="00B97C0F">
              <w:rPr>
                <w:rFonts w:ascii="Times New Roman" w:eastAsia="Calibri" w:hAnsi="Times New Roman" w:cs="Times New Roman"/>
                <w:b/>
                <w:bCs/>
                <w:color w:val="000000"/>
                <w:sz w:val="20"/>
                <w:szCs w:val="20"/>
              </w:rPr>
              <w:t>242</w:t>
            </w:r>
          </w:p>
        </w:tc>
        <w:tc>
          <w:tcPr>
            <w:tcW w:w="1349" w:type="dxa"/>
          </w:tcPr>
          <w:p w14:paraId="007D3731" w14:textId="77777777" w:rsidR="00F61E74" w:rsidRPr="00B97C0F" w:rsidRDefault="00F61E74" w:rsidP="00B97C0F">
            <w:pPr>
              <w:jc w:val="center"/>
              <w:rPr>
                <w:rFonts w:ascii="Times New Roman" w:eastAsia="Calibri" w:hAnsi="Times New Roman" w:cs="Times New Roman"/>
                <w:b/>
                <w:bCs/>
                <w:iCs/>
                <w:sz w:val="20"/>
                <w:szCs w:val="20"/>
              </w:rPr>
            </w:pPr>
          </w:p>
        </w:tc>
        <w:tc>
          <w:tcPr>
            <w:tcW w:w="1135" w:type="dxa"/>
            <w:vAlign w:val="bottom"/>
          </w:tcPr>
          <w:p w14:paraId="5EBB13FD" w14:textId="77777777" w:rsidR="00F61E74" w:rsidRPr="00B97C0F" w:rsidRDefault="00F61E74" w:rsidP="00B97C0F">
            <w:pPr>
              <w:jc w:val="center"/>
              <w:rPr>
                <w:rFonts w:ascii="Times New Roman" w:eastAsia="Calibri" w:hAnsi="Times New Roman" w:cs="Times New Roman"/>
                <w:b/>
                <w:bCs/>
                <w:color w:val="000000"/>
                <w:sz w:val="20"/>
                <w:szCs w:val="20"/>
              </w:rPr>
            </w:pPr>
            <w:r w:rsidRPr="00B97C0F">
              <w:rPr>
                <w:rFonts w:ascii="Times New Roman" w:eastAsia="Calibri" w:hAnsi="Times New Roman" w:cs="Times New Roman"/>
                <w:b/>
                <w:bCs/>
                <w:color w:val="000000"/>
                <w:sz w:val="20"/>
                <w:szCs w:val="20"/>
              </w:rPr>
              <w:t>510</w:t>
            </w:r>
          </w:p>
        </w:tc>
        <w:tc>
          <w:tcPr>
            <w:tcW w:w="1349" w:type="dxa"/>
          </w:tcPr>
          <w:p w14:paraId="49FAABCD" w14:textId="77777777" w:rsidR="00F61E74" w:rsidRPr="00B97C0F" w:rsidRDefault="00F61E74" w:rsidP="00B97C0F">
            <w:pPr>
              <w:jc w:val="center"/>
              <w:rPr>
                <w:rFonts w:ascii="Times New Roman" w:eastAsia="Calibri" w:hAnsi="Times New Roman" w:cs="Times New Roman"/>
                <w:b/>
                <w:bCs/>
                <w:iCs/>
                <w:sz w:val="20"/>
                <w:szCs w:val="20"/>
              </w:rPr>
            </w:pPr>
          </w:p>
        </w:tc>
      </w:tr>
      <w:tr w:rsidR="00F61E74" w:rsidRPr="00B97C0F" w14:paraId="37D41BE0" w14:textId="77777777" w:rsidTr="00846721">
        <w:tc>
          <w:tcPr>
            <w:tcW w:w="461" w:type="dxa"/>
          </w:tcPr>
          <w:p w14:paraId="2A85F44F" w14:textId="77777777" w:rsidR="00F61E74" w:rsidRPr="00B97C0F" w:rsidRDefault="00F61E74" w:rsidP="00B97C0F">
            <w:pPr>
              <w:jc w:val="center"/>
              <w:rPr>
                <w:rFonts w:ascii="Times New Roman" w:eastAsia="Calibri" w:hAnsi="Times New Roman" w:cs="Times New Roman"/>
                <w:iCs/>
                <w:sz w:val="20"/>
                <w:szCs w:val="20"/>
              </w:rPr>
            </w:pPr>
          </w:p>
        </w:tc>
        <w:tc>
          <w:tcPr>
            <w:tcW w:w="1701" w:type="dxa"/>
            <w:vAlign w:val="bottom"/>
          </w:tcPr>
          <w:p w14:paraId="6FFA3D75" w14:textId="30C7E036" w:rsidR="00F61E74" w:rsidRPr="00B97C0F" w:rsidRDefault="00846721" w:rsidP="00B97C0F">
            <w:pPr>
              <w:jc w:val="center"/>
              <w:rPr>
                <w:rFonts w:ascii="Times New Roman" w:eastAsia="Calibri" w:hAnsi="Times New Roman" w:cs="Times New Roman"/>
                <w:b/>
                <w:bCs/>
                <w:color w:val="000000"/>
                <w:sz w:val="20"/>
                <w:szCs w:val="20"/>
              </w:rPr>
            </w:pPr>
            <w:r w:rsidRPr="00B97C0F">
              <w:rPr>
                <w:rFonts w:ascii="Times New Roman" w:eastAsia="Calibri" w:hAnsi="Times New Roman" w:cs="Times New Roman"/>
                <w:b/>
                <w:bCs/>
                <w:color w:val="000000"/>
                <w:sz w:val="20"/>
                <w:szCs w:val="20"/>
              </w:rPr>
              <w:t>Average Score</w:t>
            </w:r>
          </w:p>
        </w:tc>
        <w:tc>
          <w:tcPr>
            <w:tcW w:w="911" w:type="dxa"/>
            <w:vAlign w:val="bottom"/>
          </w:tcPr>
          <w:p w14:paraId="6E14ABA2" w14:textId="77777777" w:rsidR="00F61E74" w:rsidRPr="00B97C0F" w:rsidRDefault="00F61E74" w:rsidP="00B97C0F">
            <w:pPr>
              <w:jc w:val="center"/>
              <w:rPr>
                <w:rFonts w:ascii="Times New Roman" w:eastAsia="Calibri" w:hAnsi="Times New Roman" w:cs="Times New Roman"/>
                <w:b/>
                <w:bCs/>
                <w:color w:val="000000"/>
                <w:sz w:val="20"/>
                <w:szCs w:val="20"/>
              </w:rPr>
            </w:pPr>
            <w:r w:rsidRPr="00B97C0F">
              <w:rPr>
                <w:rFonts w:ascii="Times New Roman" w:eastAsia="Calibri" w:hAnsi="Times New Roman" w:cs="Times New Roman"/>
                <w:b/>
                <w:bCs/>
                <w:color w:val="000000"/>
                <w:sz w:val="20"/>
                <w:szCs w:val="20"/>
              </w:rPr>
              <w:t>40</w:t>
            </w:r>
          </w:p>
        </w:tc>
        <w:tc>
          <w:tcPr>
            <w:tcW w:w="1349" w:type="dxa"/>
          </w:tcPr>
          <w:p w14:paraId="2A09690D" w14:textId="3726FBE5" w:rsidR="00F61E74" w:rsidRPr="00B97C0F" w:rsidRDefault="00846721" w:rsidP="00B97C0F">
            <w:pPr>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Low</w:t>
            </w:r>
          </w:p>
        </w:tc>
        <w:tc>
          <w:tcPr>
            <w:tcW w:w="1135" w:type="dxa"/>
            <w:vAlign w:val="bottom"/>
          </w:tcPr>
          <w:p w14:paraId="460FF3A9" w14:textId="77777777" w:rsidR="00F61E74" w:rsidRPr="00B97C0F" w:rsidRDefault="00F61E74" w:rsidP="00B97C0F">
            <w:pPr>
              <w:jc w:val="center"/>
              <w:rPr>
                <w:rFonts w:ascii="Times New Roman" w:eastAsia="Calibri" w:hAnsi="Times New Roman" w:cs="Times New Roman"/>
                <w:b/>
                <w:bCs/>
                <w:color w:val="000000"/>
                <w:sz w:val="20"/>
                <w:szCs w:val="20"/>
              </w:rPr>
            </w:pPr>
            <w:r w:rsidRPr="00B97C0F">
              <w:rPr>
                <w:rFonts w:ascii="Times New Roman" w:eastAsia="Calibri" w:hAnsi="Times New Roman" w:cs="Times New Roman"/>
                <w:b/>
                <w:bCs/>
                <w:color w:val="000000"/>
                <w:sz w:val="20"/>
                <w:szCs w:val="20"/>
              </w:rPr>
              <w:t>85</w:t>
            </w:r>
          </w:p>
        </w:tc>
        <w:tc>
          <w:tcPr>
            <w:tcW w:w="1349" w:type="dxa"/>
          </w:tcPr>
          <w:p w14:paraId="6D036F5C" w14:textId="3D61A986" w:rsidR="00F61E74" w:rsidRPr="00B97C0F" w:rsidRDefault="00846721" w:rsidP="00B97C0F">
            <w:pPr>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High</w:t>
            </w:r>
          </w:p>
        </w:tc>
      </w:tr>
    </w:tbl>
    <w:p w14:paraId="5F3E392A" w14:textId="77777777" w:rsidR="00F61E74" w:rsidRDefault="00F61E74" w:rsidP="00F61E74">
      <w:pPr>
        <w:jc w:val="both"/>
        <w:rPr>
          <w:rFonts w:ascii="Times New Roman" w:hAnsi="Times New Roman" w:cs="Times New Roman"/>
          <w:sz w:val="20"/>
          <w:szCs w:val="20"/>
        </w:rPr>
      </w:pPr>
    </w:p>
    <w:p w14:paraId="7123E376" w14:textId="77777777" w:rsidR="00F61E74" w:rsidRPr="00EA6F1C" w:rsidRDefault="00F61E74" w:rsidP="00F61E74">
      <w:pPr>
        <w:jc w:val="center"/>
        <w:rPr>
          <w:rFonts w:ascii="Times New Roman" w:hAnsi="Times New Roman" w:cs="Times New Roman"/>
          <w:iCs/>
          <w:sz w:val="24"/>
          <w:szCs w:val="24"/>
        </w:rPr>
      </w:pPr>
      <w:r w:rsidRPr="00EA6F1C">
        <w:rPr>
          <w:rFonts w:ascii="Times New Roman" w:hAnsi="Times New Roman" w:cs="Times New Roman"/>
          <w:iCs/>
          <w:noProof/>
          <w:sz w:val="24"/>
          <w:szCs w:val="24"/>
        </w:rPr>
        <w:drawing>
          <wp:inline distT="0" distB="0" distL="0" distR="0" wp14:anchorId="7090ECAF" wp14:editId="3BFB0172">
            <wp:extent cx="4219575" cy="2124075"/>
            <wp:effectExtent l="0" t="0" r="9525" b="9525"/>
            <wp:docPr id="178717834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63C3BA" w14:textId="0258597E" w:rsidR="00846721" w:rsidRPr="00B97C0F" w:rsidRDefault="00846721" w:rsidP="00015747">
      <w:pPr>
        <w:spacing w:line="480" w:lineRule="auto"/>
        <w:jc w:val="center"/>
        <w:rPr>
          <w:rFonts w:ascii="Times New Roman" w:hAnsi="Times New Roman" w:cs="Times New Roman"/>
          <w:b/>
          <w:bCs/>
          <w:sz w:val="20"/>
          <w:szCs w:val="20"/>
        </w:rPr>
      </w:pPr>
      <w:r w:rsidRPr="00B97C0F">
        <w:rPr>
          <w:rFonts w:ascii="Times New Roman" w:hAnsi="Times New Roman" w:cs="Times New Roman"/>
          <w:b/>
          <w:bCs/>
          <w:sz w:val="20"/>
          <w:szCs w:val="20"/>
        </w:rPr>
        <w:t xml:space="preserve">Figure 1. </w:t>
      </w:r>
      <w:r w:rsidRPr="00B97C0F">
        <w:rPr>
          <w:rFonts w:ascii="Times New Roman" w:hAnsi="Times New Roman" w:cs="Times New Roman"/>
          <w:sz w:val="20"/>
          <w:szCs w:val="20"/>
        </w:rPr>
        <w:t xml:space="preserve">Pretest </w:t>
      </w:r>
      <w:r w:rsidRPr="00B97C0F">
        <w:rPr>
          <w:rFonts w:ascii="Times New Roman" w:hAnsi="Times New Roman" w:cs="Times New Roman"/>
          <w:i/>
          <w:iCs/>
          <w:sz w:val="20"/>
          <w:szCs w:val="20"/>
        </w:rPr>
        <w:t xml:space="preserve">and </w:t>
      </w:r>
      <w:r w:rsidRPr="00B97C0F">
        <w:rPr>
          <w:rFonts w:ascii="Times New Roman" w:hAnsi="Times New Roman" w:cs="Times New Roman"/>
          <w:sz w:val="20"/>
          <w:szCs w:val="20"/>
        </w:rPr>
        <w:t>Postest</w:t>
      </w:r>
      <w:r w:rsidRPr="00B97C0F">
        <w:rPr>
          <w:rFonts w:ascii="Times New Roman" w:hAnsi="Times New Roman" w:cs="Times New Roman"/>
          <w:i/>
          <w:iCs/>
          <w:sz w:val="20"/>
          <w:szCs w:val="20"/>
        </w:rPr>
        <w:t xml:space="preserve"> Graph </w:t>
      </w:r>
      <w:r w:rsidRPr="00B97C0F">
        <w:rPr>
          <w:rFonts w:ascii="Times New Roman" w:hAnsi="Times New Roman" w:cs="Times New Roman"/>
          <w:sz w:val="20"/>
          <w:szCs w:val="20"/>
        </w:rPr>
        <w:t>of Experimental Groups</w:t>
      </w:r>
    </w:p>
    <w:p w14:paraId="19250F4F" w14:textId="4F46423E" w:rsidR="00F61E74" w:rsidRPr="00B97C0F" w:rsidRDefault="00846721" w:rsidP="00B97C0F">
      <w:pPr>
        <w:pStyle w:val="BodyText"/>
        <w:spacing w:before="8" w:line="237" w:lineRule="auto"/>
        <w:ind w:left="136" w:right="133" w:firstLine="720"/>
        <w:jc w:val="both"/>
      </w:pPr>
      <w:r w:rsidRPr="00B97C0F">
        <w:t>Based on the results of the pretest and posttest, the students who were respondents in the experimental group of students sampled in this study experienced changes in scores and categories. It can be seen from the results of the pretest and posttest of the experimental group that there is a significant change in the self-openness of students. This is because the experimental group was given treatment in the form of group counseling with assertive training techniques so that there was an increase in scores and changes in categories in students' self-disclosure. This is strengthened by the results of the average score obtained by the pretest of the experimental group of 40 which is in the "Low" category and the average score of the experimental group post test of 85 which is in the "High" category.</w:t>
      </w:r>
      <w:r>
        <w:t xml:space="preserve"> </w:t>
      </w:r>
      <w:proofErr w:type="gramStart"/>
      <w:r w:rsidRPr="00B97C0F">
        <w:t>So</w:t>
      </w:r>
      <w:proofErr w:type="gramEnd"/>
      <w:r>
        <w:t xml:space="preserve"> </w:t>
      </w:r>
      <w:r w:rsidRPr="00B97C0F">
        <w:t>it can be concluded that there is an increase in students' self-openness</w:t>
      </w:r>
      <w:r w:rsidR="00F61E74" w:rsidRPr="00B97C0F">
        <w:t>.</w:t>
      </w:r>
    </w:p>
    <w:p w14:paraId="3DC8FF20" w14:textId="77777777" w:rsidR="00F61E74" w:rsidRPr="00B97C0F" w:rsidRDefault="00F61E74" w:rsidP="00B97C0F">
      <w:pPr>
        <w:pStyle w:val="BodyText"/>
        <w:spacing w:before="8" w:line="237" w:lineRule="auto"/>
        <w:ind w:left="136" w:right="133" w:firstLine="720"/>
        <w:jc w:val="both"/>
      </w:pPr>
    </w:p>
    <w:p w14:paraId="4F9B6739" w14:textId="77777777" w:rsidR="00846721" w:rsidRPr="00B97C0F" w:rsidRDefault="00846721" w:rsidP="00587020">
      <w:pPr>
        <w:pStyle w:val="BodyText"/>
        <w:spacing w:before="8" w:line="237" w:lineRule="auto"/>
        <w:ind w:left="142" w:right="133"/>
        <w:jc w:val="both"/>
        <w:rPr>
          <w:b/>
          <w:bCs/>
        </w:rPr>
      </w:pPr>
      <w:r w:rsidRPr="00B97C0F">
        <w:rPr>
          <w:b/>
          <w:bCs/>
        </w:rPr>
        <w:t>Pretest and Posttest Data in the Control Group</w:t>
      </w:r>
    </w:p>
    <w:p w14:paraId="34474F5D" w14:textId="36C0BA99" w:rsidR="00F61E74" w:rsidRDefault="00846721" w:rsidP="00B97C0F">
      <w:pPr>
        <w:pStyle w:val="BodyText"/>
        <w:spacing w:before="8" w:line="237" w:lineRule="auto"/>
        <w:ind w:left="136" w:right="133" w:firstLine="720"/>
        <w:jc w:val="both"/>
      </w:pPr>
      <w:r w:rsidRPr="00CB12A7">
        <w:t>Pretest data is data obtained from the results of the self-disclosure scale work that has been filled in by respondents before further action is implemented. The results of the score are processed and analyzed to be adjusted to the categorization that has been set. The following is the distribution of pretest posttest data for student self-disclosure</w:t>
      </w:r>
      <w:r w:rsidR="00F61E74" w:rsidRPr="00B97C0F">
        <w:t>.</w:t>
      </w:r>
    </w:p>
    <w:p w14:paraId="7E2318AA" w14:textId="7F3A9BB8" w:rsidR="00576377" w:rsidRPr="00576377" w:rsidRDefault="00576377" w:rsidP="00576377">
      <w:pPr>
        <w:ind w:left="142"/>
        <w:rPr>
          <w:rFonts w:ascii="Times New Roman" w:hAnsi="Times New Roman" w:cs="Times New Roman"/>
          <w:b/>
          <w:bCs/>
          <w:sz w:val="20"/>
          <w:szCs w:val="20"/>
        </w:rPr>
      </w:pPr>
      <w:r w:rsidRPr="00B97C0F">
        <w:rPr>
          <w:rFonts w:ascii="Times New Roman" w:hAnsi="Times New Roman" w:cs="Times New Roman"/>
          <w:b/>
          <w:bCs/>
          <w:iCs/>
          <w:sz w:val="20"/>
          <w:szCs w:val="20"/>
        </w:rPr>
        <w:t xml:space="preserve">Table 2. </w:t>
      </w:r>
      <w:r w:rsidRPr="00846721">
        <w:rPr>
          <w:rFonts w:ascii="Times New Roman" w:hAnsi="Times New Roman" w:cs="Times New Roman"/>
          <w:iCs/>
          <w:sz w:val="20"/>
          <w:szCs w:val="20"/>
        </w:rPr>
        <w:t>Prestest</w:t>
      </w:r>
      <w:r w:rsidRPr="00846721">
        <w:rPr>
          <w:rFonts w:ascii="Times New Roman" w:hAnsi="Times New Roman" w:cs="Times New Roman"/>
          <w:i/>
          <w:sz w:val="20"/>
          <w:szCs w:val="20"/>
        </w:rPr>
        <w:t xml:space="preserve"> and </w:t>
      </w:r>
      <w:r w:rsidRPr="00846721">
        <w:rPr>
          <w:rFonts w:ascii="Times New Roman" w:hAnsi="Times New Roman" w:cs="Times New Roman"/>
          <w:iCs/>
          <w:sz w:val="20"/>
          <w:szCs w:val="20"/>
        </w:rPr>
        <w:t xml:space="preserve">Postest </w:t>
      </w:r>
      <w:r w:rsidRPr="00846721">
        <w:rPr>
          <w:rFonts w:ascii="Times New Roman" w:hAnsi="Times New Roman" w:cs="Times New Roman"/>
          <w:i/>
          <w:sz w:val="20"/>
          <w:szCs w:val="20"/>
        </w:rPr>
        <w:t xml:space="preserve">Results </w:t>
      </w:r>
      <w:r w:rsidRPr="00846721">
        <w:rPr>
          <w:rFonts w:ascii="Times New Roman" w:hAnsi="Times New Roman" w:cs="Times New Roman"/>
          <w:sz w:val="20"/>
          <w:szCs w:val="20"/>
        </w:rPr>
        <w:t>in the Control Group</w:t>
      </w:r>
    </w:p>
    <w:tbl>
      <w:tblPr>
        <w:tblStyle w:val="TableGrid4"/>
        <w:tblW w:w="0" w:type="auto"/>
        <w:tblInd w:w="137" w:type="dxa"/>
        <w:tblLook w:val="04A0" w:firstRow="1" w:lastRow="0" w:firstColumn="1" w:lastColumn="0" w:noHBand="0" w:noVBand="1"/>
      </w:tblPr>
      <w:tblGrid>
        <w:gridCol w:w="461"/>
        <w:gridCol w:w="1701"/>
        <w:gridCol w:w="911"/>
        <w:gridCol w:w="1349"/>
        <w:gridCol w:w="1135"/>
        <w:gridCol w:w="1349"/>
      </w:tblGrid>
      <w:tr w:rsidR="00576377" w:rsidRPr="00D2442F" w14:paraId="7553E373" w14:textId="77777777" w:rsidTr="00576377">
        <w:tc>
          <w:tcPr>
            <w:tcW w:w="461" w:type="dxa"/>
          </w:tcPr>
          <w:p w14:paraId="0FBDFB09" w14:textId="77777777" w:rsidR="00576377" w:rsidRPr="00D2442F" w:rsidRDefault="00576377" w:rsidP="00576377">
            <w:pPr>
              <w:widowControl/>
              <w:autoSpaceDE/>
              <w:autoSpaceDN/>
              <w:spacing w:before="120"/>
              <w:jc w:val="center"/>
              <w:rPr>
                <w:rFonts w:ascii="Times New Roman" w:eastAsia="Calibri" w:hAnsi="Times New Roman" w:cs="Times New Roman"/>
                <w:b/>
                <w:bCs/>
                <w:iCs/>
                <w:kern w:val="2"/>
                <w:sz w:val="20"/>
                <w:szCs w:val="20"/>
                <w14:ligatures w14:val="standardContextual"/>
              </w:rPr>
            </w:pPr>
            <w:r w:rsidRPr="00D2442F">
              <w:rPr>
                <w:rFonts w:ascii="Times New Roman" w:eastAsia="Calibri" w:hAnsi="Times New Roman" w:cs="Times New Roman"/>
                <w:b/>
                <w:bCs/>
                <w:iCs/>
                <w:kern w:val="2"/>
                <w:sz w:val="20"/>
                <w:szCs w:val="20"/>
                <w14:ligatures w14:val="standardContextual"/>
              </w:rPr>
              <w:t>No</w:t>
            </w:r>
          </w:p>
        </w:tc>
        <w:tc>
          <w:tcPr>
            <w:tcW w:w="1701" w:type="dxa"/>
          </w:tcPr>
          <w:p w14:paraId="06542F3C" w14:textId="72DA3EF9" w:rsidR="00576377" w:rsidRPr="00D2442F" w:rsidRDefault="00576377" w:rsidP="00576377">
            <w:pPr>
              <w:widowControl/>
              <w:autoSpaceDE/>
              <w:autoSpaceDN/>
              <w:jc w:val="center"/>
              <w:rPr>
                <w:rFonts w:ascii="Times New Roman" w:eastAsia="Calibri" w:hAnsi="Times New Roman" w:cs="Times New Roman"/>
                <w:b/>
                <w:bCs/>
                <w:iCs/>
                <w:kern w:val="2"/>
                <w:sz w:val="20"/>
                <w:szCs w:val="20"/>
                <w14:ligatures w14:val="standardContextual"/>
              </w:rPr>
            </w:pPr>
            <w:r w:rsidRPr="00B97C0F">
              <w:rPr>
                <w:rFonts w:ascii="Times New Roman" w:eastAsia="Calibri" w:hAnsi="Times New Roman" w:cs="Times New Roman"/>
                <w:b/>
                <w:bCs/>
                <w:iCs/>
                <w:sz w:val="20"/>
                <w:szCs w:val="20"/>
              </w:rPr>
              <w:t>Student Name</w:t>
            </w:r>
          </w:p>
        </w:tc>
        <w:tc>
          <w:tcPr>
            <w:tcW w:w="911" w:type="dxa"/>
          </w:tcPr>
          <w:p w14:paraId="66A4D5A7" w14:textId="7F4EF287" w:rsidR="00576377" w:rsidRPr="00D2442F" w:rsidRDefault="00576377" w:rsidP="00576377">
            <w:pPr>
              <w:widowControl/>
              <w:autoSpaceDE/>
              <w:autoSpaceDN/>
              <w:spacing w:before="120"/>
              <w:jc w:val="center"/>
              <w:rPr>
                <w:rFonts w:ascii="Times New Roman" w:eastAsia="Calibri" w:hAnsi="Times New Roman" w:cs="Times New Roman"/>
                <w:b/>
                <w:bCs/>
                <w:i/>
                <w:kern w:val="2"/>
                <w:sz w:val="20"/>
                <w:szCs w:val="20"/>
                <w14:ligatures w14:val="standardContextual"/>
              </w:rPr>
            </w:pPr>
            <w:r w:rsidRPr="00B97C0F">
              <w:rPr>
                <w:rFonts w:ascii="Times New Roman" w:eastAsia="Calibri" w:hAnsi="Times New Roman" w:cs="Times New Roman"/>
                <w:b/>
                <w:bCs/>
                <w:i/>
                <w:sz w:val="20"/>
                <w:szCs w:val="20"/>
              </w:rPr>
              <w:t>Pretest</w:t>
            </w:r>
          </w:p>
        </w:tc>
        <w:tc>
          <w:tcPr>
            <w:tcW w:w="1349" w:type="dxa"/>
          </w:tcPr>
          <w:p w14:paraId="5CA56519" w14:textId="2D2F7AA3" w:rsidR="00576377" w:rsidRPr="00D2442F" w:rsidRDefault="00576377" w:rsidP="00576377">
            <w:pPr>
              <w:widowControl/>
              <w:autoSpaceDE/>
              <w:autoSpaceDN/>
              <w:spacing w:before="120"/>
              <w:jc w:val="center"/>
              <w:rPr>
                <w:rFonts w:ascii="Times New Roman" w:eastAsia="Calibri" w:hAnsi="Times New Roman" w:cs="Times New Roman"/>
                <w:b/>
                <w:bCs/>
                <w:iCs/>
                <w:kern w:val="2"/>
                <w:sz w:val="20"/>
                <w:szCs w:val="20"/>
                <w14:ligatures w14:val="standardContextual"/>
              </w:rPr>
            </w:pPr>
            <w:r w:rsidRPr="00B97C0F">
              <w:rPr>
                <w:rFonts w:ascii="Times New Roman" w:eastAsia="Calibri" w:hAnsi="Times New Roman" w:cs="Times New Roman"/>
                <w:b/>
                <w:bCs/>
                <w:iCs/>
                <w:sz w:val="20"/>
                <w:szCs w:val="20"/>
              </w:rPr>
              <w:t>Information</w:t>
            </w:r>
          </w:p>
        </w:tc>
        <w:tc>
          <w:tcPr>
            <w:tcW w:w="1135" w:type="dxa"/>
          </w:tcPr>
          <w:p w14:paraId="50244C78" w14:textId="0BADB495" w:rsidR="00576377" w:rsidRPr="00D2442F" w:rsidRDefault="00576377" w:rsidP="00576377">
            <w:pPr>
              <w:widowControl/>
              <w:autoSpaceDE/>
              <w:autoSpaceDN/>
              <w:spacing w:before="120"/>
              <w:jc w:val="center"/>
              <w:rPr>
                <w:rFonts w:ascii="Times New Roman" w:eastAsia="Calibri" w:hAnsi="Times New Roman" w:cs="Times New Roman"/>
                <w:b/>
                <w:bCs/>
                <w:i/>
                <w:kern w:val="2"/>
                <w:sz w:val="20"/>
                <w:szCs w:val="20"/>
                <w14:ligatures w14:val="standardContextual"/>
              </w:rPr>
            </w:pPr>
            <w:r w:rsidRPr="00B97C0F">
              <w:rPr>
                <w:rFonts w:ascii="Times New Roman" w:eastAsia="Calibri" w:hAnsi="Times New Roman" w:cs="Times New Roman"/>
                <w:b/>
                <w:bCs/>
                <w:i/>
                <w:sz w:val="20"/>
                <w:szCs w:val="20"/>
              </w:rPr>
              <w:t>Postest</w:t>
            </w:r>
          </w:p>
        </w:tc>
        <w:tc>
          <w:tcPr>
            <w:tcW w:w="1349" w:type="dxa"/>
          </w:tcPr>
          <w:p w14:paraId="1B967003" w14:textId="60CEB83A" w:rsidR="00576377" w:rsidRPr="00D2442F" w:rsidRDefault="00576377" w:rsidP="00576377">
            <w:pPr>
              <w:widowControl/>
              <w:autoSpaceDE/>
              <w:autoSpaceDN/>
              <w:spacing w:before="120"/>
              <w:jc w:val="center"/>
              <w:rPr>
                <w:rFonts w:ascii="Times New Roman" w:eastAsia="Calibri" w:hAnsi="Times New Roman" w:cs="Times New Roman"/>
                <w:b/>
                <w:bCs/>
                <w:iCs/>
                <w:kern w:val="2"/>
                <w:sz w:val="20"/>
                <w:szCs w:val="20"/>
                <w14:ligatures w14:val="standardContextual"/>
              </w:rPr>
            </w:pPr>
            <w:r w:rsidRPr="00B97C0F">
              <w:rPr>
                <w:rFonts w:ascii="Times New Roman" w:eastAsia="Calibri" w:hAnsi="Times New Roman" w:cs="Times New Roman"/>
                <w:b/>
                <w:bCs/>
                <w:iCs/>
                <w:sz w:val="20"/>
                <w:szCs w:val="20"/>
              </w:rPr>
              <w:t>Information</w:t>
            </w:r>
          </w:p>
        </w:tc>
      </w:tr>
      <w:tr w:rsidR="00F61E74" w:rsidRPr="00D2442F" w14:paraId="4822A4C7" w14:textId="77777777" w:rsidTr="00576377">
        <w:tc>
          <w:tcPr>
            <w:tcW w:w="461" w:type="dxa"/>
          </w:tcPr>
          <w:p w14:paraId="2E49B41B" w14:textId="77777777" w:rsidR="00F61E74" w:rsidRPr="00D2442F" w:rsidRDefault="00F61E74" w:rsidP="00B97C0F">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iCs/>
                <w:kern w:val="2"/>
                <w:sz w:val="20"/>
                <w:szCs w:val="20"/>
                <w14:ligatures w14:val="standardContextual"/>
              </w:rPr>
              <w:t>1.</w:t>
            </w:r>
          </w:p>
        </w:tc>
        <w:tc>
          <w:tcPr>
            <w:tcW w:w="1701" w:type="dxa"/>
            <w:vAlign w:val="bottom"/>
          </w:tcPr>
          <w:p w14:paraId="5C8F3710" w14:textId="77777777" w:rsidR="00F61E74" w:rsidRPr="00D2442F" w:rsidRDefault="00F61E74" w:rsidP="00B97C0F">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color w:val="000000"/>
                <w:kern w:val="2"/>
                <w:sz w:val="20"/>
                <w:szCs w:val="20"/>
                <w14:ligatures w14:val="standardContextual"/>
              </w:rPr>
              <w:t>EJMD</w:t>
            </w:r>
          </w:p>
        </w:tc>
        <w:tc>
          <w:tcPr>
            <w:tcW w:w="911" w:type="dxa"/>
            <w:vAlign w:val="bottom"/>
          </w:tcPr>
          <w:p w14:paraId="7D40570C" w14:textId="77777777" w:rsidR="00F61E74" w:rsidRPr="00D2442F" w:rsidRDefault="00F61E74" w:rsidP="00B97C0F">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color w:val="000000"/>
                <w:kern w:val="2"/>
                <w:sz w:val="20"/>
                <w:szCs w:val="20"/>
                <w14:ligatures w14:val="standardContextual"/>
              </w:rPr>
              <w:t>42</w:t>
            </w:r>
          </w:p>
        </w:tc>
        <w:tc>
          <w:tcPr>
            <w:tcW w:w="1349" w:type="dxa"/>
          </w:tcPr>
          <w:p w14:paraId="28585954" w14:textId="08DF2CCF" w:rsidR="00F61E74" w:rsidRPr="00D2442F" w:rsidRDefault="00576377" w:rsidP="00B97C0F">
            <w:pPr>
              <w:widowControl/>
              <w:autoSpaceDE/>
              <w:autoSpaceDN/>
              <w:jc w:val="center"/>
              <w:rPr>
                <w:rFonts w:ascii="Times New Roman" w:eastAsia="Calibri" w:hAnsi="Times New Roman" w:cs="Times New Roman"/>
                <w:iCs/>
                <w:kern w:val="2"/>
                <w:sz w:val="20"/>
                <w:szCs w:val="20"/>
                <w14:ligatures w14:val="standardContextual"/>
              </w:rPr>
            </w:pPr>
            <w:r>
              <w:rPr>
                <w:rFonts w:ascii="Times New Roman" w:eastAsia="Calibri" w:hAnsi="Times New Roman" w:cs="Times New Roman"/>
                <w:iCs/>
                <w:kern w:val="2"/>
                <w:sz w:val="20"/>
                <w:szCs w:val="20"/>
                <w14:ligatures w14:val="standardContextual"/>
              </w:rPr>
              <w:t>Low</w:t>
            </w:r>
          </w:p>
        </w:tc>
        <w:tc>
          <w:tcPr>
            <w:tcW w:w="1135" w:type="dxa"/>
            <w:vAlign w:val="bottom"/>
          </w:tcPr>
          <w:p w14:paraId="6067A9A1" w14:textId="77777777" w:rsidR="00F61E74" w:rsidRPr="00D2442F" w:rsidRDefault="00F61E74" w:rsidP="00B97C0F">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color w:val="000000"/>
                <w:kern w:val="2"/>
                <w:sz w:val="20"/>
                <w:szCs w:val="20"/>
                <w14:ligatures w14:val="standardContextual"/>
              </w:rPr>
              <w:t>84</w:t>
            </w:r>
          </w:p>
        </w:tc>
        <w:tc>
          <w:tcPr>
            <w:tcW w:w="1349" w:type="dxa"/>
          </w:tcPr>
          <w:p w14:paraId="03E37596" w14:textId="50501F4C" w:rsidR="00F61E74" w:rsidRPr="00D2442F" w:rsidRDefault="00576377" w:rsidP="00B97C0F">
            <w:pPr>
              <w:widowControl/>
              <w:autoSpaceDE/>
              <w:autoSpaceDN/>
              <w:jc w:val="center"/>
              <w:rPr>
                <w:rFonts w:ascii="Times New Roman" w:eastAsia="Calibri" w:hAnsi="Times New Roman" w:cs="Times New Roman"/>
                <w:iCs/>
                <w:kern w:val="2"/>
                <w:sz w:val="20"/>
                <w:szCs w:val="20"/>
                <w14:ligatures w14:val="standardContextual"/>
              </w:rPr>
            </w:pPr>
            <w:r>
              <w:rPr>
                <w:rFonts w:ascii="Times New Roman" w:eastAsia="Calibri" w:hAnsi="Times New Roman" w:cs="Times New Roman"/>
                <w:iCs/>
                <w:kern w:val="2"/>
                <w:sz w:val="20"/>
                <w:szCs w:val="20"/>
                <w14:ligatures w14:val="standardContextual"/>
              </w:rPr>
              <w:t>High</w:t>
            </w:r>
          </w:p>
        </w:tc>
      </w:tr>
      <w:tr w:rsidR="00576377" w:rsidRPr="00D2442F" w14:paraId="531409BA" w14:textId="77777777" w:rsidTr="00576377">
        <w:tc>
          <w:tcPr>
            <w:tcW w:w="461" w:type="dxa"/>
          </w:tcPr>
          <w:p w14:paraId="7418435A"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iCs/>
                <w:kern w:val="2"/>
                <w:sz w:val="20"/>
                <w:szCs w:val="20"/>
                <w14:ligatures w14:val="standardContextual"/>
              </w:rPr>
              <w:t>2.</w:t>
            </w:r>
          </w:p>
        </w:tc>
        <w:tc>
          <w:tcPr>
            <w:tcW w:w="1701" w:type="dxa"/>
            <w:vAlign w:val="bottom"/>
          </w:tcPr>
          <w:p w14:paraId="61DCC476"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color w:val="000000"/>
                <w:kern w:val="2"/>
                <w:sz w:val="20"/>
                <w:szCs w:val="20"/>
                <w14:ligatures w14:val="standardContextual"/>
              </w:rPr>
              <w:t>SA</w:t>
            </w:r>
          </w:p>
        </w:tc>
        <w:tc>
          <w:tcPr>
            <w:tcW w:w="911" w:type="dxa"/>
            <w:vAlign w:val="bottom"/>
          </w:tcPr>
          <w:p w14:paraId="6D69CAF1"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color w:val="000000"/>
                <w:kern w:val="2"/>
                <w:sz w:val="20"/>
                <w:szCs w:val="20"/>
                <w14:ligatures w14:val="standardContextual"/>
              </w:rPr>
              <w:t>41</w:t>
            </w:r>
          </w:p>
        </w:tc>
        <w:tc>
          <w:tcPr>
            <w:tcW w:w="1349" w:type="dxa"/>
          </w:tcPr>
          <w:p w14:paraId="0E9B64DB" w14:textId="312BB8EE"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2E4723">
              <w:rPr>
                <w:rFonts w:ascii="Times New Roman" w:eastAsia="Calibri" w:hAnsi="Times New Roman" w:cs="Times New Roman"/>
                <w:iCs/>
                <w:kern w:val="2"/>
                <w:sz w:val="20"/>
                <w:szCs w:val="20"/>
                <w14:ligatures w14:val="standardContextual"/>
              </w:rPr>
              <w:t>Low</w:t>
            </w:r>
          </w:p>
        </w:tc>
        <w:tc>
          <w:tcPr>
            <w:tcW w:w="1135" w:type="dxa"/>
            <w:vAlign w:val="bottom"/>
          </w:tcPr>
          <w:p w14:paraId="7A78EF36"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color w:val="000000"/>
                <w:kern w:val="2"/>
                <w:sz w:val="20"/>
                <w:szCs w:val="20"/>
                <w14:ligatures w14:val="standardContextual"/>
              </w:rPr>
              <w:t>86</w:t>
            </w:r>
          </w:p>
        </w:tc>
        <w:tc>
          <w:tcPr>
            <w:tcW w:w="1349" w:type="dxa"/>
          </w:tcPr>
          <w:p w14:paraId="0C7DD9AA" w14:textId="4F67112A"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6E7836">
              <w:rPr>
                <w:rFonts w:ascii="Times New Roman" w:eastAsia="Calibri" w:hAnsi="Times New Roman" w:cs="Times New Roman"/>
                <w:iCs/>
                <w:kern w:val="2"/>
                <w:sz w:val="20"/>
                <w:szCs w:val="20"/>
                <w14:ligatures w14:val="standardContextual"/>
              </w:rPr>
              <w:t>High</w:t>
            </w:r>
          </w:p>
        </w:tc>
      </w:tr>
      <w:tr w:rsidR="00576377" w:rsidRPr="00D2442F" w14:paraId="63646CA3" w14:textId="77777777" w:rsidTr="00576377">
        <w:tc>
          <w:tcPr>
            <w:tcW w:w="461" w:type="dxa"/>
          </w:tcPr>
          <w:p w14:paraId="42C5FC89"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iCs/>
                <w:kern w:val="2"/>
                <w:sz w:val="20"/>
                <w:szCs w:val="20"/>
                <w14:ligatures w14:val="standardContextual"/>
              </w:rPr>
              <w:t>3.</w:t>
            </w:r>
          </w:p>
        </w:tc>
        <w:tc>
          <w:tcPr>
            <w:tcW w:w="1701" w:type="dxa"/>
            <w:vAlign w:val="bottom"/>
          </w:tcPr>
          <w:p w14:paraId="4075F70D"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color w:val="000000"/>
                <w:kern w:val="2"/>
                <w:sz w:val="20"/>
                <w:szCs w:val="20"/>
                <w14:ligatures w14:val="standardContextual"/>
              </w:rPr>
              <w:t>SMA</w:t>
            </w:r>
          </w:p>
        </w:tc>
        <w:tc>
          <w:tcPr>
            <w:tcW w:w="911" w:type="dxa"/>
            <w:vAlign w:val="bottom"/>
          </w:tcPr>
          <w:p w14:paraId="08937B0D"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color w:val="000000"/>
                <w:kern w:val="2"/>
                <w:sz w:val="20"/>
                <w:szCs w:val="20"/>
                <w14:ligatures w14:val="standardContextual"/>
              </w:rPr>
              <w:t>42</w:t>
            </w:r>
          </w:p>
        </w:tc>
        <w:tc>
          <w:tcPr>
            <w:tcW w:w="1349" w:type="dxa"/>
          </w:tcPr>
          <w:p w14:paraId="1CE46696" w14:textId="5A4D9E34"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2E4723">
              <w:rPr>
                <w:rFonts w:ascii="Times New Roman" w:eastAsia="Calibri" w:hAnsi="Times New Roman" w:cs="Times New Roman"/>
                <w:iCs/>
                <w:kern w:val="2"/>
                <w:sz w:val="20"/>
                <w:szCs w:val="20"/>
                <w14:ligatures w14:val="standardContextual"/>
              </w:rPr>
              <w:t>Low</w:t>
            </w:r>
          </w:p>
        </w:tc>
        <w:tc>
          <w:tcPr>
            <w:tcW w:w="1135" w:type="dxa"/>
            <w:vAlign w:val="bottom"/>
          </w:tcPr>
          <w:p w14:paraId="01403933"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color w:val="000000"/>
                <w:kern w:val="2"/>
                <w:sz w:val="20"/>
                <w:szCs w:val="20"/>
                <w14:ligatures w14:val="standardContextual"/>
              </w:rPr>
              <w:t>86</w:t>
            </w:r>
          </w:p>
        </w:tc>
        <w:tc>
          <w:tcPr>
            <w:tcW w:w="1349" w:type="dxa"/>
          </w:tcPr>
          <w:p w14:paraId="17DF0F8E" w14:textId="6A0FF751"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6E7836">
              <w:rPr>
                <w:rFonts w:ascii="Times New Roman" w:eastAsia="Calibri" w:hAnsi="Times New Roman" w:cs="Times New Roman"/>
                <w:iCs/>
                <w:kern w:val="2"/>
                <w:sz w:val="20"/>
                <w:szCs w:val="20"/>
                <w14:ligatures w14:val="standardContextual"/>
              </w:rPr>
              <w:t>High</w:t>
            </w:r>
          </w:p>
        </w:tc>
      </w:tr>
      <w:tr w:rsidR="00576377" w:rsidRPr="00D2442F" w14:paraId="76218836" w14:textId="77777777" w:rsidTr="00576377">
        <w:tc>
          <w:tcPr>
            <w:tcW w:w="461" w:type="dxa"/>
          </w:tcPr>
          <w:p w14:paraId="1EA89B72"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iCs/>
                <w:kern w:val="2"/>
                <w:sz w:val="20"/>
                <w:szCs w:val="20"/>
                <w14:ligatures w14:val="standardContextual"/>
              </w:rPr>
              <w:t>4.</w:t>
            </w:r>
          </w:p>
        </w:tc>
        <w:tc>
          <w:tcPr>
            <w:tcW w:w="1701" w:type="dxa"/>
            <w:vAlign w:val="bottom"/>
          </w:tcPr>
          <w:p w14:paraId="456027B3"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color w:val="000000"/>
                <w:kern w:val="2"/>
                <w:sz w:val="20"/>
                <w:szCs w:val="20"/>
                <w14:ligatures w14:val="standardContextual"/>
              </w:rPr>
              <w:t>KPZ</w:t>
            </w:r>
          </w:p>
        </w:tc>
        <w:tc>
          <w:tcPr>
            <w:tcW w:w="911" w:type="dxa"/>
            <w:vAlign w:val="bottom"/>
          </w:tcPr>
          <w:p w14:paraId="14DFDC37"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color w:val="000000"/>
                <w:kern w:val="2"/>
                <w:sz w:val="20"/>
                <w:szCs w:val="20"/>
                <w14:ligatures w14:val="standardContextual"/>
              </w:rPr>
              <w:t>38</w:t>
            </w:r>
          </w:p>
        </w:tc>
        <w:tc>
          <w:tcPr>
            <w:tcW w:w="1349" w:type="dxa"/>
          </w:tcPr>
          <w:p w14:paraId="6B0FE9D1" w14:textId="1971EFC8"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2E4723">
              <w:rPr>
                <w:rFonts w:ascii="Times New Roman" w:eastAsia="Calibri" w:hAnsi="Times New Roman" w:cs="Times New Roman"/>
                <w:iCs/>
                <w:kern w:val="2"/>
                <w:sz w:val="20"/>
                <w:szCs w:val="20"/>
                <w14:ligatures w14:val="standardContextual"/>
              </w:rPr>
              <w:t>Low</w:t>
            </w:r>
          </w:p>
        </w:tc>
        <w:tc>
          <w:tcPr>
            <w:tcW w:w="1135" w:type="dxa"/>
            <w:vAlign w:val="bottom"/>
          </w:tcPr>
          <w:p w14:paraId="5C89EDD6"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color w:val="000000"/>
                <w:kern w:val="2"/>
                <w:sz w:val="20"/>
                <w:szCs w:val="20"/>
                <w14:ligatures w14:val="standardContextual"/>
              </w:rPr>
              <w:t>85</w:t>
            </w:r>
          </w:p>
        </w:tc>
        <w:tc>
          <w:tcPr>
            <w:tcW w:w="1349" w:type="dxa"/>
          </w:tcPr>
          <w:p w14:paraId="32760EC6" w14:textId="04CD35A6"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6E7836">
              <w:rPr>
                <w:rFonts w:ascii="Times New Roman" w:eastAsia="Calibri" w:hAnsi="Times New Roman" w:cs="Times New Roman"/>
                <w:iCs/>
                <w:kern w:val="2"/>
                <w:sz w:val="20"/>
                <w:szCs w:val="20"/>
                <w14:ligatures w14:val="standardContextual"/>
              </w:rPr>
              <w:t>High</w:t>
            </w:r>
          </w:p>
        </w:tc>
      </w:tr>
      <w:tr w:rsidR="00576377" w:rsidRPr="00D2442F" w14:paraId="214F8D10" w14:textId="77777777" w:rsidTr="00576377">
        <w:tc>
          <w:tcPr>
            <w:tcW w:w="461" w:type="dxa"/>
          </w:tcPr>
          <w:p w14:paraId="7F7367FD"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iCs/>
                <w:kern w:val="2"/>
                <w:sz w:val="20"/>
                <w:szCs w:val="20"/>
                <w14:ligatures w14:val="standardContextual"/>
              </w:rPr>
              <w:t>5.</w:t>
            </w:r>
          </w:p>
        </w:tc>
        <w:tc>
          <w:tcPr>
            <w:tcW w:w="1701" w:type="dxa"/>
            <w:vAlign w:val="bottom"/>
          </w:tcPr>
          <w:p w14:paraId="0969562A"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color w:val="000000"/>
                <w:kern w:val="2"/>
                <w:sz w:val="20"/>
                <w:szCs w:val="20"/>
                <w14:ligatures w14:val="standardContextual"/>
              </w:rPr>
              <w:t>AS</w:t>
            </w:r>
          </w:p>
        </w:tc>
        <w:tc>
          <w:tcPr>
            <w:tcW w:w="911" w:type="dxa"/>
            <w:vAlign w:val="bottom"/>
          </w:tcPr>
          <w:p w14:paraId="291B4979"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color w:val="000000"/>
                <w:kern w:val="2"/>
                <w:sz w:val="20"/>
                <w:szCs w:val="20"/>
                <w14:ligatures w14:val="standardContextual"/>
              </w:rPr>
              <w:t>39</w:t>
            </w:r>
          </w:p>
        </w:tc>
        <w:tc>
          <w:tcPr>
            <w:tcW w:w="1349" w:type="dxa"/>
          </w:tcPr>
          <w:p w14:paraId="16DE73FC" w14:textId="37051868"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2E4723">
              <w:rPr>
                <w:rFonts w:ascii="Times New Roman" w:eastAsia="Calibri" w:hAnsi="Times New Roman" w:cs="Times New Roman"/>
                <w:iCs/>
                <w:kern w:val="2"/>
                <w:sz w:val="20"/>
                <w:szCs w:val="20"/>
                <w14:ligatures w14:val="standardContextual"/>
              </w:rPr>
              <w:t>Low</w:t>
            </w:r>
          </w:p>
        </w:tc>
        <w:tc>
          <w:tcPr>
            <w:tcW w:w="1135" w:type="dxa"/>
            <w:vAlign w:val="bottom"/>
          </w:tcPr>
          <w:p w14:paraId="6F1459E5"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color w:val="000000"/>
                <w:kern w:val="2"/>
                <w:sz w:val="20"/>
                <w:szCs w:val="20"/>
                <w14:ligatures w14:val="standardContextual"/>
              </w:rPr>
              <w:t>84</w:t>
            </w:r>
          </w:p>
        </w:tc>
        <w:tc>
          <w:tcPr>
            <w:tcW w:w="1349" w:type="dxa"/>
          </w:tcPr>
          <w:p w14:paraId="7AC98DBD" w14:textId="5EA5FA02"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6E7836">
              <w:rPr>
                <w:rFonts w:ascii="Times New Roman" w:eastAsia="Calibri" w:hAnsi="Times New Roman" w:cs="Times New Roman"/>
                <w:iCs/>
                <w:kern w:val="2"/>
                <w:sz w:val="20"/>
                <w:szCs w:val="20"/>
                <w14:ligatures w14:val="standardContextual"/>
              </w:rPr>
              <w:t>High</w:t>
            </w:r>
          </w:p>
        </w:tc>
      </w:tr>
      <w:tr w:rsidR="00576377" w:rsidRPr="00D2442F" w14:paraId="212F6876" w14:textId="77777777" w:rsidTr="00576377">
        <w:tc>
          <w:tcPr>
            <w:tcW w:w="461" w:type="dxa"/>
          </w:tcPr>
          <w:p w14:paraId="03E36CF7"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iCs/>
                <w:kern w:val="2"/>
                <w:sz w:val="20"/>
                <w:szCs w:val="20"/>
                <w14:ligatures w14:val="standardContextual"/>
              </w:rPr>
              <w:t>6.</w:t>
            </w:r>
          </w:p>
        </w:tc>
        <w:tc>
          <w:tcPr>
            <w:tcW w:w="1701" w:type="dxa"/>
            <w:vAlign w:val="bottom"/>
          </w:tcPr>
          <w:p w14:paraId="46D80484"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color w:val="000000"/>
                <w:kern w:val="2"/>
                <w:sz w:val="20"/>
                <w:szCs w:val="20"/>
                <w14:ligatures w14:val="standardContextual"/>
              </w:rPr>
              <w:t>FA</w:t>
            </w:r>
          </w:p>
        </w:tc>
        <w:tc>
          <w:tcPr>
            <w:tcW w:w="911" w:type="dxa"/>
            <w:vAlign w:val="bottom"/>
          </w:tcPr>
          <w:p w14:paraId="68320C0D"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color w:val="000000"/>
                <w:kern w:val="2"/>
                <w:sz w:val="20"/>
                <w:szCs w:val="20"/>
                <w14:ligatures w14:val="standardContextual"/>
              </w:rPr>
              <w:t>40</w:t>
            </w:r>
          </w:p>
        </w:tc>
        <w:tc>
          <w:tcPr>
            <w:tcW w:w="1349" w:type="dxa"/>
          </w:tcPr>
          <w:p w14:paraId="63052F3A" w14:textId="0774B56D"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2E4723">
              <w:rPr>
                <w:rFonts w:ascii="Times New Roman" w:eastAsia="Calibri" w:hAnsi="Times New Roman" w:cs="Times New Roman"/>
                <w:iCs/>
                <w:kern w:val="2"/>
                <w:sz w:val="20"/>
                <w:szCs w:val="20"/>
                <w14:ligatures w14:val="standardContextual"/>
              </w:rPr>
              <w:t>Low</w:t>
            </w:r>
          </w:p>
        </w:tc>
        <w:tc>
          <w:tcPr>
            <w:tcW w:w="1135" w:type="dxa"/>
            <w:vAlign w:val="bottom"/>
          </w:tcPr>
          <w:p w14:paraId="58F1C279" w14:textId="77777777"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D2442F">
              <w:rPr>
                <w:rFonts w:ascii="Times New Roman" w:eastAsia="Calibri" w:hAnsi="Times New Roman" w:cs="Times New Roman"/>
                <w:color w:val="000000"/>
                <w:kern w:val="2"/>
                <w:sz w:val="20"/>
                <w:szCs w:val="20"/>
                <w14:ligatures w14:val="standardContextual"/>
              </w:rPr>
              <w:t>85</w:t>
            </w:r>
          </w:p>
        </w:tc>
        <w:tc>
          <w:tcPr>
            <w:tcW w:w="1349" w:type="dxa"/>
          </w:tcPr>
          <w:p w14:paraId="4DBE8634" w14:textId="46BAB2F2" w:rsidR="00576377" w:rsidRPr="00D2442F" w:rsidRDefault="00576377" w:rsidP="00576377">
            <w:pPr>
              <w:widowControl/>
              <w:autoSpaceDE/>
              <w:autoSpaceDN/>
              <w:jc w:val="center"/>
              <w:rPr>
                <w:rFonts w:ascii="Times New Roman" w:eastAsia="Calibri" w:hAnsi="Times New Roman" w:cs="Times New Roman"/>
                <w:iCs/>
                <w:kern w:val="2"/>
                <w:sz w:val="20"/>
                <w:szCs w:val="20"/>
                <w14:ligatures w14:val="standardContextual"/>
              </w:rPr>
            </w:pPr>
            <w:r w:rsidRPr="006E7836">
              <w:rPr>
                <w:rFonts w:ascii="Times New Roman" w:eastAsia="Calibri" w:hAnsi="Times New Roman" w:cs="Times New Roman"/>
                <w:iCs/>
                <w:kern w:val="2"/>
                <w:sz w:val="20"/>
                <w:szCs w:val="20"/>
                <w14:ligatures w14:val="standardContextual"/>
              </w:rPr>
              <w:t>High</w:t>
            </w:r>
          </w:p>
        </w:tc>
      </w:tr>
      <w:tr w:rsidR="00F61E74" w:rsidRPr="00D2442F" w14:paraId="059B9AF3" w14:textId="77777777" w:rsidTr="00576377">
        <w:tc>
          <w:tcPr>
            <w:tcW w:w="461" w:type="dxa"/>
          </w:tcPr>
          <w:p w14:paraId="32C73C1A" w14:textId="77777777" w:rsidR="00F61E74" w:rsidRPr="00D2442F" w:rsidRDefault="00F61E74" w:rsidP="00B97C0F">
            <w:pPr>
              <w:widowControl/>
              <w:autoSpaceDE/>
              <w:autoSpaceDN/>
              <w:jc w:val="center"/>
              <w:rPr>
                <w:rFonts w:ascii="Times New Roman" w:eastAsia="Calibri" w:hAnsi="Times New Roman" w:cs="Times New Roman"/>
                <w:iCs/>
                <w:kern w:val="2"/>
                <w:sz w:val="20"/>
                <w:szCs w:val="20"/>
                <w14:ligatures w14:val="standardContextual"/>
              </w:rPr>
            </w:pPr>
          </w:p>
        </w:tc>
        <w:tc>
          <w:tcPr>
            <w:tcW w:w="1701" w:type="dxa"/>
            <w:vAlign w:val="bottom"/>
          </w:tcPr>
          <w:p w14:paraId="205984FE" w14:textId="38ABF490" w:rsidR="00F61E74" w:rsidRPr="00D2442F" w:rsidRDefault="00576377" w:rsidP="00B97C0F">
            <w:pPr>
              <w:widowControl/>
              <w:autoSpaceDE/>
              <w:autoSpaceDN/>
              <w:jc w:val="center"/>
              <w:rPr>
                <w:rFonts w:ascii="Times New Roman" w:eastAsia="Calibri" w:hAnsi="Times New Roman" w:cs="Times New Roman"/>
                <w:b/>
                <w:bCs/>
                <w:color w:val="000000"/>
                <w:kern w:val="2"/>
                <w:sz w:val="20"/>
                <w:szCs w:val="20"/>
                <w14:ligatures w14:val="standardContextual"/>
              </w:rPr>
            </w:pPr>
            <w:r>
              <w:rPr>
                <w:rFonts w:ascii="Times New Roman" w:eastAsia="Calibri" w:hAnsi="Times New Roman" w:cs="Times New Roman"/>
                <w:b/>
                <w:bCs/>
                <w:color w:val="000000"/>
                <w:kern w:val="2"/>
                <w:sz w:val="20"/>
                <w:szCs w:val="20"/>
                <w14:ligatures w14:val="standardContextual"/>
              </w:rPr>
              <w:t>Sum</w:t>
            </w:r>
          </w:p>
        </w:tc>
        <w:tc>
          <w:tcPr>
            <w:tcW w:w="911" w:type="dxa"/>
            <w:vAlign w:val="bottom"/>
          </w:tcPr>
          <w:p w14:paraId="254FCC0F" w14:textId="77777777" w:rsidR="00F61E74" w:rsidRPr="00D2442F" w:rsidRDefault="00F61E74" w:rsidP="00B97C0F">
            <w:pPr>
              <w:widowControl/>
              <w:autoSpaceDE/>
              <w:autoSpaceDN/>
              <w:jc w:val="center"/>
              <w:rPr>
                <w:rFonts w:ascii="Times New Roman" w:eastAsia="Calibri" w:hAnsi="Times New Roman" w:cs="Times New Roman"/>
                <w:b/>
                <w:bCs/>
                <w:color w:val="000000"/>
                <w:kern w:val="2"/>
                <w:sz w:val="20"/>
                <w:szCs w:val="20"/>
                <w14:ligatures w14:val="standardContextual"/>
              </w:rPr>
            </w:pPr>
            <w:r w:rsidRPr="00D2442F">
              <w:rPr>
                <w:rFonts w:ascii="Times New Roman" w:eastAsia="Calibri" w:hAnsi="Times New Roman" w:cs="Times New Roman"/>
                <w:b/>
                <w:bCs/>
                <w:color w:val="000000"/>
                <w:kern w:val="2"/>
                <w:sz w:val="20"/>
                <w:szCs w:val="20"/>
                <w14:ligatures w14:val="standardContextual"/>
              </w:rPr>
              <w:t>242</w:t>
            </w:r>
          </w:p>
        </w:tc>
        <w:tc>
          <w:tcPr>
            <w:tcW w:w="1349" w:type="dxa"/>
          </w:tcPr>
          <w:p w14:paraId="01540F61" w14:textId="77777777" w:rsidR="00F61E74" w:rsidRPr="00D2442F" w:rsidRDefault="00F61E74" w:rsidP="00B97C0F">
            <w:pPr>
              <w:widowControl/>
              <w:autoSpaceDE/>
              <w:autoSpaceDN/>
              <w:jc w:val="center"/>
              <w:rPr>
                <w:rFonts w:ascii="Times New Roman" w:eastAsia="Calibri" w:hAnsi="Times New Roman" w:cs="Times New Roman"/>
                <w:b/>
                <w:bCs/>
                <w:iCs/>
                <w:kern w:val="2"/>
                <w:sz w:val="20"/>
                <w:szCs w:val="20"/>
                <w14:ligatures w14:val="standardContextual"/>
              </w:rPr>
            </w:pPr>
          </w:p>
        </w:tc>
        <w:tc>
          <w:tcPr>
            <w:tcW w:w="1135" w:type="dxa"/>
            <w:vAlign w:val="bottom"/>
          </w:tcPr>
          <w:p w14:paraId="10DEAAFF" w14:textId="77777777" w:rsidR="00F61E74" w:rsidRPr="00D2442F" w:rsidRDefault="00F61E74" w:rsidP="00B97C0F">
            <w:pPr>
              <w:widowControl/>
              <w:autoSpaceDE/>
              <w:autoSpaceDN/>
              <w:jc w:val="center"/>
              <w:rPr>
                <w:rFonts w:ascii="Times New Roman" w:eastAsia="Calibri" w:hAnsi="Times New Roman" w:cs="Times New Roman"/>
                <w:b/>
                <w:bCs/>
                <w:color w:val="000000"/>
                <w:kern w:val="2"/>
                <w:sz w:val="20"/>
                <w:szCs w:val="20"/>
                <w14:ligatures w14:val="standardContextual"/>
              </w:rPr>
            </w:pPr>
            <w:r w:rsidRPr="00D2442F">
              <w:rPr>
                <w:rFonts w:ascii="Times New Roman" w:eastAsia="Calibri" w:hAnsi="Times New Roman" w:cs="Times New Roman"/>
                <w:b/>
                <w:bCs/>
                <w:color w:val="000000"/>
                <w:kern w:val="2"/>
                <w:sz w:val="20"/>
                <w:szCs w:val="20"/>
                <w14:ligatures w14:val="standardContextual"/>
              </w:rPr>
              <w:t>510</w:t>
            </w:r>
          </w:p>
        </w:tc>
        <w:tc>
          <w:tcPr>
            <w:tcW w:w="1349" w:type="dxa"/>
          </w:tcPr>
          <w:p w14:paraId="4952B94D" w14:textId="77777777" w:rsidR="00F61E74" w:rsidRPr="00D2442F" w:rsidRDefault="00F61E74" w:rsidP="00B97C0F">
            <w:pPr>
              <w:widowControl/>
              <w:autoSpaceDE/>
              <w:autoSpaceDN/>
              <w:jc w:val="center"/>
              <w:rPr>
                <w:rFonts w:ascii="Times New Roman" w:eastAsia="Calibri" w:hAnsi="Times New Roman" w:cs="Times New Roman"/>
                <w:b/>
                <w:bCs/>
                <w:iCs/>
                <w:kern w:val="2"/>
                <w:sz w:val="20"/>
                <w:szCs w:val="20"/>
                <w14:ligatures w14:val="standardContextual"/>
              </w:rPr>
            </w:pPr>
          </w:p>
        </w:tc>
      </w:tr>
      <w:tr w:rsidR="00F61E74" w:rsidRPr="00D2442F" w14:paraId="7028E71A" w14:textId="77777777" w:rsidTr="00576377">
        <w:tc>
          <w:tcPr>
            <w:tcW w:w="461" w:type="dxa"/>
          </w:tcPr>
          <w:p w14:paraId="3D942183" w14:textId="77777777" w:rsidR="00F61E74" w:rsidRPr="00D2442F" w:rsidRDefault="00F61E74" w:rsidP="00B97C0F">
            <w:pPr>
              <w:widowControl/>
              <w:autoSpaceDE/>
              <w:autoSpaceDN/>
              <w:jc w:val="center"/>
              <w:rPr>
                <w:rFonts w:ascii="Times New Roman" w:eastAsia="Calibri" w:hAnsi="Times New Roman" w:cs="Times New Roman"/>
                <w:iCs/>
                <w:kern w:val="2"/>
                <w:sz w:val="20"/>
                <w:szCs w:val="20"/>
                <w14:ligatures w14:val="standardContextual"/>
              </w:rPr>
            </w:pPr>
          </w:p>
        </w:tc>
        <w:tc>
          <w:tcPr>
            <w:tcW w:w="1701" w:type="dxa"/>
            <w:vAlign w:val="bottom"/>
          </w:tcPr>
          <w:p w14:paraId="76D67222" w14:textId="0BCBBA17" w:rsidR="00F61E74" w:rsidRPr="00D2442F" w:rsidRDefault="00576377" w:rsidP="00B97C0F">
            <w:pPr>
              <w:widowControl/>
              <w:autoSpaceDE/>
              <w:autoSpaceDN/>
              <w:jc w:val="center"/>
              <w:rPr>
                <w:rFonts w:ascii="Times New Roman" w:eastAsia="Calibri" w:hAnsi="Times New Roman" w:cs="Times New Roman"/>
                <w:b/>
                <w:bCs/>
                <w:color w:val="000000"/>
                <w:kern w:val="2"/>
                <w:sz w:val="20"/>
                <w:szCs w:val="20"/>
                <w14:ligatures w14:val="standardContextual"/>
              </w:rPr>
            </w:pPr>
            <w:r w:rsidRPr="00B97C0F">
              <w:rPr>
                <w:rFonts w:ascii="Times New Roman" w:eastAsia="Calibri" w:hAnsi="Times New Roman" w:cs="Times New Roman"/>
                <w:b/>
                <w:bCs/>
                <w:color w:val="000000"/>
                <w:sz w:val="20"/>
                <w:szCs w:val="20"/>
              </w:rPr>
              <w:t>Average Score</w:t>
            </w:r>
          </w:p>
        </w:tc>
        <w:tc>
          <w:tcPr>
            <w:tcW w:w="911" w:type="dxa"/>
            <w:vAlign w:val="bottom"/>
          </w:tcPr>
          <w:p w14:paraId="1BE57080" w14:textId="77777777" w:rsidR="00F61E74" w:rsidRPr="00D2442F" w:rsidRDefault="00F61E74" w:rsidP="00B97C0F">
            <w:pPr>
              <w:widowControl/>
              <w:autoSpaceDE/>
              <w:autoSpaceDN/>
              <w:jc w:val="center"/>
              <w:rPr>
                <w:rFonts w:ascii="Times New Roman" w:eastAsia="Calibri" w:hAnsi="Times New Roman" w:cs="Times New Roman"/>
                <w:b/>
                <w:bCs/>
                <w:color w:val="000000"/>
                <w:kern w:val="2"/>
                <w:sz w:val="20"/>
                <w:szCs w:val="20"/>
                <w14:ligatures w14:val="standardContextual"/>
              </w:rPr>
            </w:pPr>
            <w:r w:rsidRPr="00D2442F">
              <w:rPr>
                <w:rFonts w:ascii="Times New Roman" w:eastAsia="Calibri" w:hAnsi="Times New Roman" w:cs="Times New Roman"/>
                <w:b/>
                <w:bCs/>
                <w:color w:val="000000"/>
                <w:kern w:val="2"/>
                <w:sz w:val="20"/>
                <w:szCs w:val="20"/>
                <w14:ligatures w14:val="standardContextual"/>
              </w:rPr>
              <w:t>40</w:t>
            </w:r>
          </w:p>
        </w:tc>
        <w:tc>
          <w:tcPr>
            <w:tcW w:w="1349" w:type="dxa"/>
          </w:tcPr>
          <w:p w14:paraId="4C199293" w14:textId="2E7AA7F7" w:rsidR="00F61E74" w:rsidRPr="00D2442F" w:rsidRDefault="00576377" w:rsidP="00B97C0F">
            <w:pPr>
              <w:widowControl/>
              <w:autoSpaceDE/>
              <w:autoSpaceDN/>
              <w:jc w:val="center"/>
              <w:rPr>
                <w:rFonts w:ascii="Times New Roman" w:eastAsia="Calibri" w:hAnsi="Times New Roman" w:cs="Times New Roman"/>
                <w:b/>
                <w:bCs/>
                <w:iCs/>
                <w:kern w:val="2"/>
                <w:sz w:val="20"/>
                <w:szCs w:val="20"/>
                <w14:ligatures w14:val="standardContextual"/>
              </w:rPr>
            </w:pPr>
            <w:r>
              <w:rPr>
                <w:rFonts w:ascii="Times New Roman" w:eastAsia="Calibri" w:hAnsi="Times New Roman" w:cs="Times New Roman"/>
                <w:b/>
                <w:bCs/>
                <w:iCs/>
                <w:kern w:val="2"/>
                <w:sz w:val="20"/>
                <w:szCs w:val="20"/>
                <w14:ligatures w14:val="standardContextual"/>
              </w:rPr>
              <w:t>Low</w:t>
            </w:r>
          </w:p>
        </w:tc>
        <w:tc>
          <w:tcPr>
            <w:tcW w:w="1135" w:type="dxa"/>
            <w:vAlign w:val="bottom"/>
          </w:tcPr>
          <w:p w14:paraId="0C18F476" w14:textId="77777777" w:rsidR="00F61E74" w:rsidRPr="00D2442F" w:rsidRDefault="00F61E74" w:rsidP="00B97C0F">
            <w:pPr>
              <w:widowControl/>
              <w:autoSpaceDE/>
              <w:autoSpaceDN/>
              <w:jc w:val="center"/>
              <w:rPr>
                <w:rFonts w:ascii="Times New Roman" w:eastAsia="Calibri" w:hAnsi="Times New Roman" w:cs="Times New Roman"/>
                <w:b/>
                <w:bCs/>
                <w:color w:val="000000"/>
                <w:kern w:val="2"/>
                <w:sz w:val="20"/>
                <w:szCs w:val="20"/>
                <w14:ligatures w14:val="standardContextual"/>
              </w:rPr>
            </w:pPr>
            <w:r w:rsidRPr="00D2442F">
              <w:rPr>
                <w:rFonts w:ascii="Times New Roman" w:eastAsia="Calibri" w:hAnsi="Times New Roman" w:cs="Times New Roman"/>
                <w:b/>
                <w:bCs/>
                <w:color w:val="000000"/>
                <w:kern w:val="2"/>
                <w:sz w:val="20"/>
                <w:szCs w:val="20"/>
                <w14:ligatures w14:val="standardContextual"/>
              </w:rPr>
              <w:t>85</w:t>
            </w:r>
          </w:p>
        </w:tc>
        <w:tc>
          <w:tcPr>
            <w:tcW w:w="1349" w:type="dxa"/>
          </w:tcPr>
          <w:p w14:paraId="34670B4A" w14:textId="3983B948" w:rsidR="00F61E74" w:rsidRPr="00D2442F" w:rsidRDefault="00576377" w:rsidP="00B97C0F">
            <w:pPr>
              <w:widowControl/>
              <w:autoSpaceDE/>
              <w:autoSpaceDN/>
              <w:jc w:val="center"/>
              <w:rPr>
                <w:rFonts w:ascii="Times New Roman" w:eastAsia="Calibri" w:hAnsi="Times New Roman" w:cs="Times New Roman"/>
                <w:b/>
                <w:bCs/>
                <w:iCs/>
                <w:kern w:val="2"/>
                <w:sz w:val="20"/>
                <w:szCs w:val="20"/>
                <w14:ligatures w14:val="standardContextual"/>
              </w:rPr>
            </w:pPr>
            <w:r>
              <w:rPr>
                <w:rFonts w:ascii="Times New Roman" w:eastAsia="Calibri" w:hAnsi="Times New Roman" w:cs="Times New Roman"/>
                <w:b/>
                <w:bCs/>
                <w:iCs/>
                <w:kern w:val="2"/>
                <w:sz w:val="20"/>
                <w:szCs w:val="20"/>
                <w14:ligatures w14:val="standardContextual"/>
              </w:rPr>
              <w:t>High</w:t>
            </w:r>
          </w:p>
        </w:tc>
      </w:tr>
    </w:tbl>
    <w:p w14:paraId="0D59C8C8" w14:textId="77777777" w:rsidR="00F61E74" w:rsidRDefault="00F61E74" w:rsidP="00F61E74">
      <w:pPr>
        <w:jc w:val="center"/>
        <w:rPr>
          <w:rFonts w:ascii="Times New Roman" w:hAnsi="Times New Roman" w:cs="Times New Roman"/>
          <w:iCs/>
        </w:rPr>
      </w:pPr>
    </w:p>
    <w:p w14:paraId="19509720" w14:textId="77777777" w:rsidR="00F61E74" w:rsidRPr="00CB12A7" w:rsidRDefault="00F61E74" w:rsidP="00F61E74">
      <w:pPr>
        <w:jc w:val="center"/>
        <w:rPr>
          <w:rFonts w:ascii="Times New Roman" w:hAnsi="Times New Roman" w:cs="Times New Roman"/>
          <w:b/>
          <w:bCs/>
        </w:rPr>
      </w:pPr>
      <w:r w:rsidRPr="00CB12A7">
        <w:rPr>
          <w:rFonts w:ascii="Times New Roman" w:hAnsi="Times New Roman" w:cs="Times New Roman"/>
          <w:b/>
          <w:bCs/>
          <w:noProof/>
        </w:rPr>
        <w:drawing>
          <wp:inline distT="0" distB="0" distL="0" distR="0" wp14:anchorId="3A67D8C5" wp14:editId="3AFFE565">
            <wp:extent cx="4495800" cy="2257425"/>
            <wp:effectExtent l="0" t="0" r="0" b="9525"/>
            <wp:docPr id="46949064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9EF477" w14:textId="2A1555B2" w:rsidR="00576377" w:rsidRPr="00B97C0F" w:rsidRDefault="00576377" w:rsidP="003A109B">
      <w:pPr>
        <w:jc w:val="center"/>
        <w:rPr>
          <w:rFonts w:ascii="Times New Roman" w:hAnsi="Times New Roman" w:cs="Times New Roman"/>
          <w:b/>
          <w:bCs/>
          <w:sz w:val="20"/>
          <w:szCs w:val="20"/>
        </w:rPr>
      </w:pPr>
      <w:r w:rsidRPr="00B97C0F">
        <w:rPr>
          <w:rFonts w:ascii="Times New Roman" w:hAnsi="Times New Roman" w:cs="Times New Roman"/>
          <w:b/>
          <w:bCs/>
          <w:sz w:val="20"/>
          <w:szCs w:val="20"/>
        </w:rPr>
        <w:t xml:space="preserve">Figure 2. </w:t>
      </w:r>
      <w:r w:rsidRPr="00B97C0F">
        <w:rPr>
          <w:rFonts w:ascii="Times New Roman" w:hAnsi="Times New Roman" w:cs="Times New Roman"/>
          <w:sz w:val="20"/>
          <w:szCs w:val="20"/>
        </w:rPr>
        <w:t xml:space="preserve">Pretest </w:t>
      </w:r>
      <w:r w:rsidRPr="00B97C0F">
        <w:rPr>
          <w:rFonts w:ascii="Times New Roman" w:hAnsi="Times New Roman" w:cs="Times New Roman"/>
          <w:i/>
          <w:iCs/>
          <w:sz w:val="20"/>
          <w:szCs w:val="20"/>
        </w:rPr>
        <w:t xml:space="preserve">and </w:t>
      </w:r>
      <w:r w:rsidRPr="00B97C0F">
        <w:rPr>
          <w:rFonts w:ascii="Times New Roman" w:hAnsi="Times New Roman" w:cs="Times New Roman"/>
          <w:sz w:val="20"/>
          <w:szCs w:val="20"/>
        </w:rPr>
        <w:t>Post test</w:t>
      </w:r>
      <w:r w:rsidRPr="00B97C0F">
        <w:rPr>
          <w:rFonts w:ascii="Times New Roman" w:hAnsi="Times New Roman" w:cs="Times New Roman"/>
          <w:i/>
          <w:iCs/>
          <w:sz w:val="20"/>
          <w:szCs w:val="20"/>
        </w:rPr>
        <w:t xml:space="preserve"> graphs </w:t>
      </w:r>
      <w:r w:rsidRPr="00B97C0F">
        <w:rPr>
          <w:rFonts w:ascii="Times New Roman" w:hAnsi="Times New Roman" w:cs="Times New Roman"/>
          <w:sz w:val="20"/>
          <w:szCs w:val="20"/>
        </w:rPr>
        <w:t>in the Control Group</w:t>
      </w:r>
    </w:p>
    <w:p w14:paraId="24BE1D93" w14:textId="77777777" w:rsidR="00B97C0F" w:rsidRDefault="00B97C0F" w:rsidP="00F61E74">
      <w:pPr>
        <w:adjustRightInd w:val="0"/>
        <w:ind w:firstLine="709"/>
        <w:jc w:val="both"/>
        <w:rPr>
          <w:rFonts w:ascii="Times New Roman" w:hAnsi="Times New Roman" w:cs="Times New Roman"/>
          <w:iCs/>
        </w:rPr>
      </w:pPr>
    </w:p>
    <w:p w14:paraId="338BCC6A" w14:textId="74EFDB1B" w:rsidR="00F61E74" w:rsidRPr="00B97C0F" w:rsidRDefault="00576377" w:rsidP="00B97C0F">
      <w:pPr>
        <w:pStyle w:val="BodyText"/>
        <w:spacing w:before="8" w:line="237" w:lineRule="auto"/>
        <w:ind w:left="136" w:right="133" w:firstLine="720"/>
        <w:jc w:val="both"/>
      </w:pPr>
      <w:r w:rsidRPr="00B97C0F">
        <w:t xml:space="preserve">Based on the results of the pretest and posttest, students who were respondents in the control group experienced only changes in scores. It can be seen from the results of the pretest and posttest of the control group that there is no significant change in the self-openness of students. This is because the control group was not given any treatment so that there was no increase in scores and category changes in students' self-disclosure. This is reinforced by the results of the average score obtained by the pretest of the control group of 39 which is in the "Low" category, and the average score of the Control Group Post Test of 40 which is in the "Low" category. </w:t>
      </w:r>
      <w:proofErr w:type="gramStart"/>
      <w:r w:rsidRPr="00B97C0F">
        <w:t>So</w:t>
      </w:r>
      <w:proofErr w:type="gramEnd"/>
      <w:r w:rsidRPr="00B97C0F">
        <w:t xml:space="preserve"> it can be concluded that there is no increase in students' self-openness</w:t>
      </w:r>
      <w:r w:rsidR="00F61E74" w:rsidRPr="00B97C0F">
        <w:t>.</w:t>
      </w:r>
    </w:p>
    <w:p w14:paraId="152DCFBC" w14:textId="77777777" w:rsidR="00F61E74" w:rsidRDefault="00F61E74" w:rsidP="00F61E74">
      <w:pPr>
        <w:adjustRightInd w:val="0"/>
        <w:ind w:firstLine="709"/>
        <w:jc w:val="both"/>
        <w:rPr>
          <w:rFonts w:ascii="Times New Roman" w:hAnsi="Times New Roman" w:cs="Times New Roman"/>
        </w:rPr>
      </w:pPr>
    </w:p>
    <w:p w14:paraId="455A1894" w14:textId="77777777" w:rsidR="00576377" w:rsidRPr="00B97C0F" w:rsidRDefault="00576377" w:rsidP="00997D78">
      <w:pPr>
        <w:pStyle w:val="BodyText"/>
        <w:spacing w:before="8" w:line="237" w:lineRule="auto"/>
        <w:ind w:left="142" w:right="133"/>
        <w:jc w:val="both"/>
        <w:rPr>
          <w:b/>
          <w:bCs/>
        </w:rPr>
      </w:pPr>
      <w:r w:rsidRPr="00B97C0F">
        <w:rPr>
          <w:b/>
          <w:bCs/>
        </w:rPr>
        <w:t>Hypothesis Test Results</w:t>
      </w:r>
    </w:p>
    <w:p w14:paraId="2C6DB843" w14:textId="77777777" w:rsidR="00576377" w:rsidRDefault="00576377" w:rsidP="00997D78">
      <w:pPr>
        <w:pStyle w:val="BodyText"/>
        <w:spacing w:before="8" w:line="237" w:lineRule="auto"/>
        <w:ind w:left="136" w:right="133" w:firstLine="720"/>
        <w:jc w:val="both"/>
      </w:pPr>
      <w:r w:rsidRPr="00B97C0F">
        <w:t xml:space="preserve">The results of the research hypothesis test aim to test the correctness of the hypothesis proposed. This test was carried out to determine the effectiveness of the techniques applied in assertive training research to increase self-openness in Yogyakarta State Junior High School. The criteria for testing this hypothesis </w:t>
      </w:r>
      <w:proofErr w:type="gramStart"/>
      <w:r w:rsidRPr="00B97C0F">
        <w:t>is</w:t>
      </w:r>
      <w:proofErr w:type="gramEnd"/>
      <w:r w:rsidRPr="00B97C0F">
        <w:t xml:space="preserve"> that if the significance value (pvalue) is &gt;0.05, then Ho is accepted and Ha is rejected, then it is stated that the hypothesis is rejected. If the significance value (pvalue) is &lt;0.05, then H0 is rejected and Ha is accepted, then it is stated that the hypothesis is accepted.</w:t>
      </w:r>
    </w:p>
    <w:p w14:paraId="0842BBA8" w14:textId="77777777" w:rsidR="00576377" w:rsidRPr="00B97C0F" w:rsidRDefault="00576377" w:rsidP="00997D78">
      <w:pPr>
        <w:pStyle w:val="BodyText"/>
        <w:spacing w:before="8" w:line="237" w:lineRule="auto"/>
        <w:ind w:left="136" w:right="133" w:firstLine="720"/>
        <w:jc w:val="both"/>
      </w:pPr>
    </w:p>
    <w:p w14:paraId="0325E34B" w14:textId="77777777" w:rsidR="00576377" w:rsidRPr="00B97C0F" w:rsidRDefault="00576377" w:rsidP="00997D78">
      <w:pPr>
        <w:pStyle w:val="BodyText"/>
        <w:spacing w:before="8" w:line="237" w:lineRule="auto"/>
        <w:ind w:left="142" w:right="133"/>
        <w:jc w:val="both"/>
        <w:rPr>
          <w:b/>
          <w:bCs/>
        </w:rPr>
      </w:pPr>
      <w:r w:rsidRPr="001B5ED4">
        <w:rPr>
          <w:b/>
          <w:bCs/>
        </w:rPr>
        <w:t>Uji Paired Sample (Wilcoxon signed rank test)</w:t>
      </w:r>
    </w:p>
    <w:p w14:paraId="5F8D5DC1" w14:textId="77777777" w:rsidR="00576377" w:rsidRDefault="00576377" w:rsidP="00997D78">
      <w:pPr>
        <w:pStyle w:val="BodyText"/>
        <w:spacing w:before="8" w:line="237" w:lineRule="auto"/>
        <w:ind w:left="136" w:right="133" w:firstLine="720"/>
        <w:jc w:val="both"/>
      </w:pPr>
      <w:r w:rsidRPr="00B97C0F">
        <w:t>The following are the results of the paired sample test using the Wilcoxon test in the control class and experiments obtained the following results:</w:t>
      </w:r>
    </w:p>
    <w:p w14:paraId="6A9702DC" w14:textId="77777777" w:rsidR="00C521A8" w:rsidRDefault="00C521A8" w:rsidP="00997D78">
      <w:pPr>
        <w:pStyle w:val="BodyText"/>
        <w:spacing w:before="8" w:line="237" w:lineRule="auto"/>
        <w:ind w:left="136" w:right="133" w:firstLine="720"/>
        <w:jc w:val="both"/>
      </w:pPr>
    </w:p>
    <w:tbl>
      <w:tblPr>
        <w:tblW w:w="7798" w:type="dxa"/>
        <w:tblLayout w:type="fixed"/>
        <w:tblCellMar>
          <w:left w:w="0" w:type="dxa"/>
          <w:right w:w="0" w:type="dxa"/>
        </w:tblCellMar>
        <w:tblLook w:val="0000" w:firstRow="0" w:lastRow="0" w:firstColumn="0" w:lastColumn="0" w:noHBand="0" w:noVBand="0"/>
      </w:tblPr>
      <w:tblGrid>
        <w:gridCol w:w="3108"/>
        <w:gridCol w:w="1854"/>
        <w:gridCol w:w="2836"/>
      </w:tblGrid>
      <w:tr w:rsidR="00C220C2" w:rsidRPr="00C220C2" w14:paraId="0305FD80" w14:textId="77777777" w:rsidTr="00C220C2">
        <w:trPr>
          <w:cantSplit/>
          <w:trHeight w:val="77"/>
        </w:trPr>
        <w:tc>
          <w:tcPr>
            <w:tcW w:w="7798" w:type="dxa"/>
            <w:gridSpan w:val="3"/>
            <w:tcBorders>
              <w:top w:val="nil"/>
              <w:left w:val="nil"/>
              <w:bottom w:val="nil"/>
              <w:right w:val="nil"/>
            </w:tcBorders>
            <w:shd w:val="clear" w:color="auto" w:fill="FFFFFF"/>
            <w:vAlign w:val="center"/>
          </w:tcPr>
          <w:p w14:paraId="204A5652" w14:textId="5FE881FF" w:rsidR="00576377" w:rsidRPr="00C220C2" w:rsidRDefault="00C220C2" w:rsidP="00C220C2">
            <w:pPr>
              <w:jc w:val="both"/>
              <w:rPr>
                <w:rFonts w:ascii="Times New Roman" w:hAnsi="Times New Roman" w:cs="Times New Roman"/>
                <w:sz w:val="20"/>
                <w:szCs w:val="20"/>
              </w:rPr>
            </w:pPr>
            <w:r>
              <w:rPr>
                <w:rFonts w:ascii="Times New Roman" w:hAnsi="Times New Roman" w:cs="Times New Roman"/>
                <w:b/>
                <w:bCs/>
                <w:sz w:val="20"/>
                <w:szCs w:val="20"/>
              </w:rPr>
              <w:t xml:space="preserve"> </w:t>
            </w:r>
            <w:r w:rsidR="00576377" w:rsidRPr="00C220C2">
              <w:rPr>
                <w:rFonts w:ascii="Times New Roman" w:hAnsi="Times New Roman" w:cs="Times New Roman"/>
                <w:b/>
                <w:bCs/>
                <w:sz w:val="20"/>
                <w:szCs w:val="20"/>
              </w:rPr>
              <w:t xml:space="preserve">Table 3. </w:t>
            </w:r>
            <w:r w:rsidR="00576377" w:rsidRPr="00690951">
              <w:rPr>
                <w:rFonts w:ascii="Times New Roman" w:hAnsi="Times New Roman" w:cs="Times New Roman"/>
                <w:sz w:val="20"/>
                <w:szCs w:val="20"/>
              </w:rPr>
              <w:t>Paired Sample (</w:t>
            </w:r>
            <w:r w:rsidR="00576377" w:rsidRPr="00690951">
              <w:rPr>
                <w:rFonts w:ascii="Times New Roman" w:hAnsi="Times New Roman" w:cs="Times New Roman"/>
                <w:sz w:val="20"/>
                <w:szCs w:val="20"/>
                <w:shd w:val="clear" w:color="auto" w:fill="FFFFFF"/>
              </w:rPr>
              <w:t>Wilcoxon signed rank test)</w:t>
            </w:r>
          </w:p>
          <w:p w14:paraId="260AAFC6" w14:textId="77777777" w:rsidR="00F61E74" w:rsidRPr="00C220C2" w:rsidRDefault="00F61E74" w:rsidP="00C12A41">
            <w:pPr>
              <w:adjustRightInd w:val="0"/>
              <w:ind w:left="60" w:right="60"/>
              <w:jc w:val="both"/>
              <w:rPr>
                <w:rFonts w:ascii="Times New Roman" w:hAnsi="Times New Roman" w:cs="Times New Roman"/>
                <w:sz w:val="20"/>
                <w:szCs w:val="20"/>
              </w:rPr>
            </w:pPr>
            <w:r w:rsidRPr="00C220C2">
              <w:rPr>
                <w:rFonts w:ascii="Times New Roman" w:hAnsi="Times New Roman" w:cs="Times New Roman"/>
                <w:b/>
                <w:bCs/>
                <w:sz w:val="20"/>
                <w:szCs w:val="20"/>
              </w:rPr>
              <w:t>Test Statistics</w:t>
            </w:r>
            <w:r w:rsidRPr="00C220C2">
              <w:rPr>
                <w:rFonts w:ascii="Times New Roman" w:hAnsi="Times New Roman" w:cs="Times New Roman"/>
                <w:b/>
                <w:bCs/>
                <w:sz w:val="20"/>
                <w:szCs w:val="20"/>
                <w:vertAlign w:val="superscript"/>
              </w:rPr>
              <w:t>a</w:t>
            </w:r>
          </w:p>
        </w:tc>
      </w:tr>
      <w:tr w:rsidR="00C220C2" w:rsidRPr="00C220C2" w14:paraId="16260884" w14:textId="77777777" w:rsidTr="00C220C2">
        <w:trPr>
          <w:cantSplit/>
          <w:trHeight w:val="846"/>
        </w:trPr>
        <w:tc>
          <w:tcPr>
            <w:tcW w:w="3108" w:type="dxa"/>
            <w:tcBorders>
              <w:top w:val="nil"/>
              <w:left w:val="nil"/>
              <w:bottom w:val="single" w:sz="8" w:space="0" w:color="152935"/>
              <w:right w:val="nil"/>
            </w:tcBorders>
            <w:shd w:val="clear" w:color="auto" w:fill="FFFFFF"/>
            <w:vAlign w:val="bottom"/>
          </w:tcPr>
          <w:p w14:paraId="17DABE51" w14:textId="77777777" w:rsidR="00F61E74" w:rsidRPr="00C220C2" w:rsidRDefault="00F61E74" w:rsidP="00C12A41">
            <w:pPr>
              <w:adjustRightInd w:val="0"/>
              <w:jc w:val="both"/>
              <w:rPr>
                <w:rFonts w:ascii="Times New Roman" w:hAnsi="Times New Roman" w:cs="Times New Roman"/>
                <w:sz w:val="20"/>
                <w:szCs w:val="20"/>
              </w:rPr>
            </w:pPr>
          </w:p>
        </w:tc>
        <w:tc>
          <w:tcPr>
            <w:tcW w:w="1854" w:type="dxa"/>
            <w:tcBorders>
              <w:top w:val="nil"/>
              <w:left w:val="nil"/>
              <w:bottom w:val="single" w:sz="8" w:space="0" w:color="152935"/>
              <w:right w:val="single" w:sz="8" w:space="0" w:color="E0E0E0"/>
            </w:tcBorders>
            <w:shd w:val="clear" w:color="auto" w:fill="FFFFFF"/>
            <w:vAlign w:val="bottom"/>
          </w:tcPr>
          <w:p w14:paraId="3DC3E05A" w14:textId="4A8C6A05" w:rsidR="00F61E74" w:rsidRPr="00C220C2" w:rsidRDefault="00F61E74" w:rsidP="00C220C2">
            <w:pPr>
              <w:adjustRightInd w:val="0"/>
              <w:ind w:left="60" w:right="60"/>
              <w:rPr>
                <w:rFonts w:ascii="Times New Roman" w:hAnsi="Times New Roman" w:cs="Times New Roman"/>
                <w:sz w:val="20"/>
                <w:szCs w:val="20"/>
              </w:rPr>
            </w:pPr>
            <w:r w:rsidRPr="00C220C2">
              <w:rPr>
                <w:rFonts w:ascii="Times New Roman" w:hAnsi="Times New Roman" w:cs="Times New Roman"/>
                <w:sz w:val="20"/>
                <w:szCs w:val="20"/>
              </w:rPr>
              <w:t>P</w:t>
            </w:r>
            <w:r w:rsidR="00C220C2">
              <w:rPr>
                <w:rFonts w:ascii="Times New Roman" w:hAnsi="Times New Roman" w:cs="Times New Roman"/>
                <w:sz w:val="20"/>
                <w:szCs w:val="20"/>
              </w:rPr>
              <w:t xml:space="preserve">ost </w:t>
            </w:r>
            <w:proofErr w:type="spellStart"/>
            <w:r w:rsidR="00C220C2">
              <w:rPr>
                <w:rFonts w:ascii="Times New Roman" w:hAnsi="Times New Roman" w:cs="Times New Roman"/>
                <w:sz w:val="20"/>
                <w:szCs w:val="20"/>
              </w:rPr>
              <w:t>Eksperimen</w:t>
            </w:r>
            <w:proofErr w:type="spellEnd"/>
            <w:r w:rsidRPr="00C220C2">
              <w:rPr>
                <w:rFonts w:ascii="Times New Roman" w:hAnsi="Times New Roman" w:cs="Times New Roman"/>
                <w:sz w:val="20"/>
                <w:szCs w:val="20"/>
              </w:rPr>
              <w:t xml:space="preserve"> </w:t>
            </w:r>
            <w:r w:rsidR="00C220C2">
              <w:rPr>
                <w:rFonts w:ascii="Times New Roman" w:hAnsi="Times New Roman" w:cs="Times New Roman"/>
                <w:sz w:val="20"/>
                <w:szCs w:val="20"/>
              </w:rPr>
              <w:t>–</w:t>
            </w:r>
            <w:r w:rsidRPr="00C220C2">
              <w:rPr>
                <w:rFonts w:ascii="Times New Roman" w:hAnsi="Times New Roman" w:cs="Times New Roman"/>
                <w:sz w:val="20"/>
                <w:szCs w:val="20"/>
              </w:rPr>
              <w:t xml:space="preserve"> P</w:t>
            </w:r>
            <w:r w:rsidR="00C220C2">
              <w:rPr>
                <w:rFonts w:ascii="Times New Roman" w:hAnsi="Times New Roman" w:cs="Times New Roman"/>
                <w:sz w:val="20"/>
                <w:szCs w:val="20"/>
              </w:rPr>
              <w:t xml:space="preserve">re </w:t>
            </w:r>
            <w:proofErr w:type="spellStart"/>
            <w:r w:rsidR="00C220C2">
              <w:rPr>
                <w:rFonts w:ascii="Times New Roman" w:hAnsi="Times New Roman" w:cs="Times New Roman"/>
                <w:sz w:val="20"/>
                <w:szCs w:val="20"/>
              </w:rPr>
              <w:t>Eksperimen</w:t>
            </w:r>
            <w:proofErr w:type="spellEnd"/>
          </w:p>
        </w:tc>
        <w:tc>
          <w:tcPr>
            <w:tcW w:w="2836" w:type="dxa"/>
            <w:tcBorders>
              <w:top w:val="nil"/>
              <w:left w:val="single" w:sz="8" w:space="0" w:color="E0E0E0"/>
              <w:bottom w:val="single" w:sz="8" w:space="0" w:color="152935"/>
              <w:right w:val="nil"/>
            </w:tcBorders>
            <w:shd w:val="clear" w:color="auto" w:fill="FFFFFF"/>
            <w:vAlign w:val="bottom"/>
          </w:tcPr>
          <w:p w14:paraId="1E82ACA5" w14:textId="65BA0379" w:rsidR="00F61E74" w:rsidRPr="00C220C2" w:rsidRDefault="00F61E74" w:rsidP="00C12A41">
            <w:pPr>
              <w:adjustRightInd w:val="0"/>
              <w:ind w:left="60" w:right="60"/>
              <w:jc w:val="both"/>
              <w:rPr>
                <w:rFonts w:ascii="Times New Roman" w:hAnsi="Times New Roman" w:cs="Times New Roman"/>
                <w:sz w:val="20"/>
                <w:szCs w:val="20"/>
              </w:rPr>
            </w:pPr>
            <w:r w:rsidRPr="00C220C2">
              <w:rPr>
                <w:rFonts w:ascii="Times New Roman" w:hAnsi="Times New Roman" w:cs="Times New Roman"/>
                <w:sz w:val="20"/>
                <w:szCs w:val="20"/>
              </w:rPr>
              <w:t>P</w:t>
            </w:r>
            <w:r w:rsidR="00C220C2">
              <w:rPr>
                <w:rFonts w:ascii="Times New Roman" w:hAnsi="Times New Roman" w:cs="Times New Roman"/>
                <w:sz w:val="20"/>
                <w:szCs w:val="20"/>
              </w:rPr>
              <w:t xml:space="preserve">ost </w:t>
            </w:r>
            <w:proofErr w:type="spellStart"/>
            <w:r w:rsidR="00C220C2">
              <w:rPr>
                <w:rFonts w:ascii="Times New Roman" w:hAnsi="Times New Roman" w:cs="Times New Roman"/>
                <w:sz w:val="20"/>
                <w:szCs w:val="20"/>
              </w:rPr>
              <w:t>Kontrol</w:t>
            </w:r>
            <w:proofErr w:type="spellEnd"/>
            <w:r w:rsidRPr="00C220C2">
              <w:rPr>
                <w:rFonts w:ascii="Times New Roman" w:hAnsi="Times New Roman" w:cs="Times New Roman"/>
                <w:sz w:val="20"/>
                <w:szCs w:val="20"/>
              </w:rPr>
              <w:t xml:space="preserve"> </w:t>
            </w:r>
            <w:r w:rsidR="00C220C2">
              <w:rPr>
                <w:rFonts w:ascii="Times New Roman" w:hAnsi="Times New Roman" w:cs="Times New Roman"/>
                <w:sz w:val="20"/>
                <w:szCs w:val="20"/>
              </w:rPr>
              <w:t>–</w:t>
            </w:r>
            <w:r w:rsidRPr="00C220C2">
              <w:rPr>
                <w:rFonts w:ascii="Times New Roman" w:hAnsi="Times New Roman" w:cs="Times New Roman"/>
                <w:sz w:val="20"/>
                <w:szCs w:val="20"/>
              </w:rPr>
              <w:t xml:space="preserve"> P</w:t>
            </w:r>
            <w:r w:rsidR="00C220C2">
              <w:rPr>
                <w:rFonts w:ascii="Times New Roman" w:hAnsi="Times New Roman" w:cs="Times New Roman"/>
                <w:sz w:val="20"/>
                <w:szCs w:val="20"/>
              </w:rPr>
              <w:t xml:space="preserve">re </w:t>
            </w:r>
            <w:proofErr w:type="spellStart"/>
            <w:r w:rsidR="00C220C2">
              <w:rPr>
                <w:rFonts w:ascii="Times New Roman" w:hAnsi="Times New Roman" w:cs="Times New Roman"/>
                <w:sz w:val="20"/>
                <w:szCs w:val="20"/>
              </w:rPr>
              <w:t>Kontrol</w:t>
            </w:r>
            <w:proofErr w:type="spellEnd"/>
          </w:p>
        </w:tc>
      </w:tr>
      <w:tr w:rsidR="00C220C2" w:rsidRPr="00C220C2" w14:paraId="1FCF0E30" w14:textId="77777777" w:rsidTr="00C220C2">
        <w:trPr>
          <w:cantSplit/>
          <w:trHeight w:val="205"/>
        </w:trPr>
        <w:tc>
          <w:tcPr>
            <w:tcW w:w="3108" w:type="dxa"/>
            <w:tcBorders>
              <w:top w:val="single" w:sz="8" w:space="0" w:color="152935"/>
              <w:left w:val="nil"/>
              <w:bottom w:val="single" w:sz="8" w:space="0" w:color="AEAEAE"/>
              <w:right w:val="nil"/>
            </w:tcBorders>
            <w:shd w:val="clear" w:color="auto" w:fill="E0E0E0"/>
          </w:tcPr>
          <w:p w14:paraId="4C2169DF" w14:textId="77777777" w:rsidR="00F61E74" w:rsidRPr="00C220C2" w:rsidRDefault="00F61E74" w:rsidP="00C12A41">
            <w:pPr>
              <w:adjustRightInd w:val="0"/>
              <w:ind w:left="60" w:right="60"/>
              <w:jc w:val="both"/>
              <w:rPr>
                <w:rFonts w:ascii="Times New Roman" w:hAnsi="Times New Roman" w:cs="Times New Roman"/>
                <w:sz w:val="20"/>
                <w:szCs w:val="20"/>
              </w:rPr>
            </w:pPr>
            <w:r w:rsidRPr="00C220C2">
              <w:rPr>
                <w:rFonts w:ascii="Times New Roman" w:hAnsi="Times New Roman" w:cs="Times New Roman"/>
                <w:sz w:val="20"/>
                <w:szCs w:val="20"/>
              </w:rPr>
              <w:t>Z</w:t>
            </w:r>
          </w:p>
        </w:tc>
        <w:tc>
          <w:tcPr>
            <w:tcW w:w="1854" w:type="dxa"/>
            <w:tcBorders>
              <w:top w:val="single" w:sz="8" w:space="0" w:color="152935"/>
              <w:left w:val="nil"/>
              <w:bottom w:val="single" w:sz="8" w:space="0" w:color="AEAEAE"/>
              <w:right w:val="single" w:sz="8" w:space="0" w:color="E0E0E0"/>
            </w:tcBorders>
            <w:shd w:val="clear" w:color="auto" w:fill="F9F9FB"/>
          </w:tcPr>
          <w:p w14:paraId="38E77983" w14:textId="77777777" w:rsidR="00F61E74" w:rsidRPr="00C220C2" w:rsidRDefault="00F61E74" w:rsidP="00C12A41">
            <w:pPr>
              <w:adjustRightInd w:val="0"/>
              <w:ind w:left="60" w:right="60"/>
              <w:jc w:val="both"/>
              <w:rPr>
                <w:rFonts w:ascii="Times New Roman" w:hAnsi="Times New Roman" w:cs="Times New Roman"/>
                <w:sz w:val="20"/>
                <w:szCs w:val="20"/>
              </w:rPr>
            </w:pPr>
            <w:r w:rsidRPr="00C220C2">
              <w:rPr>
                <w:rFonts w:ascii="Times New Roman" w:hAnsi="Times New Roman" w:cs="Times New Roman"/>
                <w:sz w:val="20"/>
                <w:szCs w:val="20"/>
              </w:rPr>
              <w:t>-2.226</w:t>
            </w:r>
            <w:r w:rsidRPr="00C220C2">
              <w:rPr>
                <w:rFonts w:ascii="Times New Roman" w:hAnsi="Times New Roman" w:cs="Times New Roman"/>
                <w:sz w:val="20"/>
                <w:szCs w:val="20"/>
                <w:vertAlign w:val="superscript"/>
              </w:rPr>
              <w:t>b</w:t>
            </w:r>
          </w:p>
        </w:tc>
        <w:tc>
          <w:tcPr>
            <w:tcW w:w="2836" w:type="dxa"/>
            <w:tcBorders>
              <w:top w:val="single" w:sz="8" w:space="0" w:color="152935"/>
              <w:left w:val="single" w:sz="8" w:space="0" w:color="E0E0E0"/>
              <w:bottom w:val="single" w:sz="8" w:space="0" w:color="AEAEAE"/>
              <w:right w:val="nil"/>
            </w:tcBorders>
            <w:shd w:val="clear" w:color="auto" w:fill="F9F9FB"/>
          </w:tcPr>
          <w:p w14:paraId="232D66D7" w14:textId="77777777" w:rsidR="00F61E74" w:rsidRPr="00C220C2" w:rsidRDefault="00F61E74" w:rsidP="00C12A41">
            <w:pPr>
              <w:adjustRightInd w:val="0"/>
              <w:ind w:left="60" w:right="60"/>
              <w:jc w:val="both"/>
              <w:rPr>
                <w:rFonts w:ascii="Times New Roman" w:hAnsi="Times New Roman" w:cs="Times New Roman"/>
                <w:sz w:val="20"/>
                <w:szCs w:val="20"/>
              </w:rPr>
            </w:pPr>
            <w:r w:rsidRPr="00C220C2">
              <w:rPr>
                <w:rFonts w:ascii="Times New Roman" w:hAnsi="Times New Roman" w:cs="Times New Roman"/>
                <w:sz w:val="20"/>
                <w:szCs w:val="20"/>
              </w:rPr>
              <w:t>-1.890</w:t>
            </w:r>
            <w:r w:rsidRPr="00C220C2">
              <w:rPr>
                <w:rFonts w:ascii="Times New Roman" w:hAnsi="Times New Roman" w:cs="Times New Roman"/>
                <w:sz w:val="20"/>
                <w:szCs w:val="20"/>
                <w:vertAlign w:val="superscript"/>
              </w:rPr>
              <w:t>b</w:t>
            </w:r>
          </w:p>
        </w:tc>
      </w:tr>
      <w:tr w:rsidR="00C220C2" w:rsidRPr="00C220C2" w14:paraId="72A05ED0" w14:textId="77777777" w:rsidTr="00C220C2">
        <w:trPr>
          <w:cantSplit/>
          <w:trHeight w:val="214"/>
        </w:trPr>
        <w:tc>
          <w:tcPr>
            <w:tcW w:w="3108" w:type="dxa"/>
            <w:tcBorders>
              <w:top w:val="single" w:sz="8" w:space="0" w:color="AEAEAE"/>
              <w:left w:val="nil"/>
              <w:bottom w:val="single" w:sz="8" w:space="0" w:color="152935"/>
              <w:right w:val="nil"/>
            </w:tcBorders>
            <w:shd w:val="clear" w:color="auto" w:fill="E0E0E0"/>
          </w:tcPr>
          <w:p w14:paraId="6560173C" w14:textId="77777777" w:rsidR="00F61E74" w:rsidRPr="00C220C2" w:rsidRDefault="00F61E74" w:rsidP="00C12A41">
            <w:pPr>
              <w:adjustRightInd w:val="0"/>
              <w:ind w:left="60" w:right="60"/>
              <w:jc w:val="both"/>
              <w:rPr>
                <w:rFonts w:ascii="Times New Roman" w:hAnsi="Times New Roman" w:cs="Times New Roman"/>
                <w:sz w:val="20"/>
                <w:szCs w:val="20"/>
              </w:rPr>
            </w:pPr>
            <w:proofErr w:type="spellStart"/>
            <w:r w:rsidRPr="00C220C2">
              <w:rPr>
                <w:rFonts w:ascii="Times New Roman" w:hAnsi="Times New Roman" w:cs="Times New Roman"/>
                <w:sz w:val="20"/>
                <w:szCs w:val="20"/>
              </w:rPr>
              <w:t>Asymp</w:t>
            </w:r>
            <w:proofErr w:type="spellEnd"/>
            <w:r w:rsidRPr="00C220C2">
              <w:rPr>
                <w:rFonts w:ascii="Times New Roman" w:hAnsi="Times New Roman" w:cs="Times New Roman"/>
                <w:sz w:val="20"/>
                <w:szCs w:val="20"/>
              </w:rPr>
              <w:t>. Sig. (2-tailed)</w:t>
            </w:r>
          </w:p>
        </w:tc>
        <w:tc>
          <w:tcPr>
            <w:tcW w:w="1854" w:type="dxa"/>
            <w:tcBorders>
              <w:top w:val="single" w:sz="8" w:space="0" w:color="AEAEAE"/>
              <w:left w:val="nil"/>
              <w:bottom w:val="single" w:sz="8" w:space="0" w:color="152935"/>
              <w:right w:val="single" w:sz="8" w:space="0" w:color="E0E0E0"/>
            </w:tcBorders>
            <w:shd w:val="clear" w:color="auto" w:fill="F9F9FB"/>
          </w:tcPr>
          <w:p w14:paraId="326843CC" w14:textId="77777777" w:rsidR="00F61E74" w:rsidRPr="00C220C2" w:rsidRDefault="00F61E74" w:rsidP="00C12A41">
            <w:pPr>
              <w:adjustRightInd w:val="0"/>
              <w:ind w:left="60" w:right="60"/>
              <w:jc w:val="both"/>
              <w:rPr>
                <w:rFonts w:ascii="Times New Roman" w:hAnsi="Times New Roman" w:cs="Times New Roman"/>
                <w:sz w:val="20"/>
                <w:szCs w:val="20"/>
              </w:rPr>
            </w:pPr>
            <w:r w:rsidRPr="00C220C2">
              <w:rPr>
                <w:rFonts w:ascii="Times New Roman" w:hAnsi="Times New Roman" w:cs="Times New Roman"/>
                <w:sz w:val="20"/>
                <w:szCs w:val="20"/>
              </w:rPr>
              <w:t>.026</w:t>
            </w:r>
          </w:p>
        </w:tc>
        <w:tc>
          <w:tcPr>
            <w:tcW w:w="2836" w:type="dxa"/>
            <w:tcBorders>
              <w:top w:val="single" w:sz="8" w:space="0" w:color="AEAEAE"/>
              <w:left w:val="single" w:sz="8" w:space="0" w:color="E0E0E0"/>
              <w:bottom w:val="single" w:sz="8" w:space="0" w:color="152935"/>
              <w:right w:val="nil"/>
            </w:tcBorders>
            <w:shd w:val="clear" w:color="auto" w:fill="F9F9FB"/>
          </w:tcPr>
          <w:p w14:paraId="64FDAB45" w14:textId="77777777" w:rsidR="00F61E74" w:rsidRPr="00C220C2" w:rsidRDefault="00F61E74" w:rsidP="00C12A41">
            <w:pPr>
              <w:adjustRightInd w:val="0"/>
              <w:ind w:left="60" w:right="60"/>
              <w:jc w:val="both"/>
              <w:rPr>
                <w:rFonts w:ascii="Times New Roman" w:hAnsi="Times New Roman" w:cs="Times New Roman"/>
                <w:sz w:val="20"/>
                <w:szCs w:val="20"/>
              </w:rPr>
            </w:pPr>
            <w:r w:rsidRPr="00C220C2">
              <w:rPr>
                <w:rFonts w:ascii="Times New Roman" w:hAnsi="Times New Roman" w:cs="Times New Roman"/>
                <w:sz w:val="20"/>
                <w:szCs w:val="20"/>
              </w:rPr>
              <w:t>.059</w:t>
            </w:r>
          </w:p>
        </w:tc>
      </w:tr>
      <w:tr w:rsidR="00C220C2" w:rsidRPr="00C220C2" w14:paraId="0F85E25A" w14:textId="77777777" w:rsidTr="00C220C2">
        <w:trPr>
          <w:cantSplit/>
          <w:trHeight w:val="214"/>
        </w:trPr>
        <w:tc>
          <w:tcPr>
            <w:tcW w:w="7798" w:type="dxa"/>
            <w:gridSpan w:val="3"/>
            <w:tcBorders>
              <w:top w:val="nil"/>
              <w:left w:val="nil"/>
              <w:bottom w:val="nil"/>
              <w:right w:val="nil"/>
            </w:tcBorders>
            <w:shd w:val="clear" w:color="auto" w:fill="FFFFFF"/>
          </w:tcPr>
          <w:p w14:paraId="0D624F38" w14:textId="77777777" w:rsidR="00F61E74" w:rsidRPr="00C220C2" w:rsidRDefault="00F61E74" w:rsidP="00C12A41">
            <w:pPr>
              <w:adjustRightInd w:val="0"/>
              <w:ind w:left="60" w:right="60"/>
              <w:jc w:val="both"/>
              <w:rPr>
                <w:rFonts w:ascii="Times New Roman" w:hAnsi="Times New Roman" w:cs="Times New Roman"/>
                <w:sz w:val="20"/>
                <w:szCs w:val="20"/>
              </w:rPr>
            </w:pPr>
            <w:r w:rsidRPr="00C220C2">
              <w:rPr>
                <w:rFonts w:ascii="Times New Roman" w:hAnsi="Times New Roman" w:cs="Times New Roman"/>
                <w:sz w:val="20"/>
                <w:szCs w:val="20"/>
              </w:rPr>
              <w:t>a. Wilcoxon Signed Ranks Test</w:t>
            </w:r>
          </w:p>
        </w:tc>
      </w:tr>
      <w:tr w:rsidR="00C220C2" w:rsidRPr="00C220C2" w14:paraId="7BA9B76C" w14:textId="77777777" w:rsidTr="00C220C2">
        <w:trPr>
          <w:cantSplit/>
          <w:trHeight w:val="205"/>
        </w:trPr>
        <w:tc>
          <w:tcPr>
            <w:tcW w:w="7798" w:type="dxa"/>
            <w:gridSpan w:val="3"/>
            <w:tcBorders>
              <w:top w:val="nil"/>
              <w:left w:val="nil"/>
              <w:bottom w:val="nil"/>
              <w:right w:val="nil"/>
            </w:tcBorders>
            <w:shd w:val="clear" w:color="auto" w:fill="FFFFFF"/>
          </w:tcPr>
          <w:p w14:paraId="1E49435B" w14:textId="77777777" w:rsidR="00F61E74" w:rsidRPr="00C220C2" w:rsidRDefault="00F61E74" w:rsidP="00C12A41">
            <w:pPr>
              <w:adjustRightInd w:val="0"/>
              <w:ind w:left="60" w:right="60"/>
              <w:jc w:val="both"/>
              <w:rPr>
                <w:rFonts w:ascii="Times New Roman" w:hAnsi="Times New Roman" w:cs="Times New Roman"/>
                <w:sz w:val="20"/>
                <w:szCs w:val="20"/>
              </w:rPr>
            </w:pPr>
            <w:r w:rsidRPr="00C220C2">
              <w:rPr>
                <w:rFonts w:ascii="Times New Roman" w:hAnsi="Times New Roman" w:cs="Times New Roman"/>
                <w:sz w:val="20"/>
                <w:szCs w:val="20"/>
              </w:rPr>
              <w:t>b. Based on negative ranks.</w:t>
            </w:r>
          </w:p>
        </w:tc>
      </w:tr>
    </w:tbl>
    <w:p w14:paraId="775AC1C8" w14:textId="77777777" w:rsidR="00F61E74" w:rsidRDefault="00F61E74" w:rsidP="00B97C0F">
      <w:pPr>
        <w:adjustRightInd w:val="0"/>
        <w:jc w:val="both"/>
        <w:rPr>
          <w:rFonts w:ascii="Times New Roman" w:hAnsi="Times New Roman" w:cs="Times New Roman"/>
        </w:rPr>
      </w:pPr>
    </w:p>
    <w:p w14:paraId="5D92988D" w14:textId="77777777" w:rsidR="00576377" w:rsidRPr="00B97C0F" w:rsidRDefault="00576377" w:rsidP="0043367F">
      <w:pPr>
        <w:pStyle w:val="BodyText"/>
        <w:spacing w:before="8" w:line="237" w:lineRule="auto"/>
        <w:ind w:left="136" w:right="133" w:firstLine="720"/>
        <w:jc w:val="both"/>
      </w:pPr>
      <w:r w:rsidRPr="00B97C0F">
        <w:t>Based on the output results using the Wilcoxon signed rank test, it was obtained that the Asymp value. Sig (2 tailed) of each group, namely the pretest post-test of the experimental group, obtained an Asymp score. Sig (2 tailed) 0.026 &lt; 0.05 (error rate 5%) increased so that the hypothesis proposed "Assertive techniques are effective in increasing students' self-openness" was accepted. Meanwhile, the control group obtained an Asymp value. Sig (2 tailed) 0.059 &gt; 0.05 (error rate 5%) did not change so that Ha was rejected and H0 was no change or increase in students' self-disclosure.</w:t>
      </w:r>
    </w:p>
    <w:p w14:paraId="5BF3492A" w14:textId="77777777" w:rsidR="00576377" w:rsidRDefault="00576377" w:rsidP="0043367F">
      <w:pPr>
        <w:adjustRightInd w:val="0"/>
        <w:ind w:firstLine="709"/>
        <w:jc w:val="both"/>
        <w:rPr>
          <w:rFonts w:ascii="Times New Roman" w:hAnsi="Times New Roman" w:cs="Times New Roman"/>
        </w:rPr>
      </w:pPr>
    </w:p>
    <w:p w14:paraId="1F4AB856" w14:textId="77777777" w:rsidR="00576377" w:rsidRPr="00B97C0F" w:rsidRDefault="00576377" w:rsidP="0043367F">
      <w:pPr>
        <w:pStyle w:val="BodyText"/>
        <w:spacing w:before="8" w:line="237" w:lineRule="auto"/>
        <w:ind w:left="142" w:right="133"/>
        <w:jc w:val="both"/>
        <w:rPr>
          <w:b/>
          <w:bCs/>
        </w:rPr>
      </w:pPr>
      <w:r w:rsidRPr="00B97C0F">
        <w:rPr>
          <w:b/>
          <w:bCs/>
        </w:rPr>
        <w:lastRenderedPageBreak/>
        <w:t>Independent Sample Test (Mann Whitney U Test)</w:t>
      </w:r>
    </w:p>
    <w:p w14:paraId="4413AA11" w14:textId="108E7A2F" w:rsidR="00F61E74" w:rsidRPr="001B5ED4" w:rsidRDefault="00576377" w:rsidP="00B97C0F">
      <w:pPr>
        <w:pStyle w:val="BodyText"/>
        <w:spacing w:before="8" w:line="237" w:lineRule="auto"/>
        <w:ind w:left="136" w:right="133" w:firstLine="720"/>
        <w:jc w:val="both"/>
      </w:pPr>
      <w:r w:rsidRPr="00EA6F1C">
        <w:rPr>
          <w:sz w:val="24"/>
          <w:szCs w:val="24"/>
        </w:rPr>
        <w:t xml:space="preserve"> </w:t>
      </w:r>
      <w:r w:rsidRPr="001B5ED4">
        <w:t>This independent test is used by the Mann Whitney U Test. The Mann Whitney U Test is a non-parametric test used to determine the difference in the median of 2 independent groups if the data scale of the bound variable is ordinal or interval/ratio but not normally distributed. The following are the results of the tests of the two groups</w:t>
      </w:r>
      <w:r w:rsidR="00F61E74" w:rsidRPr="001B5ED4">
        <w:t>.</w:t>
      </w:r>
    </w:p>
    <w:p w14:paraId="4170374D" w14:textId="7ECFE369" w:rsidR="00F61E74" w:rsidRPr="00B97C0F" w:rsidRDefault="00F61E74" w:rsidP="00B97C0F">
      <w:pPr>
        <w:adjustRightInd w:val="0"/>
        <w:ind w:left="142"/>
        <w:rPr>
          <w:rFonts w:ascii="Times New Roman" w:hAnsi="Times New Roman" w:cs="Times New Roman"/>
          <w:b/>
          <w:bCs/>
          <w:sz w:val="20"/>
          <w:szCs w:val="20"/>
        </w:rPr>
      </w:pPr>
      <w:r w:rsidRPr="00B97C0F">
        <w:rPr>
          <w:rFonts w:ascii="Times New Roman" w:hAnsi="Times New Roman" w:cs="Times New Roman"/>
          <w:b/>
          <w:bCs/>
          <w:sz w:val="20"/>
          <w:szCs w:val="20"/>
        </w:rPr>
        <w:t>Tabl</w:t>
      </w:r>
      <w:r w:rsidR="00576377">
        <w:rPr>
          <w:rFonts w:ascii="Times New Roman" w:hAnsi="Times New Roman" w:cs="Times New Roman"/>
          <w:b/>
          <w:bCs/>
          <w:sz w:val="20"/>
          <w:szCs w:val="20"/>
        </w:rPr>
        <w:t>e</w:t>
      </w:r>
      <w:r w:rsidRPr="00B97C0F">
        <w:rPr>
          <w:rFonts w:ascii="Times New Roman" w:hAnsi="Times New Roman" w:cs="Times New Roman"/>
          <w:b/>
          <w:bCs/>
          <w:sz w:val="20"/>
          <w:szCs w:val="20"/>
        </w:rPr>
        <w:t xml:space="preserve"> 4. </w:t>
      </w:r>
      <w:r w:rsidR="00576377" w:rsidRPr="00B97C0F">
        <w:rPr>
          <w:rFonts w:ascii="Times New Roman" w:hAnsi="Times New Roman" w:cs="Times New Roman"/>
          <w:sz w:val="20"/>
          <w:szCs w:val="20"/>
        </w:rPr>
        <w:t>Independent Test Results with Mann Whitney U Test Experimental Group</w:t>
      </w:r>
    </w:p>
    <w:tbl>
      <w:tblPr>
        <w:tblW w:w="6904" w:type="dxa"/>
        <w:tblInd w:w="242" w:type="dxa"/>
        <w:tblLayout w:type="fixed"/>
        <w:tblCellMar>
          <w:left w:w="0" w:type="dxa"/>
          <w:right w:w="0" w:type="dxa"/>
        </w:tblCellMar>
        <w:tblLook w:val="0000" w:firstRow="0" w:lastRow="0" w:firstColumn="0" w:lastColumn="0" w:noHBand="0" w:noVBand="0"/>
      </w:tblPr>
      <w:tblGrid>
        <w:gridCol w:w="857"/>
        <w:gridCol w:w="583"/>
        <w:gridCol w:w="1327"/>
        <w:gridCol w:w="1192"/>
        <w:gridCol w:w="303"/>
        <w:gridCol w:w="1029"/>
        <w:gridCol w:w="162"/>
        <w:gridCol w:w="1451"/>
      </w:tblGrid>
      <w:tr w:rsidR="00C220C2" w:rsidRPr="00C220C2" w14:paraId="53874DB5" w14:textId="77777777" w:rsidTr="00C12A41">
        <w:trPr>
          <w:cantSplit/>
        </w:trPr>
        <w:tc>
          <w:tcPr>
            <w:tcW w:w="6904" w:type="dxa"/>
            <w:gridSpan w:val="8"/>
            <w:tcBorders>
              <w:top w:val="nil"/>
              <w:left w:val="nil"/>
              <w:bottom w:val="nil"/>
              <w:right w:val="nil"/>
            </w:tcBorders>
            <w:shd w:val="clear" w:color="auto" w:fill="FFFFFF"/>
            <w:vAlign w:val="center"/>
          </w:tcPr>
          <w:p w14:paraId="090658BF"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b/>
                <w:bCs/>
                <w:sz w:val="20"/>
                <w:szCs w:val="20"/>
              </w:rPr>
              <w:t>Ranks</w:t>
            </w:r>
          </w:p>
        </w:tc>
      </w:tr>
      <w:tr w:rsidR="00C220C2" w:rsidRPr="00C220C2" w14:paraId="06C26DB3" w14:textId="77777777" w:rsidTr="00C12A41">
        <w:trPr>
          <w:cantSplit/>
        </w:trPr>
        <w:tc>
          <w:tcPr>
            <w:tcW w:w="857" w:type="dxa"/>
            <w:tcBorders>
              <w:top w:val="nil"/>
              <w:left w:val="nil"/>
              <w:bottom w:val="nil"/>
              <w:right w:val="nil"/>
            </w:tcBorders>
          </w:tcPr>
          <w:p w14:paraId="08BD0D0C" w14:textId="77777777" w:rsidR="00F61E74" w:rsidRPr="00C220C2" w:rsidRDefault="00F61E74" w:rsidP="00B97C0F">
            <w:pPr>
              <w:adjustRightInd w:val="0"/>
              <w:jc w:val="center"/>
              <w:rPr>
                <w:rFonts w:ascii="Times New Roman" w:hAnsi="Times New Roman" w:cs="Times New Roman"/>
                <w:sz w:val="20"/>
                <w:szCs w:val="20"/>
              </w:rPr>
            </w:pPr>
          </w:p>
        </w:tc>
        <w:tc>
          <w:tcPr>
            <w:tcW w:w="1910" w:type="dxa"/>
            <w:gridSpan w:val="2"/>
            <w:tcBorders>
              <w:top w:val="nil"/>
              <w:left w:val="nil"/>
              <w:bottom w:val="single" w:sz="8" w:space="0" w:color="152935"/>
              <w:right w:val="nil"/>
            </w:tcBorders>
            <w:shd w:val="clear" w:color="auto" w:fill="FFFFFF"/>
            <w:vAlign w:val="bottom"/>
          </w:tcPr>
          <w:p w14:paraId="57AA353D"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Kelompok</w:t>
            </w:r>
          </w:p>
        </w:tc>
        <w:tc>
          <w:tcPr>
            <w:tcW w:w="1192" w:type="dxa"/>
            <w:tcBorders>
              <w:top w:val="nil"/>
              <w:left w:val="nil"/>
              <w:bottom w:val="single" w:sz="8" w:space="0" w:color="152935"/>
              <w:right w:val="single" w:sz="8" w:space="0" w:color="E0E0E0"/>
            </w:tcBorders>
            <w:shd w:val="clear" w:color="auto" w:fill="FFFFFF"/>
            <w:vAlign w:val="bottom"/>
          </w:tcPr>
          <w:p w14:paraId="37C9419F"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N</w:t>
            </w:r>
          </w:p>
        </w:tc>
        <w:tc>
          <w:tcPr>
            <w:tcW w:w="1332" w:type="dxa"/>
            <w:gridSpan w:val="2"/>
            <w:tcBorders>
              <w:top w:val="nil"/>
              <w:left w:val="single" w:sz="8" w:space="0" w:color="E0E0E0"/>
              <w:bottom w:val="single" w:sz="8" w:space="0" w:color="152935"/>
              <w:right w:val="single" w:sz="8" w:space="0" w:color="E0E0E0"/>
            </w:tcBorders>
            <w:shd w:val="clear" w:color="auto" w:fill="FFFFFF"/>
            <w:vAlign w:val="bottom"/>
          </w:tcPr>
          <w:p w14:paraId="3EE75025"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Mean Rank</w:t>
            </w:r>
          </w:p>
        </w:tc>
        <w:tc>
          <w:tcPr>
            <w:tcW w:w="1613" w:type="dxa"/>
            <w:gridSpan w:val="2"/>
            <w:tcBorders>
              <w:top w:val="nil"/>
              <w:left w:val="single" w:sz="8" w:space="0" w:color="E0E0E0"/>
              <w:bottom w:val="single" w:sz="8" w:space="0" w:color="152935"/>
              <w:right w:val="nil"/>
            </w:tcBorders>
            <w:shd w:val="clear" w:color="auto" w:fill="FFFFFF"/>
            <w:vAlign w:val="bottom"/>
          </w:tcPr>
          <w:p w14:paraId="4AFA7E0C"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Sum of Ranks</w:t>
            </w:r>
          </w:p>
        </w:tc>
      </w:tr>
      <w:tr w:rsidR="00C220C2" w:rsidRPr="00C220C2" w14:paraId="48235C85" w14:textId="77777777" w:rsidTr="00C12A41">
        <w:trPr>
          <w:cantSplit/>
        </w:trPr>
        <w:tc>
          <w:tcPr>
            <w:tcW w:w="857" w:type="dxa"/>
            <w:vMerge w:val="restart"/>
            <w:tcBorders>
              <w:top w:val="single" w:sz="8" w:space="0" w:color="152935"/>
              <w:left w:val="nil"/>
              <w:bottom w:val="single" w:sz="8" w:space="0" w:color="152935"/>
              <w:right w:val="nil"/>
            </w:tcBorders>
            <w:shd w:val="clear" w:color="auto" w:fill="E0E0E0"/>
          </w:tcPr>
          <w:p w14:paraId="6BF72F9C"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Hasil</w:t>
            </w:r>
          </w:p>
        </w:tc>
        <w:tc>
          <w:tcPr>
            <w:tcW w:w="1910" w:type="dxa"/>
            <w:gridSpan w:val="2"/>
            <w:tcBorders>
              <w:top w:val="single" w:sz="8" w:space="0" w:color="152935"/>
              <w:left w:val="nil"/>
              <w:bottom w:val="single" w:sz="8" w:space="0" w:color="AEAEAE"/>
              <w:right w:val="nil"/>
            </w:tcBorders>
            <w:shd w:val="clear" w:color="auto" w:fill="E0E0E0"/>
          </w:tcPr>
          <w:p w14:paraId="04EA6DBC"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Pre Eksperimen</w:t>
            </w:r>
          </w:p>
        </w:tc>
        <w:tc>
          <w:tcPr>
            <w:tcW w:w="1192" w:type="dxa"/>
            <w:tcBorders>
              <w:top w:val="single" w:sz="8" w:space="0" w:color="152935"/>
              <w:left w:val="nil"/>
              <w:bottom w:val="single" w:sz="8" w:space="0" w:color="AEAEAE"/>
              <w:right w:val="single" w:sz="8" w:space="0" w:color="E0E0E0"/>
            </w:tcBorders>
            <w:shd w:val="clear" w:color="auto" w:fill="F9F9FB"/>
          </w:tcPr>
          <w:p w14:paraId="308074BA"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6</w:t>
            </w:r>
          </w:p>
        </w:tc>
        <w:tc>
          <w:tcPr>
            <w:tcW w:w="1332" w:type="dxa"/>
            <w:gridSpan w:val="2"/>
            <w:tcBorders>
              <w:top w:val="single" w:sz="8" w:space="0" w:color="152935"/>
              <w:left w:val="single" w:sz="8" w:space="0" w:color="E0E0E0"/>
              <w:bottom w:val="single" w:sz="8" w:space="0" w:color="AEAEAE"/>
              <w:right w:val="single" w:sz="8" w:space="0" w:color="E0E0E0"/>
            </w:tcBorders>
            <w:shd w:val="clear" w:color="auto" w:fill="F9F9FB"/>
          </w:tcPr>
          <w:p w14:paraId="4B0ADC96"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3.50</w:t>
            </w:r>
          </w:p>
        </w:tc>
        <w:tc>
          <w:tcPr>
            <w:tcW w:w="1613" w:type="dxa"/>
            <w:gridSpan w:val="2"/>
            <w:tcBorders>
              <w:top w:val="single" w:sz="8" w:space="0" w:color="152935"/>
              <w:left w:val="single" w:sz="8" w:space="0" w:color="E0E0E0"/>
              <w:bottom w:val="single" w:sz="8" w:space="0" w:color="AEAEAE"/>
              <w:right w:val="nil"/>
            </w:tcBorders>
            <w:shd w:val="clear" w:color="auto" w:fill="F9F9FB"/>
          </w:tcPr>
          <w:p w14:paraId="7ABD383C"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21.00</w:t>
            </w:r>
          </w:p>
        </w:tc>
      </w:tr>
      <w:tr w:rsidR="00C220C2" w:rsidRPr="00C220C2" w14:paraId="00004180" w14:textId="77777777" w:rsidTr="00C12A41">
        <w:trPr>
          <w:cantSplit/>
        </w:trPr>
        <w:tc>
          <w:tcPr>
            <w:tcW w:w="857" w:type="dxa"/>
            <w:vMerge/>
            <w:tcBorders>
              <w:top w:val="single" w:sz="8" w:space="0" w:color="152935"/>
              <w:left w:val="nil"/>
              <w:bottom w:val="single" w:sz="8" w:space="0" w:color="152935"/>
              <w:right w:val="nil"/>
            </w:tcBorders>
            <w:shd w:val="clear" w:color="auto" w:fill="E0E0E0"/>
          </w:tcPr>
          <w:p w14:paraId="0FA12493" w14:textId="77777777" w:rsidR="00F61E74" w:rsidRPr="00C220C2" w:rsidRDefault="00F61E74" w:rsidP="00B97C0F">
            <w:pPr>
              <w:adjustRightInd w:val="0"/>
              <w:jc w:val="center"/>
              <w:rPr>
                <w:rFonts w:ascii="Times New Roman" w:hAnsi="Times New Roman" w:cs="Times New Roman"/>
                <w:sz w:val="20"/>
                <w:szCs w:val="20"/>
              </w:rPr>
            </w:pPr>
          </w:p>
        </w:tc>
        <w:tc>
          <w:tcPr>
            <w:tcW w:w="1910" w:type="dxa"/>
            <w:gridSpan w:val="2"/>
            <w:tcBorders>
              <w:top w:val="single" w:sz="8" w:space="0" w:color="AEAEAE"/>
              <w:left w:val="nil"/>
              <w:bottom w:val="single" w:sz="8" w:space="0" w:color="AEAEAE"/>
              <w:right w:val="nil"/>
            </w:tcBorders>
            <w:shd w:val="clear" w:color="auto" w:fill="E0E0E0"/>
          </w:tcPr>
          <w:p w14:paraId="3404CF1B"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Post Eksperimen</w:t>
            </w:r>
          </w:p>
        </w:tc>
        <w:tc>
          <w:tcPr>
            <w:tcW w:w="1192" w:type="dxa"/>
            <w:tcBorders>
              <w:top w:val="single" w:sz="8" w:space="0" w:color="AEAEAE"/>
              <w:left w:val="nil"/>
              <w:bottom w:val="single" w:sz="8" w:space="0" w:color="AEAEAE"/>
              <w:right w:val="single" w:sz="8" w:space="0" w:color="E0E0E0"/>
            </w:tcBorders>
            <w:shd w:val="clear" w:color="auto" w:fill="F9F9FB"/>
          </w:tcPr>
          <w:p w14:paraId="3789FF06"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6</w:t>
            </w:r>
          </w:p>
        </w:tc>
        <w:tc>
          <w:tcPr>
            <w:tcW w:w="1332" w:type="dxa"/>
            <w:gridSpan w:val="2"/>
            <w:tcBorders>
              <w:top w:val="single" w:sz="8" w:space="0" w:color="AEAEAE"/>
              <w:left w:val="single" w:sz="8" w:space="0" w:color="E0E0E0"/>
              <w:bottom w:val="single" w:sz="8" w:space="0" w:color="AEAEAE"/>
              <w:right w:val="single" w:sz="8" w:space="0" w:color="E0E0E0"/>
            </w:tcBorders>
            <w:shd w:val="clear" w:color="auto" w:fill="F9F9FB"/>
          </w:tcPr>
          <w:p w14:paraId="44095635"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9.50</w:t>
            </w:r>
          </w:p>
        </w:tc>
        <w:tc>
          <w:tcPr>
            <w:tcW w:w="1613" w:type="dxa"/>
            <w:gridSpan w:val="2"/>
            <w:tcBorders>
              <w:top w:val="single" w:sz="8" w:space="0" w:color="AEAEAE"/>
              <w:left w:val="single" w:sz="8" w:space="0" w:color="E0E0E0"/>
              <w:bottom w:val="single" w:sz="8" w:space="0" w:color="AEAEAE"/>
              <w:right w:val="nil"/>
            </w:tcBorders>
            <w:shd w:val="clear" w:color="auto" w:fill="F9F9FB"/>
          </w:tcPr>
          <w:p w14:paraId="353CFE9B"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57.00</w:t>
            </w:r>
          </w:p>
        </w:tc>
      </w:tr>
      <w:tr w:rsidR="00C220C2" w:rsidRPr="00C220C2" w14:paraId="440D2831" w14:textId="77777777" w:rsidTr="00C12A41">
        <w:trPr>
          <w:cantSplit/>
        </w:trPr>
        <w:tc>
          <w:tcPr>
            <w:tcW w:w="857" w:type="dxa"/>
            <w:vMerge/>
            <w:tcBorders>
              <w:top w:val="single" w:sz="8" w:space="0" w:color="152935"/>
              <w:left w:val="nil"/>
              <w:bottom w:val="single" w:sz="8" w:space="0" w:color="152935"/>
              <w:right w:val="nil"/>
            </w:tcBorders>
            <w:shd w:val="clear" w:color="auto" w:fill="E0E0E0"/>
          </w:tcPr>
          <w:p w14:paraId="24DD8007" w14:textId="77777777" w:rsidR="00F61E74" w:rsidRPr="00C220C2" w:rsidRDefault="00F61E74" w:rsidP="00B97C0F">
            <w:pPr>
              <w:adjustRightInd w:val="0"/>
              <w:jc w:val="center"/>
              <w:rPr>
                <w:rFonts w:ascii="Times New Roman" w:hAnsi="Times New Roman" w:cs="Times New Roman"/>
                <w:sz w:val="20"/>
                <w:szCs w:val="20"/>
              </w:rPr>
            </w:pPr>
          </w:p>
        </w:tc>
        <w:tc>
          <w:tcPr>
            <w:tcW w:w="1910" w:type="dxa"/>
            <w:gridSpan w:val="2"/>
            <w:tcBorders>
              <w:top w:val="single" w:sz="8" w:space="0" w:color="AEAEAE"/>
              <w:left w:val="nil"/>
              <w:bottom w:val="single" w:sz="8" w:space="0" w:color="152935"/>
              <w:right w:val="nil"/>
            </w:tcBorders>
            <w:shd w:val="clear" w:color="auto" w:fill="E0E0E0"/>
          </w:tcPr>
          <w:p w14:paraId="60854CAE"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Total</w:t>
            </w:r>
          </w:p>
        </w:tc>
        <w:tc>
          <w:tcPr>
            <w:tcW w:w="1192" w:type="dxa"/>
            <w:tcBorders>
              <w:top w:val="single" w:sz="8" w:space="0" w:color="AEAEAE"/>
              <w:left w:val="nil"/>
              <w:bottom w:val="single" w:sz="8" w:space="0" w:color="152935"/>
              <w:right w:val="single" w:sz="8" w:space="0" w:color="E0E0E0"/>
            </w:tcBorders>
            <w:shd w:val="clear" w:color="auto" w:fill="F9F9FB"/>
          </w:tcPr>
          <w:p w14:paraId="74DBA96B"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12</w:t>
            </w:r>
          </w:p>
        </w:tc>
        <w:tc>
          <w:tcPr>
            <w:tcW w:w="1332" w:type="dxa"/>
            <w:gridSpan w:val="2"/>
            <w:tcBorders>
              <w:top w:val="single" w:sz="8" w:space="0" w:color="AEAEAE"/>
              <w:left w:val="single" w:sz="8" w:space="0" w:color="E0E0E0"/>
              <w:bottom w:val="single" w:sz="8" w:space="0" w:color="152935"/>
              <w:right w:val="single" w:sz="8" w:space="0" w:color="E0E0E0"/>
            </w:tcBorders>
            <w:shd w:val="clear" w:color="auto" w:fill="F9F9FB"/>
            <w:vAlign w:val="center"/>
          </w:tcPr>
          <w:p w14:paraId="29FF5187" w14:textId="77777777" w:rsidR="00F61E74" w:rsidRPr="00C220C2" w:rsidRDefault="00F61E74" w:rsidP="00B97C0F">
            <w:pPr>
              <w:adjustRightInd w:val="0"/>
              <w:jc w:val="center"/>
              <w:rPr>
                <w:rFonts w:ascii="Times New Roman" w:hAnsi="Times New Roman" w:cs="Times New Roman"/>
                <w:sz w:val="20"/>
                <w:szCs w:val="20"/>
              </w:rPr>
            </w:pPr>
          </w:p>
        </w:tc>
        <w:tc>
          <w:tcPr>
            <w:tcW w:w="1613" w:type="dxa"/>
            <w:gridSpan w:val="2"/>
            <w:tcBorders>
              <w:top w:val="single" w:sz="8" w:space="0" w:color="AEAEAE"/>
              <w:left w:val="single" w:sz="8" w:space="0" w:color="E0E0E0"/>
              <w:bottom w:val="single" w:sz="8" w:space="0" w:color="152935"/>
              <w:right w:val="nil"/>
            </w:tcBorders>
            <w:shd w:val="clear" w:color="auto" w:fill="F9F9FB"/>
            <w:vAlign w:val="center"/>
          </w:tcPr>
          <w:p w14:paraId="42E771FF" w14:textId="77777777" w:rsidR="00F61E74" w:rsidRPr="00C220C2" w:rsidRDefault="00F61E74" w:rsidP="00B97C0F">
            <w:pPr>
              <w:adjustRightInd w:val="0"/>
              <w:jc w:val="center"/>
              <w:rPr>
                <w:rFonts w:ascii="Times New Roman" w:hAnsi="Times New Roman" w:cs="Times New Roman"/>
                <w:sz w:val="20"/>
                <w:szCs w:val="20"/>
              </w:rPr>
            </w:pPr>
          </w:p>
        </w:tc>
      </w:tr>
      <w:tr w:rsidR="00C220C2" w:rsidRPr="00C220C2" w14:paraId="44A4EBFB" w14:textId="77777777" w:rsidTr="00C12A41">
        <w:trPr>
          <w:gridBefore w:val="2"/>
          <w:gridAfter w:val="1"/>
          <w:wBefore w:w="1440" w:type="dxa"/>
          <w:wAfter w:w="1451" w:type="dxa"/>
          <w:cantSplit/>
        </w:trPr>
        <w:tc>
          <w:tcPr>
            <w:tcW w:w="4013" w:type="dxa"/>
            <w:gridSpan w:val="5"/>
            <w:tcBorders>
              <w:top w:val="nil"/>
              <w:left w:val="nil"/>
              <w:bottom w:val="nil"/>
              <w:right w:val="nil"/>
            </w:tcBorders>
            <w:shd w:val="clear" w:color="auto" w:fill="FFFFFF"/>
            <w:vAlign w:val="center"/>
          </w:tcPr>
          <w:p w14:paraId="47CBB080" w14:textId="77777777" w:rsidR="00F61E74" w:rsidRPr="00C220C2" w:rsidRDefault="00F61E74" w:rsidP="00B97C0F">
            <w:pPr>
              <w:adjustRightInd w:val="0"/>
              <w:ind w:left="60" w:right="60"/>
              <w:jc w:val="center"/>
              <w:rPr>
                <w:rFonts w:ascii="Times New Roman" w:hAnsi="Times New Roman" w:cs="Times New Roman"/>
                <w:b/>
                <w:bCs/>
                <w:sz w:val="20"/>
                <w:szCs w:val="20"/>
              </w:rPr>
            </w:pPr>
          </w:p>
          <w:p w14:paraId="6C3EEA06"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b/>
                <w:bCs/>
                <w:sz w:val="20"/>
                <w:szCs w:val="20"/>
              </w:rPr>
              <w:t>Test Statistics</w:t>
            </w:r>
            <w:r w:rsidRPr="00C220C2">
              <w:rPr>
                <w:rFonts w:ascii="Times New Roman" w:hAnsi="Times New Roman" w:cs="Times New Roman"/>
                <w:b/>
                <w:bCs/>
                <w:sz w:val="20"/>
                <w:szCs w:val="20"/>
                <w:vertAlign w:val="superscript"/>
              </w:rPr>
              <w:t>a</w:t>
            </w:r>
          </w:p>
        </w:tc>
      </w:tr>
      <w:tr w:rsidR="00C220C2" w:rsidRPr="00C220C2" w14:paraId="304DC924" w14:textId="77777777" w:rsidTr="00C12A41">
        <w:trPr>
          <w:gridBefore w:val="2"/>
          <w:gridAfter w:val="1"/>
          <w:wBefore w:w="1440" w:type="dxa"/>
          <w:wAfter w:w="1451" w:type="dxa"/>
          <w:cantSplit/>
        </w:trPr>
        <w:tc>
          <w:tcPr>
            <w:tcW w:w="2822" w:type="dxa"/>
            <w:gridSpan w:val="3"/>
            <w:tcBorders>
              <w:top w:val="nil"/>
              <w:left w:val="nil"/>
              <w:bottom w:val="single" w:sz="8" w:space="0" w:color="152935"/>
              <w:right w:val="nil"/>
            </w:tcBorders>
            <w:shd w:val="clear" w:color="auto" w:fill="FFFFFF"/>
            <w:vAlign w:val="bottom"/>
          </w:tcPr>
          <w:p w14:paraId="05FDC325" w14:textId="77777777" w:rsidR="00F61E74" w:rsidRPr="00C220C2" w:rsidRDefault="00F61E74" w:rsidP="00B97C0F">
            <w:pPr>
              <w:adjustRightInd w:val="0"/>
              <w:jc w:val="center"/>
              <w:rPr>
                <w:rFonts w:ascii="Times New Roman" w:hAnsi="Times New Roman" w:cs="Times New Roman"/>
                <w:sz w:val="20"/>
                <w:szCs w:val="20"/>
              </w:rPr>
            </w:pPr>
          </w:p>
        </w:tc>
        <w:tc>
          <w:tcPr>
            <w:tcW w:w="1191" w:type="dxa"/>
            <w:gridSpan w:val="2"/>
            <w:tcBorders>
              <w:top w:val="nil"/>
              <w:left w:val="nil"/>
              <w:bottom w:val="single" w:sz="8" w:space="0" w:color="152935"/>
              <w:right w:val="nil"/>
            </w:tcBorders>
            <w:shd w:val="clear" w:color="auto" w:fill="FFFFFF"/>
            <w:vAlign w:val="bottom"/>
          </w:tcPr>
          <w:p w14:paraId="73341670"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Hasil</w:t>
            </w:r>
          </w:p>
        </w:tc>
      </w:tr>
      <w:tr w:rsidR="00C220C2" w:rsidRPr="00C220C2" w14:paraId="7A380E06" w14:textId="77777777" w:rsidTr="00C12A41">
        <w:trPr>
          <w:gridBefore w:val="2"/>
          <w:gridAfter w:val="1"/>
          <w:wBefore w:w="1440" w:type="dxa"/>
          <w:wAfter w:w="1451" w:type="dxa"/>
          <w:cantSplit/>
        </w:trPr>
        <w:tc>
          <w:tcPr>
            <w:tcW w:w="2822" w:type="dxa"/>
            <w:gridSpan w:val="3"/>
            <w:tcBorders>
              <w:top w:val="single" w:sz="8" w:space="0" w:color="152935"/>
              <w:left w:val="nil"/>
              <w:bottom w:val="single" w:sz="8" w:space="0" w:color="AEAEAE"/>
              <w:right w:val="nil"/>
            </w:tcBorders>
            <w:shd w:val="clear" w:color="auto" w:fill="E0E0E0"/>
          </w:tcPr>
          <w:p w14:paraId="332A26B2"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Mann-Whitney U</w:t>
            </w:r>
          </w:p>
        </w:tc>
        <w:tc>
          <w:tcPr>
            <w:tcW w:w="1191" w:type="dxa"/>
            <w:gridSpan w:val="2"/>
            <w:tcBorders>
              <w:top w:val="single" w:sz="8" w:space="0" w:color="152935"/>
              <w:left w:val="nil"/>
              <w:bottom w:val="single" w:sz="8" w:space="0" w:color="AEAEAE"/>
              <w:right w:val="nil"/>
            </w:tcBorders>
            <w:shd w:val="clear" w:color="auto" w:fill="F9F9FB"/>
          </w:tcPr>
          <w:p w14:paraId="731B527A"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.000</w:t>
            </w:r>
          </w:p>
        </w:tc>
      </w:tr>
      <w:tr w:rsidR="00C220C2" w:rsidRPr="00C220C2" w14:paraId="3C96C5D0" w14:textId="77777777" w:rsidTr="00C12A41">
        <w:trPr>
          <w:gridBefore w:val="2"/>
          <w:gridAfter w:val="1"/>
          <w:wBefore w:w="1440" w:type="dxa"/>
          <w:wAfter w:w="1451" w:type="dxa"/>
          <w:cantSplit/>
        </w:trPr>
        <w:tc>
          <w:tcPr>
            <w:tcW w:w="2822" w:type="dxa"/>
            <w:gridSpan w:val="3"/>
            <w:tcBorders>
              <w:top w:val="single" w:sz="8" w:space="0" w:color="AEAEAE"/>
              <w:left w:val="nil"/>
              <w:bottom w:val="single" w:sz="8" w:space="0" w:color="AEAEAE"/>
              <w:right w:val="nil"/>
            </w:tcBorders>
            <w:shd w:val="clear" w:color="auto" w:fill="E0E0E0"/>
          </w:tcPr>
          <w:p w14:paraId="537EF82F"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Wilcoxon W</w:t>
            </w:r>
          </w:p>
        </w:tc>
        <w:tc>
          <w:tcPr>
            <w:tcW w:w="1191" w:type="dxa"/>
            <w:gridSpan w:val="2"/>
            <w:tcBorders>
              <w:top w:val="single" w:sz="8" w:space="0" w:color="AEAEAE"/>
              <w:left w:val="nil"/>
              <w:bottom w:val="single" w:sz="8" w:space="0" w:color="AEAEAE"/>
              <w:right w:val="nil"/>
            </w:tcBorders>
            <w:shd w:val="clear" w:color="auto" w:fill="F9F9FB"/>
          </w:tcPr>
          <w:p w14:paraId="49041497"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21.000</w:t>
            </w:r>
          </w:p>
        </w:tc>
      </w:tr>
      <w:tr w:rsidR="00C220C2" w:rsidRPr="00C220C2" w14:paraId="0821C858" w14:textId="77777777" w:rsidTr="00C12A41">
        <w:trPr>
          <w:gridBefore w:val="2"/>
          <w:gridAfter w:val="1"/>
          <w:wBefore w:w="1440" w:type="dxa"/>
          <w:wAfter w:w="1451" w:type="dxa"/>
          <w:cantSplit/>
        </w:trPr>
        <w:tc>
          <w:tcPr>
            <w:tcW w:w="2822" w:type="dxa"/>
            <w:gridSpan w:val="3"/>
            <w:tcBorders>
              <w:top w:val="single" w:sz="8" w:space="0" w:color="AEAEAE"/>
              <w:left w:val="nil"/>
              <w:bottom w:val="single" w:sz="8" w:space="0" w:color="AEAEAE"/>
              <w:right w:val="nil"/>
            </w:tcBorders>
            <w:shd w:val="clear" w:color="auto" w:fill="E0E0E0"/>
          </w:tcPr>
          <w:p w14:paraId="7F2F980C"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Z</w:t>
            </w:r>
          </w:p>
        </w:tc>
        <w:tc>
          <w:tcPr>
            <w:tcW w:w="1191" w:type="dxa"/>
            <w:gridSpan w:val="2"/>
            <w:tcBorders>
              <w:top w:val="single" w:sz="8" w:space="0" w:color="AEAEAE"/>
              <w:left w:val="nil"/>
              <w:bottom w:val="single" w:sz="8" w:space="0" w:color="AEAEAE"/>
              <w:right w:val="nil"/>
            </w:tcBorders>
            <w:shd w:val="clear" w:color="auto" w:fill="F9F9FB"/>
          </w:tcPr>
          <w:p w14:paraId="5FE8FC3E"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-2.903</w:t>
            </w:r>
          </w:p>
        </w:tc>
      </w:tr>
      <w:tr w:rsidR="00C220C2" w:rsidRPr="00C220C2" w14:paraId="28A9964E" w14:textId="77777777" w:rsidTr="00C12A41">
        <w:trPr>
          <w:gridBefore w:val="2"/>
          <w:gridAfter w:val="1"/>
          <w:wBefore w:w="1440" w:type="dxa"/>
          <w:wAfter w:w="1451" w:type="dxa"/>
          <w:cantSplit/>
        </w:trPr>
        <w:tc>
          <w:tcPr>
            <w:tcW w:w="2822" w:type="dxa"/>
            <w:gridSpan w:val="3"/>
            <w:tcBorders>
              <w:top w:val="single" w:sz="8" w:space="0" w:color="AEAEAE"/>
              <w:left w:val="nil"/>
              <w:bottom w:val="single" w:sz="8" w:space="0" w:color="AEAEAE"/>
              <w:right w:val="nil"/>
            </w:tcBorders>
            <w:shd w:val="clear" w:color="auto" w:fill="E0E0E0"/>
          </w:tcPr>
          <w:p w14:paraId="130F8813" w14:textId="77777777" w:rsidR="00F61E74" w:rsidRPr="00C220C2" w:rsidRDefault="00F61E74" w:rsidP="00B97C0F">
            <w:pPr>
              <w:adjustRightInd w:val="0"/>
              <w:ind w:left="60" w:right="60"/>
              <w:jc w:val="center"/>
              <w:rPr>
                <w:rFonts w:ascii="Times New Roman" w:hAnsi="Times New Roman" w:cs="Times New Roman"/>
                <w:sz w:val="20"/>
                <w:szCs w:val="20"/>
              </w:rPr>
            </w:pPr>
            <w:proofErr w:type="spellStart"/>
            <w:r w:rsidRPr="00C220C2">
              <w:rPr>
                <w:rFonts w:ascii="Times New Roman" w:hAnsi="Times New Roman" w:cs="Times New Roman"/>
                <w:sz w:val="20"/>
                <w:szCs w:val="20"/>
              </w:rPr>
              <w:t>Asymp</w:t>
            </w:r>
            <w:proofErr w:type="spellEnd"/>
            <w:r w:rsidRPr="00C220C2">
              <w:rPr>
                <w:rFonts w:ascii="Times New Roman" w:hAnsi="Times New Roman" w:cs="Times New Roman"/>
                <w:sz w:val="20"/>
                <w:szCs w:val="20"/>
              </w:rPr>
              <w:t>. Sig. (2-tailed)</w:t>
            </w:r>
          </w:p>
        </w:tc>
        <w:tc>
          <w:tcPr>
            <w:tcW w:w="1191" w:type="dxa"/>
            <w:gridSpan w:val="2"/>
            <w:tcBorders>
              <w:top w:val="single" w:sz="8" w:space="0" w:color="AEAEAE"/>
              <w:left w:val="nil"/>
              <w:bottom w:val="single" w:sz="8" w:space="0" w:color="AEAEAE"/>
              <w:right w:val="nil"/>
            </w:tcBorders>
            <w:shd w:val="clear" w:color="auto" w:fill="F9F9FB"/>
          </w:tcPr>
          <w:p w14:paraId="55E40BE8"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.004</w:t>
            </w:r>
          </w:p>
        </w:tc>
      </w:tr>
      <w:tr w:rsidR="00C220C2" w:rsidRPr="00C220C2" w14:paraId="6CAA02C0" w14:textId="77777777" w:rsidTr="00C12A41">
        <w:trPr>
          <w:gridBefore w:val="2"/>
          <w:gridAfter w:val="1"/>
          <w:wBefore w:w="1440" w:type="dxa"/>
          <w:wAfter w:w="1451" w:type="dxa"/>
          <w:cantSplit/>
        </w:trPr>
        <w:tc>
          <w:tcPr>
            <w:tcW w:w="2822" w:type="dxa"/>
            <w:gridSpan w:val="3"/>
            <w:tcBorders>
              <w:top w:val="single" w:sz="8" w:space="0" w:color="AEAEAE"/>
              <w:left w:val="nil"/>
              <w:bottom w:val="single" w:sz="8" w:space="0" w:color="152935"/>
              <w:right w:val="nil"/>
            </w:tcBorders>
            <w:shd w:val="clear" w:color="auto" w:fill="E0E0E0"/>
          </w:tcPr>
          <w:p w14:paraId="0CF7EBB5"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Exact Sig. [2*(1-tailed Sig.)]</w:t>
            </w:r>
          </w:p>
        </w:tc>
        <w:tc>
          <w:tcPr>
            <w:tcW w:w="1191" w:type="dxa"/>
            <w:gridSpan w:val="2"/>
            <w:tcBorders>
              <w:top w:val="single" w:sz="8" w:space="0" w:color="AEAEAE"/>
              <w:left w:val="nil"/>
              <w:bottom w:val="single" w:sz="8" w:space="0" w:color="152935"/>
              <w:right w:val="nil"/>
            </w:tcBorders>
            <w:shd w:val="clear" w:color="auto" w:fill="F9F9FB"/>
          </w:tcPr>
          <w:p w14:paraId="1E1A292A"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.002</w:t>
            </w:r>
            <w:r w:rsidRPr="00C220C2">
              <w:rPr>
                <w:rFonts w:ascii="Times New Roman" w:hAnsi="Times New Roman" w:cs="Times New Roman"/>
                <w:sz w:val="20"/>
                <w:szCs w:val="20"/>
                <w:vertAlign w:val="superscript"/>
              </w:rPr>
              <w:t>b</w:t>
            </w:r>
          </w:p>
        </w:tc>
      </w:tr>
      <w:tr w:rsidR="00C220C2" w:rsidRPr="00C220C2" w14:paraId="7F7D6637" w14:textId="77777777" w:rsidTr="00C12A41">
        <w:trPr>
          <w:gridBefore w:val="2"/>
          <w:gridAfter w:val="1"/>
          <w:wBefore w:w="1440" w:type="dxa"/>
          <w:wAfter w:w="1451" w:type="dxa"/>
          <w:cantSplit/>
        </w:trPr>
        <w:tc>
          <w:tcPr>
            <w:tcW w:w="4013" w:type="dxa"/>
            <w:gridSpan w:val="5"/>
            <w:tcBorders>
              <w:top w:val="nil"/>
              <w:left w:val="nil"/>
              <w:bottom w:val="nil"/>
              <w:right w:val="nil"/>
            </w:tcBorders>
            <w:shd w:val="clear" w:color="auto" w:fill="FFFFFF"/>
          </w:tcPr>
          <w:p w14:paraId="51387F6D"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a. Grouping Variable: Kelompok</w:t>
            </w:r>
          </w:p>
        </w:tc>
      </w:tr>
      <w:tr w:rsidR="00C220C2" w:rsidRPr="00C220C2" w14:paraId="5F442A18" w14:textId="77777777" w:rsidTr="00C12A41">
        <w:trPr>
          <w:gridBefore w:val="2"/>
          <w:gridAfter w:val="1"/>
          <w:wBefore w:w="1440" w:type="dxa"/>
          <w:wAfter w:w="1451" w:type="dxa"/>
          <w:cantSplit/>
        </w:trPr>
        <w:tc>
          <w:tcPr>
            <w:tcW w:w="4013" w:type="dxa"/>
            <w:gridSpan w:val="5"/>
            <w:tcBorders>
              <w:top w:val="nil"/>
              <w:left w:val="nil"/>
              <w:bottom w:val="nil"/>
              <w:right w:val="nil"/>
            </w:tcBorders>
            <w:shd w:val="clear" w:color="auto" w:fill="FFFFFF"/>
          </w:tcPr>
          <w:p w14:paraId="08C74239" w14:textId="2D3AB105" w:rsidR="00F61E74" w:rsidRPr="00C220C2" w:rsidRDefault="00690951" w:rsidP="00690951">
            <w:pPr>
              <w:adjustRightInd w:val="0"/>
              <w:ind w:left="60" w:right="60"/>
              <w:rPr>
                <w:rFonts w:ascii="Times New Roman" w:hAnsi="Times New Roman" w:cs="Times New Roman"/>
                <w:sz w:val="20"/>
                <w:szCs w:val="20"/>
              </w:rPr>
            </w:pPr>
            <w:r>
              <w:rPr>
                <w:rFonts w:ascii="Times New Roman" w:hAnsi="Times New Roman" w:cs="Times New Roman"/>
                <w:sz w:val="20"/>
                <w:szCs w:val="20"/>
              </w:rPr>
              <w:t xml:space="preserve">            </w:t>
            </w:r>
            <w:r w:rsidR="00F61E74" w:rsidRPr="00C220C2">
              <w:rPr>
                <w:rFonts w:ascii="Times New Roman" w:hAnsi="Times New Roman" w:cs="Times New Roman"/>
                <w:sz w:val="20"/>
                <w:szCs w:val="20"/>
              </w:rPr>
              <w:t>b. Not corrected for ties.</w:t>
            </w:r>
          </w:p>
        </w:tc>
      </w:tr>
    </w:tbl>
    <w:p w14:paraId="550FCD0F" w14:textId="77777777" w:rsidR="00F61E74" w:rsidRPr="001B5ED4" w:rsidRDefault="00F61E74" w:rsidP="00F61E74">
      <w:pPr>
        <w:adjustRightInd w:val="0"/>
        <w:ind w:firstLine="851"/>
        <w:jc w:val="both"/>
        <w:rPr>
          <w:rFonts w:ascii="Times New Roman" w:hAnsi="Times New Roman" w:cs="Times New Roman"/>
        </w:rPr>
      </w:pPr>
    </w:p>
    <w:p w14:paraId="6BC523FB" w14:textId="2D3F646E" w:rsidR="005821A6" w:rsidRPr="00B97C0F" w:rsidRDefault="00576377" w:rsidP="00576377">
      <w:pPr>
        <w:pStyle w:val="BodyText"/>
        <w:spacing w:before="8" w:line="237" w:lineRule="auto"/>
        <w:ind w:left="136" w:right="133" w:firstLine="720"/>
        <w:jc w:val="both"/>
      </w:pPr>
      <w:r w:rsidRPr="00B97C0F">
        <w:t>Based on the output of Test Statistics in the Mann Whitney Test above, it is known that the value of Asymp, Sig (2 tailed) is 0.004 &lt; 0.05. Therefore, as the hypothesis proposed, for the Ha experimental group "There is an influence of assertive training techniques to increase the self-openness of students of SMP Negeri 14 Yogyakarta" was accepted</w:t>
      </w:r>
      <w:r w:rsidR="00F61E74" w:rsidRPr="00B97C0F">
        <w:t>.</w:t>
      </w:r>
    </w:p>
    <w:p w14:paraId="15192667" w14:textId="2FF3140A" w:rsidR="00F61E74" w:rsidRPr="00B97C0F" w:rsidRDefault="00F61E74" w:rsidP="00B97C0F">
      <w:pPr>
        <w:adjustRightInd w:val="0"/>
        <w:ind w:left="142"/>
        <w:rPr>
          <w:rFonts w:ascii="Times New Roman" w:hAnsi="Times New Roman" w:cs="Times New Roman"/>
          <w:b/>
          <w:bCs/>
          <w:sz w:val="20"/>
          <w:szCs w:val="20"/>
        </w:rPr>
      </w:pPr>
      <w:r w:rsidRPr="00B97C0F">
        <w:rPr>
          <w:rFonts w:ascii="Times New Roman" w:hAnsi="Times New Roman" w:cs="Times New Roman"/>
          <w:b/>
          <w:bCs/>
          <w:sz w:val="20"/>
          <w:szCs w:val="20"/>
        </w:rPr>
        <w:t>Tabl</w:t>
      </w:r>
      <w:r w:rsidR="00576377">
        <w:rPr>
          <w:rFonts w:ascii="Times New Roman" w:hAnsi="Times New Roman" w:cs="Times New Roman"/>
          <w:b/>
          <w:bCs/>
          <w:sz w:val="20"/>
          <w:szCs w:val="20"/>
        </w:rPr>
        <w:t>e</w:t>
      </w:r>
      <w:r w:rsidRPr="00B97C0F">
        <w:rPr>
          <w:rFonts w:ascii="Times New Roman" w:hAnsi="Times New Roman" w:cs="Times New Roman"/>
          <w:b/>
          <w:bCs/>
          <w:sz w:val="20"/>
          <w:szCs w:val="20"/>
        </w:rPr>
        <w:t xml:space="preserve"> </w:t>
      </w:r>
      <w:r w:rsidR="0002372F">
        <w:rPr>
          <w:rFonts w:ascii="Times New Roman" w:hAnsi="Times New Roman" w:cs="Times New Roman"/>
          <w:b/>
          <w:bCs/>
          <w:sz w:val="20"/>
          <w:szCs w:val="20"/>
        </w:rPr>
        <w:t>5</w:t>
      </w:r>
      <w:r w:rsidRPr="00B97C0F">
        <w:rPr>
          <w:rFonts w:ascii="Times New Roman" w:hAnsi="Times New Roman" w:cs="Times New Roman"/>
          <w:b/>
          <w:bCs/>
          <w:sz w:val="20"/>
          <w:szCs w:val="20"/>
        </w:rPr>
        <w:t xml:space="preserve">. </w:t>
      </w:r>
      <w:r w:rsidR="00576377" w:rsidRPr="00B97C0F">
        <w:rPr>
          <w:rFonts w:ascii="Times New Roman" w:hAnsi="Times New Roman" w:cs="Times New Roman"/>
          <w:sz w:val="20"/>
          <w:szCs w:val="20"/>
        </w:rPr>
        <w:t>Independent Test Results with Mann Whitney U Test Control Group</w:t>
      </w:r>
    </w:p>
    <w:tbl>
      <w:tblPr>
        <w:tblW w:w="6414" w:type="dxa"/>
        <w:tblInd w:w="482" w:type="dxa"/>
        <w:tblLayout w:type="fixed"/>
        <w:tblCellMar>
          <w:left w:w="0" w:type="dxa"/>
          <w:right w:w="0" w:type="dxa"/>
        </w:tblCellMar>
        <w:tblLook w:val="0000" w:firstRow="0" w:lastRow="0" w:firstColumn="0" w:lastColumn="0" w:noHBand="0" w:noVBand="0"/>
      </w:tblPr>
      <w:tblGrid>
        <w:gridCol w:w="857"/>
        <w:gridCol w:w="1420"/>
        <w:gridCol w:w="1192"/>
        <w:gridCol w:w="1332"/>
        <w:gridCol w:w="1613"/>
      </w:tblGrid>
      <w:tr w:rsidR="00C220C2" w:rsidRPr="00C220C2" w14:paraId="1C9F5A1C" w14:textId="77777777" w:rsidTr="00C12A41">
        <w:trPr>
          <w:cantSplit/>
        </w:trPr>
        <w:tc>
          <w:tcPr>
            <w:tcW w:w="6414" w:type="dxa"/>
            <w:gridSpan w:val="5"/>
            <w:tcBorders>
              <w:top w:val="nil"/>
              <w:left w:val="nil"/>
              <w:bottom w:val="nil"/>
              <w:right w:val="nil"/>
            </w:tcBorders>
            <w:shd w:val="clear" w:color="auto" w:fill="FFFFFF"/>
            <w:vAlign w:val="center"/>
          </w:tcPr>
          <w:p w14:paraId="00E2ECB4"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b/>
                <w:bCs/>
                <w:sz w:val="20"/>
                <w:szCs w:val="20"/>
              </w:rPr>
              <w:t>Ranks</w:t>
            </w:r>
          </w:p>
        </w:tc>
      </w:tr>
      <w:tr w:rsidR="00C220C2" w:rsidRPr="00C220C2" w14:paraId="598B1F96" w14:textId="77777777" w:rsidTr="00C12A41">
        <w:trPr>
          <w:cantSplit/>
        </w:trPr>
        <w:tc>
          <w:tcPr>
            <w:tcW w:w="857" w:type="dxa"/>
            <w:tcBorders>
              <w:top w:val="nil"/>
              <w:left w:val="nil"/>
              <w:bottom w:val="nil"/>
              <w:right w:val="nil"/>
            </w:tcBorders>
          </w:tcPr>
          <w:p w14:paraId="285097CD" w14:textId="77777777" w:rsidR="00F61E74" w:rsidRPr="00C220C2" w:rsidRDefault="00F61E74" w:rsidP="00B97C0F">
            <w:pPr>
              <w:adjustRightInd w:val="0"/>
              <w:rPr>
                <w:rFonts w:ascii="Times New Roman" w:hAnsi="Times New Roman" w:cs="Times New Roman"/>
                <w:sz w:val="20"/>
                <w:szCs w:val="20"/>
              </w:rPr>
            </w:pPr>
          </w:p>
        </w:tc>
        <w:tc>
          <w:tcPr>
            <w:tcW w:w="1420" w:type="dxa"/>
            <w:tcBorders>
              <w:top w:val="nil"/>
              <w:left w:val="nil"/>
              <w:bottom w:val="single" w:sz="8" w:space="0" w:color="152935"/>
              <w:right w:val="nil"/>
            </w:tcBorders>
            <w:shd w:val="clear" w:color="auto" w:fill="FFFFFF"/>
            <w:vAlign w:val="bottom"/>
          </w:tcPr>
          <w:p w14:paraId="36DC5838" w14:textId="77777777" w:rsidR="00F61E74" w:rsidRPr="00C220C2" w:rsidRDefault="00F61E74" w:rsidP="00B97C0F">
            <w:pPr>
              <w:adjustRightInd w:val="0"/>
              <w:ind w:left="60" w:right="60"/>
              <w:rPr>
                <w:rFonts w:ascii="Times New Roman" w:hAnsi="Times New Roman" w:cs="Times New Roman"/>
                <w:sz w:val="20"/>
                <w:szCs w:val="20"/>
              </w:rPr>
            </w:pPr>
            <w:r w:rsidRPr="00C220C2">
              <w:rPr>
                <w:rFonts w:ascii="Times New Roman" w:hAnsi="Times New Roman" w:cs="Times New Roman"/>
                <w:sz w:val="20"/>
                <w:szCs w:val="20"/>
              </w:rPr>
              <w:t>Kelompok</w:t>
            </w:r>
          </w:p>
        </w:tc>
        <w:tc>
          <w:tcPr>
            <w:tcW w:w="1192" w:type="dxa"/>
            <w:tcBorders>
              <w:top w:val="nil"/>
              <w:left w:val="nil"/>
              <w:bottom w:val="single" w:sz="8" w:space="0" w:color="152935"/>
              <w:right w:val="single" w:sz="8" w:space="0" w:color="E0E0E0"/>
            </w:tcBorders>
            <w:shd w:val="clear" w:color="auto" w:fill="FFFFFF"/>
            <w:vAlign w:val="bottom"/>
          </w:tcPr>
          <w:p w14:paraId="3E313C24"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N</w:t>
            </w:r>
          </w:p>
        </w:tc>
        <w:tc>
          <w:tcPr>
            <w:tcW w:w="1332" w:type="dxa"/>
            <w:tcBorders>
              <w:top w:val="nil"/>
              <w:left w:val="single" w:sz="8" w:space="0" w:color="E0E0E0"/>
              <w:bottom w:val="single" w:sz="8" w:space="0" w:color="152935"/>
              <w:right w:val="single" w:sz="8" w:space="0" w:color="E0E0E0"/>
            </w:tcBorders>
            <w:shd w:val="clear" w:color="auto" w:fill="FFFFFF"/>
            <w:vAlign w:val="bottom"/>
          </w:tcPr>
          <w:p w14:paraId="01DD0082"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Mean Rank</w:t>
            </w:r>
          </w:p>
        </w:tc>
        <w:tc>
          <w:tcPr>
            <w:tcW w:w="1613" w:type="dxa"/>
            <w:tcBorders>
              <w:top w:val="nil"/>
              <w:left w:val="single" w:sz="8" w:space="0" w:color="E0E0E0"/>
              <w:bottom w:val="single" w:sz="8" w:space="0" w:color="152935"/>
              <w:right w:val="nil"/>
            </w:tcBorders>
            <w:shd w:val="clear" w:color="auto" w:fill="FFFFFF"/>
            <w:vAlign w:val="bottom"/>
          </w:tcPr>
          <w:p w14:paraId="16691D06"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Sum of Ranks</w:t>
            </w:r>
          </w:p>
        </w:tc>
      </w:tr>
      <w:tr w:rsidR="00C220C2" w:rsidRPr="00C220C2" w14:paraId="742C4077" w14:textId="77777777" w:rsidTr="00C12A41">
        <w:trPr>
          <w:cantSplit/>
        </w:trPr>
        <w:tc>
          <w:tcPr>
            <w:tcW w:w="857" w:type="dxa"/>
            <w:vMerge w:val="restart"/>
            <w:tcBorders>
              <w:top w:val="single" w:sz="8" w:space="0" w:color="152935"/>
              <w:left w:val="nil"/>
              <w:bottom w:val="single" w:sz="8" w:space="0" w:color="152935"/>
              <w:right w:val="nil"/>
            </w:tcBorders>
            <w:shd w:val="clear" w:color="auto" w:fill="E0E0E0"/>
          </w:tcPr>
          <w:p w14:paraId="49479502" w14:textId="77777777" w:rsidR="00F61E74" w:rsidRPr="00C220C2" w:rsidRDefault="00F61E74" w:rsidP="00B97C0F">
            <w:pPr>
              <w:adjustRightInd w:val="0"/>
              <w:ind w:left="60" w:right="60"/>
              <w:rPr>
                <w:rFonts w:ascii="Times New Roman" w:hAnsi="Times New Roman" w:cs="Times New Roman"/>
                <w:sz w:val="20"/>
                <w:szCs w:val="20"/>
              </w:rPr>
            </w:pPr>
            <w:r w:rsidRPr="00C220C2">
              <w:rPr>
                <w:rFonts w:ascii="Times New Roman" w:hAnsi="Times New Roman" w:cs="Times New Roman"/>
                <w:sz w:val="20"/>
                <w:szCs w:val="20"/>
              </w:rPr>
              <w:t>Hasil</w:t>
            </w:r>
          </w:p>
        </w:tc>
        <w:tc>
          <w:tcPr>
            <w:tcW w:w="1420" w:type="dxa"/>
            <w:tcBorders>
              <w:top w:val="single" w:sz="8" w:space="0" w:color="152935"/>
              <w:left w:val="nil"/>
              <w:bottom w:val="single" w:sz="8" w:space="0" w:color="AEAEAE"/>
              <w:right w:val="nil"/>
            </w:tcBorders>
            <w:shd w:val="clear" w:color="auto" w:fill="E0E0E0"/>
          </w:tcPr>
          <w:p w14:paraId="5A2C4D8F" w14:textId="77777777" w:rsidR="00F61E74" w:rsidRPr="00C220C2" w:rsidRDefault="00F61E74" w:rsidP="00B97C0F">
            <w:pPr>
              <w:adjustRightInd w:val="0"/>
              <w:ind w:left="60" w:right="60"/>
              <w:rPr>
                <w:rFonts w:ascii="Times New Roman" w:hAnsi="Times New Roman" w:cs="Times New Roman"/>
                <w:sz w:val="20"/>
                <w:szCs w:val="20"/>
              </w:rPr>
            </w:pPr>
            <w:r w:rsidRPr="00C220C2">
              <w:rPr>
                <w:rFonts w:ascii="Times New Roman" w:hAnsi="Times New Roman" w:cs="Times New Roman"/>
                <w:sz w:val="20"/>
                <w:szCs w:val="20"/>
              </w:rPr>
              <w:t>Pre Kontrol</w:t>
            </w:r>
          </w:p>
        </w:tc>
        <w:tc>
          <w:tcPr>
            <w:tcW w:w="1192" w:type="dxa"/>
            <w:tcBorders>
              <w:top w:val="single" w:sz="8" w:space="0" w:color="152935"/>
              <w:left w:val="nil"/>
              <w:bottom w:val="single" w:sz="8" w:space="0" w:color="AEAEAE"/>
              <w:right w:val="single" w:sz="8" w:space="0" w:color="E0E0E0"/>
            </w:tcBorders>
            <w:shd w:val="clear" w:color="auto" w:fill="F9F9FB"/>
          </w:tcPr>
          <w:p w14:paraId="70A84D00" w14:textId="77777777" w:rsidR="00F61E74" w:rsidRPr="00C220C2" w:rsidRDefault="00F61E74" w:rsidP="00B97C0F">
            <w:pPr>
              <w:adjustRightInd w:val="0"/>
              <w:ind w:left="60" w:right="60"/>
              <w:jc w:val="right"/>
              <w:rPr>
                <w:rFonts w:ascii="Times New Roman" w:hAnsi="Times New Roman" w:cs="Times New Roman"/>
                <w:sz w:val="20"/>
                <w:szCs w:val="20"/>
              </w:rPr>
            </w:pPr>
            <w:r w:rsidRPr="00C220C2">
              <w:rPr>
                <w:rFonts w:ascii="Times New Roman" w:hAnsi="Times New Roman" w:cs="Times New Roman"/>
                <w:sz w:val="20"/>
                <w:szCs w:val="20"/>
              </w:rPr>
              <w:t>6</w:t>
            </w:r>
          </w:p>
        </w:tc>
        <w:tc>
          <w:tcPr>
            <w:tcW w:w="1332" w:type="dxa"/>
            <w:tcBorders>
              <w:top w:val="single" w:sz="8" w:space="0" w:color="152935"/>
              <w:left w:val="single" w:sz="8" w:space="0" w:color="E0E0E0"/>
              <w:bottom w:val="single" w:sz="8" w:space="0" w:color="AEAEAE"/>
              <w:right w:val="single" w:sz="8" w:space="0" w:color="E0E0E0"/>
            </w:tcBorders>
            <w:shd w:val="clear" w:color="auto" w:fill="F9F9FB"/>
          </w:tcPr>
          <w:p w14:paraId="039EE1FB" w14:textId="77777777" w:rsidR="00F61E74" w:rsidRPr="00C220C2" w:rsidRDefault="00F61E74" w:rsidP="00B97C0F">
            <w:pPr>
              <w:adjustRightInd w:val="0"/>
              <w:ind w:left="60" w:right="60"/>
              <w:jc w:val="right"/>
              <w:rPr>
                <w:rFonts w:ascii="Times New Roman" w:hAnsi="Times New Roman" w:cs="Times New Roman"/>
                <w:sz w:val="20"/>
                <w:szCs w:val="20"/>
              </w:rPr>
            </w:pPr>
            <w:r w:rsidRPr="00C220C2">
              <w:rPr>
                <w:rFonts w:ascii="Times New Roman" w:hAnsi="Times New Roman" w:cs="Times New Roman"/>
                <w:sz w:val="20"/>
                <w:szCs w:val="20"/>
              </w:rPr>
              <w:t>5.00</w:t>
            </w:r>
          </w:p>
        </w:tc>
        <w:tc>
          <w:tcPr>
            <w:tcW w:w="1613" w:type="dxa"/>
            <w:tcBorders>
              <w:top w:val="single" w:sz="8" w:space="0" w:color="152935"/>
              <w:left w:val="single" w:sz="8" w:space="0" w:color="E0E0E0"/>
              <w:bottom w:val="single" w:sz="8" w:space="0" w:color="AEAEAE"/>
              <w:right w:val="nil"/>
            </w:tcBorders>
            <w:shd w:val="clear" w:color="auto" w:fill="F9F9FB"/>
          </w:tcPr>
          <w:p w14:paraId="014FF9BC" w14:textId="77777777" w:rsidR="00F61E74" w:rsidRPr="00C220C2" w:rsidRDefault="00F61E74" w:rsidP="00B97C0F">
            <w:pPr>
              <w:adjustRightInd w:val="0"/>
              <w:ind w:left="60" w:right="60"/>
              <w:jc w:val="right"/>
              <w:rPr>
                <w:rFonts w:ascii="Times New Roman" w:hAnsi="Times New Roman" w:cs="Times New Roman"/>
                <w:sz w:val="20"/>
                <w:szCs w:val="20"/>
              </w:rPr>
            </w:pPr>
            <w:r w:rsidRPr="00C220C2">
              <w:rPr>
                <w:rFonts w:ascii="Times New Roman" w:hAnsi="Times New Roman" w:cs="Times New Roman"/>
                <w:sz w:val="20"/>
                <w:szCs w:val="20"/>
              </w:rPr>
              <w:t>30.00</w:t>
            </w:r>
          </w:p>
        </w:tc>
      </w:tr>
      <w:tr w:rsidR="00C220C2" w:rsidRPr="00C220C2" w14:paraId="14512BEC" w14:textId="77777777" w:rsidTr="00C12A41">
        <w:trPr>
          <w:cantSplit/>
        </w:trPr>
        <w:tc>
          <w:tcPr>
            <w:tcW w:w="857" w:type="dxa"/>
            <w:vMerge/>
            <w:tcBorders>
              <w:top w:val="single" w:sz="8" w:space="0" w:color="152935"/>
              <w:left w:val="nil"/>
              <w:bottom w:val="single" w:sz="8" w:space="0" w:color="152935"/>
              <w:right w:val="nil"/>
            </w:tcBorders>
            <w:shd w:val="clear" w:color="auto" w:fill="E0E0E0"/>
          </w:tcPr>
          <w:p w14:paraId="60B204A6" w14:textId="77777777" w:rsidR="00F61E74" w:rsidRPr="00C220C2" w:rsidRDefault="00F61E74" w:rsidP="00B97C0F">
            <w:pPr>
              <w:adjustRightInd w:val="0"/>
              <w:rPr>
                <w:rFonts w:ascii="Times New Roman" w:hAnsi="Times New Roman" w:cs="Times New Roman"/>
                <w:sz w:val="20"/>
                <w:szCs w:val="20"/>
              </w:rPr>
            </w:pPr>
          </w:p>
        </w:tc>
        <w:tc>
          <w:tcPr>
            <w:tcW w:w="1420" w:type="dxa"/>
            <w:tcBorders>
              <w:top w:val="single" w:sz="8" w:space="0" w:color="AEAEAE"/>
              <w:left w:val="nil"/>
              <w:bottom w:val="single" w:sz="8" w:space="0" w:color="AEAEAE"/>
              <w:right w:val="nil"/>
            </w:tcBorders>
            <w:shd w:val="clear" w:color="auto" w:fill="E0E0E0"/>
          </w:tcPr>
          <w:p w14:paraId="28693D95" w14:textId="77777777" w:rsidR="00F61E74" w:rsidRPr="00C220C2" w:rsidRDefault="00F61E74" w:rsidP="00B97C0F">
            <w:pPr>
              <w:adjustRightInd w:val="0"/>
              <w:ind w:left="60" w:right="60"/>
              <w:rPr>
                <w:rFonts w:ascii="Times New Roman" w:hAnsi="Times New Roman" w:cs="Times New Roman"/>
                <w:sz w:val="20"/>
                <w:szCs w:val="20"/>
              </w:rPr>
            </w:pPr>
            <w:r w:rsidRPr="00C220C2">
              <w:rPr>
                <w:rFonts w:ascii="Times New Roman" w:hAnsi="Times New Roman" w:cs="Times New Roman"/>
                <w:sz w:val="20"/>
                <w:szCs w:val="20"/>
              </w:rPr>
              <w:t>Post Kontrol</w:t>
            </w:r>
          </w:p>
        </w:tc>
        <w:tc>
          <w:tcPr>
            <w:tcW w:w="1192" w:type="dxa"/>
            <w:tcBorders>
              <w:top w:val="single" w:sz="8" w:space="0" w:color="AEAEAE"/>
              <w:left w:val="nil"/>
              <w:bottom w:val="single" w:sz="8" w:space="0" w:color="AEAEAE"/>
              <w:right w:val="single" w:sz="8" w:space="0" w:color="E0E0E0"/>
            </w:tcBorders>
            <w:shd w:val="clear" w:color="auto" w:fill="F9F9FB"/>
          </w:tcPr>
          <w:p w14:paraId="686C3878" w14:textId="77777777" w:rsidR="00F61E74" w:rsidRPr="00C220C2" w:rsidRDefault="00F61E74" w:rsidP="00B97C0F">
            <w:pPr>
              <w:adjustRightInd w:val="0"/>
              <w:ind w:left="60" w:right="60"/>
              <w:jc w:val="right"/>
              <w:rPr>
                <w:rFonts w:ascii="Times New Roman" w:hAnsi="Times New Roman" w:cs="Times New Roman"/>
                <w:sz w:val="20"/>
                <w:szCs w:val="20"/>
              </w:rPr>
            </w:pPr>
            <w:r w:rsidRPr="00C220C2">
              <w:rPr>
                <w:rFonts w:ascii="Times New Roman" w:hAnsi="Times New Roman" w:cs="Times New Roman"/>
                <w:sz w:val="20"/>
                <w:szCs w:val="20"/>
              </w:rPr>
              <w:t>6</w:t>
            </w:r>
          </w:p>
        </w:tc>
        <w:tc>
          <w:tcPr>
            <w:tcW w:w="1332" w:type="dxa"/>
            <w:tcBorders>
              <w:top w:val="single" w:sz="8" w:space="0" w:color="AEAEAE"/>
              <w:left w:val="single" w:sz="8" w:space="0" w:color="E0E0E0"/>
              <w:bottom w:val="single" w:sz="8" w:space="0" w:color="AEAEAE"/>
              <w:right w:val="single" w:sz="8" w:space="0" w:color="E0E0E0"/>
            </w:tcBorders>
            <w:shd w:val="clear" w:color="auto" w:fill="F9F9FB"/>
          </w:tcPr>
          <w:p w14:paraId="1ABF4E67" w14:textId="77777777" w:rsidR="00F61E74" w:rsidRPr="00C220C2" w:rsidRDefault="00F61E74" w:rsidP="00B97C0F">
            <w:pPr>
              <w:adjustRightInd w:val="0"/>
              <w:ind w:left="60" w:right="60"/>
              <w:jc w:val="right"/>
              <w:rPr>
                <w:rFonts w:ascii="Times New Roman" w:hAnsi="Times New Roman" w:cs="Times New Roman"/>
                <w:sz w:val="20"/>
                <w:szCs w:val="20"/>
              </w:rPr>
            </w:pPr>
            <w:r w:rsidRPr="00C220C2">
              <w:rPr>
                <w:rFonts w:ascii="Times New Roman" w:hAnsi="Times New Roman" w:cs="Times New Roman"/>
                <w:sz w:val="20"/>
                <w:szCs w:val="20"/>
              </w:rPr>
              <w:t>8.00</w:t>
            </w:r>
          </w:p>
        </w:tc>
        <w:tc>
          <w:tcPr>
            <w:tcW w:w="1613" w:type="dxa"/>
            <w:tcBorders>
              <w:top w:val="single" w:sz="8" w:space="0" w:color="AEAEAE"/>
              <w:left w:val="single" w:sz="8" w:space="0" w:color="E0E0E0"/>
              <w:bottom w:val="single" w:sz="8" w:space="0" w:color="AEAEAE"/>
              <w:right w:val="nil"/>
            </w:tcBorders>
            <w:shd w:val="clear" w:color="auto" w:fill="F9F9FB"/>
          </w:tcPr>
          <w:p w14:paraId="382F9418" w14:textId="77777777" w:rsidR="00F61E74" w:rsidRPr="00C220C2" w:rsidRDefault="00F61E74" w:rsidP="00B97C0F">
            <w:pPr>
              <w:adjustRightInd w:val="0"/>
              <w:ind w:left="60" w:right="60"/>
              <w:jc w:val="right"/>
              <w:rPr>
                <w:rFonts w:ascii="Times New Roman" w:hAnsi="Times New Roman" w:cs="Times New Roman"/>
                <w:sz w:val="20"/>
                <w:szCs w:val="20"/>
              </w:rPr>
            </w:pPr>
            <w:r w:rsidRPr="00C220C2">
              <w:rPr>
                <w:rFonts w:ascii="Times New Roman" w:hAnsi="Times New Roman" w:cs="Times New Roman"/>
                <w:sz w:val="20"/>
                <w:szCs w:val="20"/>
              </w:rPr>
              <w:t>48.00</w:t>
            </w:r>
          </w:p>
        </w:tc>
      </w:tr>
      <w:tr w:rsidR="00C220C2" w:rsidRPr="00C220C2" w14:paraId="2ADDF647" w14:textId="77777777" w:rsidTr="00C12A41">
        <w:trPr>
          <w:cantSplit/>
        </w:trPr>
        <w:tc>
          <w:tcPr>
            <w:tcW w:w="857" w:type="dxa"/>
            <w:vMerge/>
            <w:tcBorders>
              <w:top w:val="single" w:sz="8" w:space="0" w:color="152935"/>
              <w:left w:val="nil"/>
              <w:bottom w:val="single" w:sz="8" w:space="0" w:color="152935"/>
              <w:right w:val="nil"/>
            </w:tcBorders>
            <w:shd w:val="clear" w:color="auto" w:fill="E0E0E0"/>
          </w:tcPr>
          <w:p w14:paraId="090EAFFD" w14:textId="77777777" w:rsidR="00F61E74" w:rsidRPr="00C220C2" w:rsidRDefault="00F61E74" w:rsidP="00B97C0F">
            <w:pPr>
              <w:adjustRightInd w:val="0"/>
              <w:rPr>
                <w:rFonts w:ascii="Times New Roman" w:hAnsi="Times New Roman" w:cs="Times New Roman"/>
                <w:sz w:val="20"/>
                <w:szCs w:val="20"/>
              </w:rPr>
            </w:pPr>
          </w:p>
        </w:tc>
        <w:tc>
          <w:tcPr>
            <w:tcW w:w="1420" w:type="dxa"/>
            <w:tcBorders>
              <w:top w:val="single" w:sz="8" w:space="0" w:color="AEAEAE"/>
              <w:left w:val="nil"/>
              <w:bottom w:val="single" w:sz="8" w:space="0" w:color="152935"/>
              <w:right w:val="nil"/>
            </w:tcBorders>
            <w:shd w:val="clear" w:color="auto" w:fill="E0E0E0"/>
          </w:tcPr>
          <w:p w14:paraId="138239AE" w14:textId="77777777" w:rsidR="00F61E74" w:rsidRPr="00C220C2" w:rsidRDefault="00F61E74" w:rsidP="00B97C0F">
            <w:pPr>
              <w:adjustRightInd w:val="0"/>
              <w:ind w:left="60" w:right="60"/>
              <w:rPr>
                <w:rFonts w:ascii="Times New Roman" w:hAnsi="Times New Roman" w:cs="Times New Roman"/>
                <w:sz w:val="20"/>
                <w:szCs w:val="20"/>
              </w:rPr>
            </w:pPr>
            <w:r w:rsidRPr="00C220C2">
              <w:rPr>
                <w:rFonts w:ascii="Times New Roman" w:hAnsi="Times New Roman" w:cs="Times New Roman"/>
                <w:sz w:val="20"/>
                <w:szCs w:val="20"/>
              </w:rPr>
              <w:t>Total</w:t>
            </w:r>
          </w:p>
        </w:tc>
        <w:tc>
          <w:tcPr>
            <w:tcW w:w="1192" w:type="dxa"/>
            <w:tcBorders>
              <w:top w:val="single" w:sz="8" w:space="0" w:color="AEAEAE"/>
              <w:left w:val="nil"/>
              <w:bottom w:val="single" w:sz="8" w:space="0" w:color="152935"/>
              <w:right w:val="single" w:sz="8" w:space="0" w:color="E0E0E0"/>
            </w:tcBorders>
            <w:shd w:val="clear" w:color="auto" w:fill="F9F9FB"/>
          </w:tcPr>
          <w:p w14:paraId="05EB879B" w14:textId="77777777" w:rsidR="00F61E74" w:rsidRPr="00C220C2" w:rsidRDefault="00F61E74" w:rsidP="00B97C0F">
            <w:pPr>
              <w:adjustRightInd w:val="0"/>
              <w:ind w:left="60" w:right="60"/>
              <w:jc w:val="right"/>
              <w:rPr>
                <w:rFonts w:ascii="Times New Roman" w:hAnsi="Times New Roman" w:cs="Times New Roman"/>
                <w:sz w:val="20"/>
                <w:szCs w:val="20"/>
              </w:rPr>
            </w:pPr>
            <w:r w:rsidRPr="00C220C2">
              <w:rPr>
                <w:rFonts w:ascii="Times New Roman" w:hAnsi="Times New Roman" w:cs="Times New Roman"/>
                <w:sz w:val="20"/>
                <w:szCs w:val="20"/>
              </w:rPr>
              <w:t>12</w:t>
            </w:r>
          </w:p>
        </w:tc>
        <w:tc>
          <w:tcPr>
            <w:tcW w:w="1332"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37BDEC0C" w14:textId="77777777" w:rsidR="00F61E74" w:rsidRPr="00C220C2" w:rsidRDefault="00F61E74" w:rsidP="00B97C0F">
            <w:pPr>
              <w:adjustRightInd w:val="0"/>
              <w:rPr>
                <w:rFonts w:ascii="Times New Roman" w:hAnsi="Times New Roman" w:cs="Times New Roman"/>
                <w:sz w:val="20"/>
                <w:szCs w:val="20"/>
              </w:rPr>
            </w:pPr>
          </w:p>
        </w:tc>
        <w:tc>
          <w:tcPr>
            <w:tcW w:w="1613" w:type="dxa"/>
            <w:tcBorders>
              <w:top w:val="single" w:sz="8" w:space="0" w:color="AEAEAE"/>
              <w:left w:val="single" w:sz="8" w:space="0" w:color="E0E0E0"/>
              <w:bottom w:val="single" w:sz="8" w:space="0" w:color="152935"/>
              <w:right w:val="nil"/>
            </w:tcBorders>
            <w:shd w:val="clear" w:color="auto" w:fill="F9F9FB"/>
            <w:vAlign w:val="center"/>
          </w:tcPr>
          <w:p w14:paraId="0C155EAE" w14:textId="77777777" w:rsidR="00F61E74" w:rsidRPr="00C220C2" w:rsidRDefault="00F61E74" w:rsidP="00B97C0F">
            <w:pPr>
              <w:adjustRightInd w:val="0"/>
              <w:rPr>
                <w:rFonts w:ascii="Times New Roman" w:hAnsi="Times New Roman" w:cs="Times New Roman"/>
                <w:sz w:val="20"/>
                <w:szCs w:val="20"/>
              </w:rPr>
            </w:pPr>
          </w:p>
        </w:tc>
      </w:tr>
    </w:tbl>
    <w:p w14:paraId="4B1872AA" w14:textId="77777777" w:rsidR="00B97C0F" w:rsidRDefault="00B97C0F" w:rsidP="00B97C0F">
      <w:pPr>
        <w:adjustRightInd w:val="0"/>
        <w:rPr>
          <w:rFonts w:ascii="Times New Roman" w:hAnsi="Times New Roman" w:cs="Times New Roman"/>
          <w:sz w:val="20"/>
          <w:szCs w:val="20"/>
        </w:rPr>
      </w:pPr>
    </w:p>
    <w:p w14:paraId="646B7079" w14:textId="77777777" w:rsidR="00C521A8" w:rsidRDefault="00C521A8" w:rsidP="00B97C0F">
      <w:pPr>
        <w:adjustRightInd w:val="0"/>
        <w:rPr>
          <w:rFonts w:ascii="Times New Roman" w:hAnsi="Times New Roman" w:cs="Times New Roman"/>
          <w:sz w:val="20"/>
          <w:szCs w:val="20"/>
        </w:rPr>
      </w:pPr>
    </w:p>
    <w:p w14:paraId="4A8E0DB3" w14:textId="77777777" w:rsidR="00C521A8" w:rsidRDefault="00C521A8" w:rsidP="00B97C0F">
      <w:pPr>
        <w:adjustRightInd w:val="0"/>
        <w:rPr>
          <w:rFonts w:ascii="Times New Roman" w:hAnsi="Times New Roman" w:cs="Times New Roman"/>
          <w:sz w:val="20"/>
          <w:szCs w:val="20"/>
        </w:rPr>
      </w:pPr>
    </w:p>
    <w:tbl>
      <w:tblPr>
        <w:tblW w:w="4013" w:type="dxa"/>
        <w:tblInd w:w="1682" w:type="dxa"/>
        <w:tblLayout w:type="fixed"/>
        <w:tblCellMar>
          <w:left w:w="0" w:type="dxa"/>
          <w:right w:w="0" w:type="dxa"/>
        </w:tblCellMar>
        <w:tblLook w:val="0000" w:firstRow="0" w:lastRow="0" w:firstColumn="0" w:lastColumn="0" w:noHBand="0" w:noVBand="0"/>
      </w:tblPr>
      <w:tblGrid>
        <w:gridCol w:w="2822"/>
        <w:gridCol w:w="1191"/>
      </w:tblGrid>
      <w:tr w:rsidR="00C220C2" w:rsidRPr="00C220C2" w14:paraId="08A474FF" w14:textId="77777777" w:rsidTr="00C12A41">
        <w:trPr>
          <w:cantSplit/>
        </w:trPr>
        <w:tc>
          <w:tcPr>
            <w:tcW w:w="4013" w:type="dxa"/>
            <w:gridSpan w:val="2"/>
            <w:tcBorders>
              <w:top w:val="nil"/>
              <w:left w:val="nil"/>
              <w:bottom w:val="nil"/>
              <w:right w:val="nil"/>
            </w:tcBorders>
            <w:shd w:val="clear" w:color="auto" w:fill="FFFFFF"/>
            <w:vAlign w:val="center"/>
          </w:tcPr>
          <w:p w14:paraId="00564512"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b/>
                <w:bCs/>
                <w:sz w:val="20"/>
                <w:szCs w:val="20"/>
              </w:rPr>
              <w:t xml:space="preserve">Test </w:t>
            </w:r>
            <w:proofErr w:type="spellStart"/>
            <w:r w:rsidRPr="00C220C2">
              <w:rPr>
                <w:rFonts w:ascii="Times New Roman" w:hAnsi="Times New Roman" w:cs="Times New Roman"/>
                <w:b/>
                <w:bCs/>
                <w:sz w:val="20"/>
                <w:szCs w:val="20"/>
              </w:rPr>
              <w:t>Statistics</w:t>
            </w:r>
            <w:r w:rsidRPr="00C220C2">
              <w:rPr>
                <w:rFonts w:ascii="Times New Roman" w:hAnsi="Times New Roman" w:cs="Times New Roman"/>
                <w:b/>
                <w:bCs/>
                <w:sz w:val="20"/>
                <w:szCs w:val="20"/>
                <w:vertAlign w:val="superscript"/>
              </w:rPr>
              <w:t>a</w:t>
            </w:r>
            <w:proofErr w:type="spellEnd"/>
          </w:p>
        </w:tc>
      </w:tr>
      <w:tr w:rsidR="00C220C2" w:rsidRPr="00C220C2" w14:paraId="6FC5C465" w14:textId="77777777" w:rsidTr="00C12A41">
        <w:trPr>
          <w:cantSplit/>
        </w:trPr>
        <w:tc>
          <w:tcPr>
            <w:tcW w:w="2822" w:type="dxa"/>
            <w:tcBorders>
              <w:top w:val="nil"/>
              <w:left w:val="nil"/>
              <w:bottom w:val="single" w:sz="8" w:space="0" w:color="152935"/>
              <w:right w:val="nil"/>
            </w:tcBorders>
            <w:shd w:val="clear" w:color="auto" w:fill="FFFFFF"/>
            <w:vAlign w:val="bottom"/>
          </w:tcPr>
          <w:p w14:paraId="2829099F" w14:textId="77777777" w:rsidR="00F61E74" w:rsidRPr="00C220C2" w:rsidRDefault="00F61E74" w:rsidP="00B97C0F">
            <w:pPr>
              <w:adjustRightInd w:val="0"/>
              <w:rPr>
                <w:rFonts w:ascii="Times New Roman" w:hAnsi="Times New Roman" w:cs="Times New Roman"/>
                <w:sz w:val="20"/>
                <w:szCs w:val="20"/>
              </w:rPr>
            </w:pPr>
          </w:p>
        </w:tc>
        <w:tc>
          <w:tcPr>
            <w:tcW w:w="1191" w:type="dxa"/>
            <w:tcBorders>
              <w:top w:val="nil"/>
              <w:left w:val="nil"/>
              <w:bottom w:val="single" w:sz="8" w:space="0" w:color="152935"/>
              <w:right w:val="nil"/>
            </w:tcBorders>
            <w:shd w:val="clear" w:color="auto" w:fill="FFFFFF"/>
            <w:vAlign w:val="bottom"/>
          </w:tcPr>
          <w:p w14:paraId="4962D658" w14:textId="77777777" w:rsidR="00F61E74" w:rsidRPr="00C220C2" w:rsidRDefault="00F61E74" w:rsidP="00B97C0F">
            <w:pPr>
              <w:adjustRightInd w:val="0"/>
              <w:ind w:left="60" w:right="60"/>
              <w:jc w:val="center"/>
              <w:rPr>
                <w:rFonts w:ascii="Times New Roman" w:hAnsi="Times New Roman" w:cs="Times New Roman"/>
                <w:sz w:val="20"/>
                <w:szCs w:val="20"/>
              </w:rPr>
            </w:pPr>
            <w:r w:rsidRPr="00C220C2">
              <w:rPr>
                <w:rFonts w:ascii="Times New Roman" w:hAnsi="Times New Roman" w:cs="Times New Roman"/>
                <w:sz w:val="20"/>
                <w:szCs w:val="20"/>
              </w:rPr>
              <w:t>Hasil</w:t>
            </w:r>
          </w:p>
        </w:tc>
      </w:tr>
      <w:tr w:rsidR="00C220C2" w:rsidRPr="00C220C2" w14:paraId="5F932436" w14:textId="77777777" w:rsidTr="00C12A41">
        <w:trPr>
          <w:cantSplit/>
        </w:trPr>
        <w:tc>
          <w:tcPr>
            <w:tcW w:w="2822" w:type="dxa"/>
            <w:tcBorders>
              <w:top w:val="single" w:sz="8" w:space="0" w:color="152935"/>
              <w:left w:val="nil"/>
              <w:bottom w:val="single" w:sz="8" w:space="0" w:color="AEAEAE"/>
              <w:right w:val="nil"/>
            </w:tcBorders>
            <w:shd w:val="clear" w:color="auto" w:fill="E0E0E0"/>
          </w:tcPr>
          <w:p w14:paraId="110C57B9" w14:textId="77777777" w:rsidR="00F61E74" w:rsidRPr="00C220C2" w:rsidRDefault="00F61E74" w:rsidP="00B97C0F">
            <w:pPr>
              <w:adjustRightInd w:val="0"/>
              <w:ind w:left="60" w:right="60"/>
              <w:rPr>
                <w:rFonts w:ascii="Times New Roman" w:hAnsi="Times New Roman" w:cs="Times New Roman"/>
                <w:sz w:val="20"/>
                <w:szCs w:val="20"/>
              </w:rPr>
            </w:pPr>
            <w:r w:rsidRPr="00C220C2">
              <w:rPr>
                <w:rFonts w:ascii="Times New Roman" w:hAnsi="Times New Roman" w:cs="Times New Roman"/>
                <w:sz w:val="20"/>
                <w:szCs w:val="20"/>
              </w:rPr>
              <w:t>Mann-Whitney U</w:t>
            </w:r>
          </w:p>
        </w:tc>
        <w:tc>
          <w:tcPr>
            <w:tcW w:w="1191" w:type="dxa"/>
            <w:tcBorders>
              <w:top w:val="single" w:sz="8" w:space="0" w:color="152935"/>
              <w:left w:val="nil"/>
              <w:bottom w:val="single" w:sz="8" w:space="0" w:color="AEAEAE"/>
              <w:right w:val="nil"/>
            </w:tcBorders>
            <w:shd w:val="clear" w:color="auto" w:fill="F9F9FB"/>
          </w:tcPr>
          <w:p w14:paraId="218DFF98" w14:textId="77777777" w:rsidR="00F61E74" w:rsidRPr="00C220C2" w:rsidRDefault="00F61E74" w:rsidP="00B97C0F">
            <w:pPr>
              <w:adjustRightInd w:val="0"/>
              <w:ind w:left="60" w:right="60"/>
              <w:jc w:val="right"/>
              <w:rPr>
                <w:rFonts w:ascii="Times New Roman" w:hAnsi="Times New Roman" w:cs="Times New Roman"/>
                <w:sz w:val="20"/>
                <w:szCs w:val="20"/>
              </w:rPr>
            </w:pPr>
            <w:r w:rsidRPr="00C220C2">
              <w:rPr>
                <w:rFonts w:ascii="Times New Roman" w:hAnsi="Times New Roman" w:cs="Times New Roman"/>
                <w:sz w:val="20"/>
                <w:szCs w:val="20"/>
              </w:rPr>
              <w:t>9.000</w:t>
            </w:r>
          </w:p>
        </w:tc>
      </w:tr>
      <w:tr w:rsidR="00C220C2" w:rsidRPr="00C220C2" w14:paraId="13E521B8" w14:textId="77777777" w:rsidTr="00C12A41">
        <w:trPr>
          <w:cantSplit/>
        </w:trPr>
        <w:tc>
          <w:tcPr>
            <w:tcW w:w="2822" w:type="dxa"/>
            <w:tcBorders>
              <w:top w:val="single" w:sz="8" w:space="0" w:color="AEAEAE"/>
              <w:left w:val="nil"/>
              <w:bottom w:val="single" w:sz="8" w:space="0" w:color="AEAEAE"/>
              <w:right w:val="nil"/>
            </w:tcBorders>
            <w:shd w:val="clear" w:color="auto" w:fill="E0E0E0"/>
          </w:tcPr>
          <w:p w14:paraId="2AE11C16" w14:textId="77777777" w:rsidR="00F61E74" w:rsidRPr="00C220C2" w:rsidRDefault="00F61E74" w:rsidP="00B97C0F">
            <w:pPr>
              <w:adjustRightInd w:val="0"/>
              <w:ind w:left="60" w:right="60"/>
              <w:rPr>
                <w:rFonts w:ascii="Times New Roman" w:hAnsi="Times New Roman" w:cs="Times New Roman"/>
                <w:sz w:val="20"/>
                <w:szCs w:val="20"/>
              </w:rPr>
            </w:pPr>
            <w:r w:rsidRPr="00C220C2">
              <w:rPr>
                <w:rFonts w:ascii="Times New Roman" w:hAnsi="Times New Roman" w:cs="Times New Roman"/>
                <w:sz w:val="20"/>
                <w:szCs w:val="20"/>
              </w:rPr>
              <w:t>Wilcoxon W</w:t>
            </w:r>
          </w:p>
        </w:tc>
        <w:tc>
          <w:tcPr>
            <w:tcW w:w="1191" w:type="dxa"/>
            <w:tcBorders>
              <w:top w:val="single" w:sz="8" w:space="0" w:color="AEAEAE"/>
              <w:left w:val="nil"/>
              <w:bottom w:val="single" w:sz="8" w:space="0" w:color="AEAEAE"/>
              <w:right w:val="nil"/>
            </w:tcBorders>
            <w:shd w:val="clear" w:color="auto" w:fill="F9F9FB"/>
          </w:tcPr>
          <w:p w14:paraId="18FF441F" w14:textId="77777777" w:rsidR="00F61E74" w:rsidRPr="00C220C2" w:rsidRDefault="00F61E74" w:rsidP="00B97C0F">
            <w:pPr>
              <w:adjustRightInd w:val="0"/>
              <w:ind w:left="60" w:right="60"/>
              <w:jc w:val="right"/>
              <w:rPr>
                <w:rFonts w:ascii="Times New Roman" w:hAnsi="Times New Roman" w:cs="Times New Roman"/>
                <w:sz w:val="20"/>
                <w:szCs w:val="20"/>
              </w:rPr>
            </w:pPr>
            <w:r w:rsidRPr="00C220C2">
              <w:rPr>
                <w:rFonts w:ascii="Times New Roman" w:hAnsi="Times New Roman" w:cs="Times New Roman"/>
                <w:sz w:val="20"/>
                <w:szCs w:val="20"/>
              </w:rPr>
              <w:t>30.000</w:t>
            </w:r>
          </w:p>
        </w:tc>
      </w:tr>
      <w:tr w:rsidR="00C220C2" w:rsidRPr="00C220C2" w14:paraId="22D8DC11" w14:textId="77777777" w:rsidTr="00C12A41">
        <w:trPr>
          <w:cantSplit/>
        </w:trPr>
        <w:tc>
          <w:tcPr>
            <w:tcW w:w="2822" w:type="dxa"/>
            <w:tcBorders>
              <w:top w:val="single" w:sz="8" w:space="0" w:color="AEAEAE"/>
              <w:left w:val="nil"/>
              <w:bottom w:val="single" w:sz="8" w:space="0" w:color="AEAEAE"/>
              <w:right w:val="nil"/>
            </w:tcBorders>
            <w:shd w:val="clear" w:color="auto" w:fill="E0E0E0"/>
          </w:tcPr>
          <w:p w14:paraId="584B5C1F" w14:textId="77777777" w:rsidR="00F61E74" w:rsidRPr="00C220C2" w:rsidRDefault="00F61E74" w:rsidP="00B97C0F">
            <w:pPr>
              <w:adjustRightInd w:val="0"/>
              <w:ind w:left="60" w:right="60"/>
              <w:rPr>
                <w:rFonts w:ascii="Times New Roman" w:hAnsi="Times New Roman" w:cs="Times New Roman"/>
                <w:sz w:val="20"/>
                <w:szCs w:val="20"/>
              </w:rPr>
            </w:pPr>
            <w:r w:rsidRPr="00C220C2">
              <w:rPr>
                <w:rFonts w:ascii="Times New Roman" w:hAnsi="Times New Roman" w:cs="Times New Roman"/>
                <w:sz w:val="20"/>
                <w:szCs w:val="20"/>
              </w:rPr>
              <w:t>Z</w:t>
            </w:r>
          </w:p>
        </w:tc>
        <w:tc>
          <w:tcPr>
            <w:tcW w:w="1191" w:type="dxa"/>
            <w:tcBorders>
              <w:top w:val="single" w:sz="8" w:space="0" w:color="AEAEAE"/>
              <w:left w:val="nil"/>
              <w:bottom w:val="single" w:sz="8" w:space="0" w:color="AEAEAE"/>
              <w:right w:val="nil"/>
            </w:tcBorders>
            <w:shd w:val="clear" w:color="auto" w:fill="F9F9FB"/>
          </w:tcPr>
          <w:p w14:paraId="5E19E7A7" w14:textId="77777777" w:rsidR="00F61E74" w:rsidRPr="00C220C2" w:rsidRDefault="00F61E74" w:rsidP="00B97C0F">
            <w:pPr>
              <w:adjustRightInd w:val="0"/>
              <w:ind w:left="60" w:right="60"/>
              <w:jc w:val="right"/>
              <w:rPr>
                <w:rFonts w:ascii="Times New Roman" w:hAnsi="Times New Roman" w:cs="Times New Roman"/>
                <w:sz w:val="20"/>
                <w:szCs w:val="20"/>
              </w:rPr>
            </w:pPr>
            <w:r w:rsidRPr="00C220C2">
              <w:rPr>
                <w:rFonts w:ascii="Times New Roman" w:hAnsi="Times New Roman" w:cs="Times New Roman"/>
                <w:sz w:val="20"/>
                <w:szCs w:val="20"/>
              </w:rPr>
              <w:t>-1.483</w:t>
            </w:r>
          </w:p>
        </w:tc>
      </w:tr>
      <w:tr w:rsidR="00C220C2" w:rsidRPr="00C220C2" w14:paraId="106E021B" w14:textId="77777777" w:rsidTr="00C12A41">
        <w:trPr>
          <w:cantSplit/>
        </w:trPr>
        <w:tc>
          <w:tcPr>
            <w:tcW w:w="2822" w:type="dxa"/>
            <w:tcBorders>
              <w:top w:val="single" w:sz="8" w:space="0" w:color="AEAEAE"/>
              <w:left w:val="nil"/>
              <w:bottom w:val="single" w:sz="8" w:space="0" w:color="AEAEAE"/>
              <w:right w:val="nil"/>
            </w:tcBorders>
            <w:shd w:val="clear" w:color="auto" w:fill="E0E0E0"/>
          </w:tcPr>
          <w:p w14:paraId="747F4F51" w14:textId="77777777" w:rsidR="00F61E74" w:rsidRPr="00C220C2" w:rsidRDefault="00F61E74" w:rsidP="00B97C0F">
            <w:pPr>
              <w:adjustRightInd w:val="0"/>
              <w:ind w:left="60" w:right="60"/>
              <w:rPr>
                <w:rFonts w:ascii="Times New Roman" w:hAnsi="Times New Roman" w:cs="Times New Roman"/>
                <w:sz w:val="20"/>
                <w:szCs w:val="20"/>
              </w:rPr>
            </w:pPr>
            <w:proofErr w:type="spellStart"/>
            <w:r w:rsidRPr="00C220C2">
              <w:rPr>
                <w:rFonts w:ascii="Times New Roman" w:hAnsi="Times New Roman" w:cs="Times New Roman"/>
                <w:sz w:val="20"/>
                <w:szCs w:val="20"/>
              </w:rPr>
              <w:t>Asymp</w:t>
            </w:r>
            <w:proofErr w:type="spellEnd"/>
            <w:r w:rsidRPr="00C220C2">
              <w:rPr>
                <w:rFonts w:ascii="Times New Roman" w:hAnsi="Times New Roman" w:cs="Times New Roman"/>
                <w:sz w:val="20"/>
                <w:szCs w:val="20"/>
              </w:rPr>
              <w:t>. Sig. (2-tailed)</w:t>
            </w:r>
          </w:p>
        </w:tc>
        <w:tc>
          <w:tcPr>
            <w:tcW w:w="1191" w:type="dxa"/>
            <w:tcBorders>
              <w:top w:val="single" w:sz="8" w:space="0" w:color="AEAEAE"/>
              <w:left w:val="nil"/>
              <w:bottom w:val="single" w:sz="8" w:space="0" w:color="AEAEAE"/>
              <w:right w:val="nil"/>
            </w:tcBorders>
            <w:shd w:val="clear" w:color="auto" w:fill="F9F9FB"/>
          </w:tcPr>
          <w:p w14:paraId="5312B9C8" w14:textId="77777777" w:rsidR="00F61E74" w:rsidRPr="00C220C2" w:rsidRDefault="00F61E74" w:rsidP="00B97C0F">
            <w:pPr>
              <w:adjustRightInd w:val="0"/>
              <w:ind w:left="60" w:right="60"/>
              <w:jc w:val="right"/>
              <w:rPr>
                <w:rFonts w:ascii="Times New Roman" w:hAnsi="Times New Roman" w:cs="Times New Roman"/>
                <w:sz w:val="20"/>
                <w:szCs w:val="20"/>
              </w:rPr>
            </w:pPr>
            <w:r w:rsidRPr="00C220C2">
              <w:rPr>
                <w:rFonts w:ascii="Times New Roman" w:hAnsi="Times New Roman" w:cs="Times New Roman"/>
                <w:sz w:val="20"/>
                <w:szCs w:val="20"/>
              </w:rPr>
              <w:t>.138</w:t>
            </w:r>
          </w:p>
        </w:tc>
      </w:tr>
      <w:tr w:rsidR="00C220C2" w:rsidRPr="00C220C2" w14:paraId="52650A7B" w14:textId="77777777" w:rsidTr="00C12A41">
        <w:trPr>
          <w:cantSplit/>
        </w:trPr>
        <w:tc>
          <w:tcPr>
            <w:tcW w:w="2822" w:type="dxa"/>
            <w:tcBorders>
              <w:top w:val="single" w:sz="8" w:space="0" w:color="AEAEAE"/>
              <w:left w:val="nil"/>
              <w:bottom w:val="single" w:sz="8" w:space="0" w:color="152935"/>
              <w:right w:val="nil"/>
            </w:tcBorders>
            <w:shd w:val="clear" w:color="auto" w:fill="E0E0E0"/>
          </w:tcPr>
          <w:p w14:paraId="67536E1E" w14:textId="77777777" w:rsidR="00F61E74" w:rsidRPr="00C220C2" w:rsidRDefault="00F61E74" w:rsidP="00B97C0F">
            <w:pPr>
              <w:adjustRightInd w:val="0"/>
              <w:ind w:left="60" w:right="60"/>
              <w:rPr>
                <w:rFonts w:ascii="Times New Roman" w:hAnsi="Times New Roman" w:cs="Times New Roman"/>
                <w:sz w:val="20"/>
                <w:szCs w:val="20"/>
              </w:rPr>
            </w:pPr>
            <w:r w:rsidRPr="00C220C2">
              <w:rPr>
                <w:rFonts w:ascii="Times New Roman" w:hAnsi="Times New Roman" w:cs="Times New Roman"/>
                <w:sz w:val="20"/>
                <w:szCs w:val="20"/>
              </w:rPr>
              <w:t>Exact Sig. [2*(1-tailed Sig.)]</w:t>
            </w:r>
          </w:p>
        </w:tc>
        <w:tc>
          <w:tcPr>
            <w:tcW w:w="1191" w:type="dxa"/>
            <w:tcBorders>
              <w:top w:val="single" w:sz="8" w:space="0" w:color="AEAEAE"/>
              <w:left w:val="nil"/>
              <w:bottom w:val="single" w:sz="8" w:space="0" w:color="152935"/>
              <w:right w:val="nil"/>
            </w:tcBorders>
            <w:shd w:val="clear" w:color="auto" w:fill="F9F9FB"/>
          </w:tcPr>
          <w:p w14:paraId="06B46A77" w14:textId="77777777" w:rsidR="00F61E74" w:rsidRPr="00C220C2" w:rsidRDefault="00F61E74" w:rsidP="00B97C0F">
            <w:pPr>
              <w:adjustRightInd w:val="0"/>
              <w:ind w:left="60" w:right="60"/>
              <w:jc w:val="right"/>
              <w:rPr>
                <w:rFonts w:ascii="Times New Roman" w:hAnsi="Times New Roman" w:cs="Times New Roman"/>
                <w:sz w:val="20"/>
                <w:szCs w:val="20"/>
              </w:rPr>
            </w:pPr>
            <w:r w:rsidRPr="00C220C2">
              <w:rPr>
                <w:rFonts w:ascii="Times New Roman" w:hAnsi="Times New Roman" w:cs="Times New Roman"/>
                <w:sz w:val="20"/>
                <w:szCs w:val="20"/>
              </w:rPr>
              <w:t>.180</w:t>
            </w:r>
            <w:r w:rsidRPr="00C220C2">
              <w:rPr>
                <w:rFonts w:ascii="Times New Roman" w:hAnsi="Times New Roman" w:cs="Times New Roman"/>
                <w:sz w:val="20"/>
                <w:szCs w:val="20"/>
                <w:vertAlign w:val="superscript"/>
              </w:rPr>
              <w:t>b</w:t>
            </w:r>
          </w:p>
        </w:tc>
      </w:tr>
      <w:tr w:rsidR="00C220C2" w:rsidRPr="00C220C2" w14:paraId="5B495850" w14:textId="77777777" w:rsidTr="00C12A41">
        <w:trPr>
          <w:cantSplit/>
        </w:trPr>
        <w:tc>
          <w:tcPr>
            <w:tcW w:w="4013" w:type="dxa"/>
            <w:gridSpan w:val="2"/>
            <w:tcBorders>
              <w:top w:val="nil"/>
              <w:left w:val="nil"/>
              <w:bottom w:val="nil"/>
              <w:right w:val="nil"/>
            </w:tcBorders>
            <w:shd w:val="clear" w:color="auto" w:fill="FFFFFF"/>
          </w:tcPr>
          <w:p w14:paraId="094FF3D1" w14:textId="77777777" w:rsidR="00F61E74" w:rsidRPr="00C220C2" w:rsidRDefault="00F61E74" w:rsidP="00B97C0F">
            <w:pPr>
              <w:adjustRightInd w:val="0"/>
              <w:ind w:left="60" w:right="60"/>
              <w:rPr>
                <w:rFonts w:ascii="Times New Roman" w:hAnsi="Times New Roman" w:cs="Times New Roman"/>
                <w:sz w:val="20"/>
                <w:szCs w:val="20"/>
              </w:rPr>
            </w:pPr>
            <w:r w:rsidRPr="00C220C2">
              <w:rPr>
                <w:rFonts w:ascii="Times New Roman" w:hAnsi="Times New Roman" w:cs="Times New Roman"/>
                <w:sz w:val="20"/>
                <w:szCs w:val="20"/>
              </w:rPr>
              <w:t>a. Grouping Variable: Kelompok</w:t>
            </w:r>
          </w:p>
        </w:tc>
      </w:tr>
      <w:tr w:rsidR="00C220C2" w:rsidRPr="00C220C2" w14:paraId="215E595D" w14:textId="77777777" w:rsidTr="00C12A41">
        <w:trPr>
          <w:cantSplit/>
        </w:trPr>
        <w:tc>
          <w:tcPr>
            <w:tcW w:w="4013" w:type="dxa"/>
            <w:gridSpan w:val="2"/>
            <w:tcBorders>
              <w:top w:val="nil"/>
              <w:left w:val="nil"/>
              <w:bottom w:val="nil"/>
              <w:right w:val="nil"/>
            </w:tcBorders>
            <w:shd w:val="clear" w:color="auto" w:fill="FFFFFF"/>
          </w:tcPr>
          <w:p w14:paraId="27CDE887" w14:textId="77777777" w:rsidR="00F61E74" w:rsidRPr="00C220C2" w:rsidRDefault="00F61E74" w:rsidP="00B97C0F">
            <w:pPr>
              <w:adjustRightInd w:val="0"/>
              <w:ind w:left="60" w:right="60"/>
              <w:rPr>
                <w:rFonts w:ascii="Times New Roman" w:hAnsi="Times New Roman" w:cs="Times New Roman"/>
                <w:sz w:val="20"/>
                <w:szCs w:val="20"/>
              </w:rPr>
            </w:pPr>
            <w:r w:rsidRPr="00C220C2">
              <w:rPr>
                <w:rFonts w:ascii="Times New Roman" w:hAnsi="Times New Roman" w:cs="Times New Roman"/>
                <w:sz w:val="20"/>
                <w:szCs w:val="20"/>
              </w:rPr>
              <w:t>b. Not corrected for ties.</w:t>
            </w:r>
          </w:p>
        </w:tc>
      </w:tr>
    </w:tbl>
    <w:p w14:paraId="3B9701DA" w14:textId="77777777" w:rsidR="00F61E74" w:rsidRPr="001B5ED4" w:rsidRDefault="00F61E74" w:rsidP="00F61E74">
      <w:pPr>
        <w:adjustRightInd w:val="0"/>
        <w:jc w:val="center"/>
        <w:rPr>
          <w:rFonts w:ascii="Times New Roman" w:hAnsi="Times New Roman" w:cs="Times New Roman"/>
        </w:rPr>
      </w:pPr>
    </w:p>
    <w:p w14:paraId="2B2EE376" w14:textId="74965BFA" w:rsidR="00F61E74" w:rsidRPr="00B97C0F" w:rsidRDefault="00576377" w:rsidP="00B97C0F">
      <w:pPr>
        <w:pStyle w:val="BodyText"/>
        <w:spacing w:before="8" w:line="237" w:lineRule="auto"/>
        <w:ind w:left="136" w:right="133" w:firstLine="720"/>
        <w:jc w:val="both"/>
      </w:pPr>
      <w:r w:rsidRPr="00B97C0F">
        <w:t>Based on the output of Test Statistics in the Mann Whitney Test above, it is known that the value of Asymp, Sig (2 tailed) is 0.138 &gt; 0.05. Therefore, as the hypothesis proposed, for the control group (group that was not given treatment) Ha "There is an increase in self-openness of SMP Negeri 14 Yogyakarta students" was rejected</w:t>
      </w:r>
      <w:r w:rsidR="00F61E74" w:rsidRPr="00B97C0F">
        <w:t>.</w:t>
      </w:r>
    </w:p>
    <w:p w14:paraId="4C8C4C99" w14:textId="77777777" w:rsidR="00F61E74" w:rsidRDefault="00F61E74" w:rsidP="00F61E74">
      <w:pPr>
        <w:pStyle w:val="BodyText"/>
        <w:spacing w:before="8" w:line="237" w:lineRule="auto"/>
        <w:ind w:right="133"/>
        <w:jc w:val="both"/>
      </w:pPr>
    </w:p>
    <w:p w14:paraId="3D635DA7" w14:textId="77777777" w:rsidR="00F61E74" w:rsidRDefault="00F61E74" w:rsidP="00C220C2">
      <w:pPr>
        <w:pStyle w:val="Heading1"/>
        <w:tabs>
          <w:tab w:val="left" w:pos="568"/>
        </w:tabs>
        <w:ind w:hanging="426"/>
      </w:pPr>
      <w:r w:rsidRPr="00B40EFA">
        <w:rPr>
          <w:i/>
          <w:iCs/>
        </w:rPr>
        <w:t>Discussion</w:t>
      </w:r>
    </w:p>
    <w:p w14:paraId="549CD80A" w14:textId="5021087B" w:rsidR="005821A6" w:rsidRPr="005821A6" w:rsidRDefault="00576377" w:rsidP="005821A6">
      <w:pPr>
        <w:pStyle w:val="BodyText"/>
        <w:ind w:left="136" w:right="134" w:firstLine="720"/>
        <w:jc w:val="both"/>
      </w:pPr>
      <w:r w:rsidRPr="005821A6">
        <w:t xml:space="preserve">This research was carried out with the aim of finding out the influence of assertive training techniques to increase students' self-openness. This research is divided into two class groups, namely the experimental class and the control class. In the experimental class, treatment was given in the form of group counseling services with assertive training techniques, while the control class did not get assertive training techniques related to the material discussed. Before being given treatment to students, especially the pretest is given to the research subject, the purpose is to find out the level of self-openness of the research subject. After being given and processed data, it was found that both groups showed an </w:t>
      </w:r>
      <w:r w:rsidRPr="005821A6">
        <w:lastRenderedPageBreak/>
        <w:t>average value of self-disclosure in the "Low" category. After being treated with group counseling, assertive training techniques to students in the experimental class and the control class did not get treatment assertive training, different results were found from each group. In the experimental class, there was an increase in self-openness in all members which was found to be the result of changing from the category "Low" to "High". Meanwhile, in the control class, there was no significant increase because the six students from the control group were in the same category, namely "Low". The difference can be statistically proven by the results of the hypothesis test in this study</w:t>
      </w:r>
      <w:r w:rsidR="005821A6" w:rsidRPr="005821A6">
        <w:t>.</w:t>
      </w:r>
    </w:p>
    <w:p w14:paraId="7B079669" w14:textId="77777777" w:rsidR="00576377" w:rsidRPr="005821A6" w:rsidRDefault="00576377" w:rsidP="00F21E9A">
      <w:pPr>
        <w:pStyle w:val="BodyText"/>
        <w:ind w:left="136" w:right="134" w:firstLine="720"/>
        <w:jc w:val="both"/>
      </w:pPr>
      <w:r w:rsidRPr="005821A6">
        <w:t>The results of the hypothesis test of this study show that the Paired Test (Wilcoxon Test) of the two groups has different values. In the experimental group, it was found that self-disclosure after being given group counseling services with assertive techniques had an Asymp.Sig value of 0.026 &lt; 0.05, (error rate of 5%). Meanwhile, the control class that was not given any service had an Asymp.Sig value of 0.059 &gt; 0.05, (error rate of 5%). Therefore, it can be concluded that the experimental group experienced an increase in self-openness after being given treatment in the form of group counseling with Assertive Techniques. Meanwhile, the control group did not experience an increase in self-disclosure because they were not provided with any services.</w:t>
      </w:r>
    </w:p>
    <w:p w14:paraId="74201581" w14:textId="5EA6F07B" w:rsidR="005821A6" w:rsidRPr="005821A6" w:rsidRDefault="00576377" w:rsidP="005821A6">
      <w:pPr>
        <w:pStyle w:val="BodyText"/>
        <w:ind w:left="136" w:right="134" w:firstLine="720"/>
        <w:jc w:val="both"/>
      </w:pPr>
      <w:r w:rsidRPr="005821A6">
        <w:t xml:space="preserve">The results were also strengthened by the Independent Test (Mann Whitney Test) that there was a difference between the two groups, with the Asymp.Sig value of 0.004 &lt; 0.05 (error rate of 5%) and the Asymp.Sig value of the control group of 0.138 &gt; 0.05 (error rate of 5%). Based on the decision of the Mann Whitney test, if the Asymp.Sig value is less than 0.05, the hypothesis is accepted. Therefore, in accordance with the acquisition of the Asymp.Sig score, the hypothesis received is the hypothesis of the experimental group, namely, "There is an increase in self-openness of SMP Negeri 14 Yogyakarta students by providing counseling treatment for the Assertive Training </w:t>
      </w:r>
      <w:r w:rsidR="00FA7FBF">
        <w:t>Technique</w:t>
      </w:r>
      <w:r w:rsidRPr="005821A6">
        <w:t xml:space="preserve"> group"</w:t>
      </w:r>
      <w:r w:rsidR="005821A6" w:rsidRPr="005821A6">
        <w:t>.</w:t>
      </w:r>
    </w:p>
    <w:p w14:paraId="4D23B946" w14:textId="5F859356" w:rsidR="00576377" w:rsidRDefault="00576377" w:rsidP="00576377">
      <w:pPr>
        <w:pStyle w:val="BodyText"/>
        <w:ind w:left="136" w:right="134" w:firstLine="720"/>
        <w:jc w:val="both"/>
      </w:pPr>
      <w:r>
        <w:t xml:space="preserve">Assertive training according to </w:t>
      </w:r>
      <w:r w:rsidR="00E000E1">
        <w:fldChar w:fldCharType="begin" w:fldLock="1"/>
      </w:r>
      <w:r w:rsidR="00E000E1">
        <w:instrText>ADDIN CSL_CITATION {"citationItems":[{"id":"ITEM-1","itemData":{"DOI":"10.1146/annurev-orgpsych-120920-044531","ISSN":"23270608","abstract":"Self-awareness mdash how we see ourselves and the effects we have on our environment mdash influences our behavior and the type of person we want to become. This article examines recent research and areas of practice that address the meaning of self-awareness and how it develops over time. We build on extant comprehensive reviews of the literature to define self-awareness and its accuracy, measurement, and effects, including the dark side of being overly introspective. We offer a framework to integrate theory-based processes. We present the results of a literature search of educational interventions aimed at increasing mindfulness through reflection, feedback, and coaching. We conclude with calls for research and implications for practice in areas of measurement, tracking changes, interventions, and self in relation to others in areas of societal impact, self-presentation on digital media, and promoting self-awareness in relation to organization and team membership.","author":[{"dropping-particle":"","family":"London","given":"Manuel","non-dropping-particle":"","parse-names":false,"suffix":""},{"dropping-particle":"","family":"Sessa","given":"Valerie I.","non-dropping-particle":"","parse-names":false,"suffix":""},{"dropping-particle":"","family":"Shelley","given":"Loren A.","non-dropping-particle":"","parse-names":false,"suffix":""}],"container-title":"Annual Review of Organizational Psychology and Organizational Behavior","id":"ITEM-1","issued":{"date-parts":[["2023"]]},"page":"261-288","title":"Developing Self-Awareness: Learning Processes for Self- and Interpersonal Growth","type":"article-journal","volume":"10"},"uris":["http://www.mendeley.com/documents/?uuid=5eaa6ade-1438-461a-b914-d59f898d3de1"]}],"mendeley":{"formattedCitation":"(London et al., 2023)","manualFormatting":"London et al., (2023)","plainTextFormattedCitation":"(London et al., 2023)","previouslyFormattedCitation":"(London et al., 2023)"},"properties":{"noteIndex":0},"schema":"https://github.com/citation-style-language/schema/raw/master/csl-citation.json"}</w:instrText>
      </w:r>
      <w:r w:rsidR="00E000E1">
        <w:fldChar w:fldCharType="separate"/>
      </w:r>
      <w:r w:rsidR="00E000E1" w:rsidRPr="00E000E1">
        <w:rPr>
          <w:noProof/>
        </w:rPr>
        <w:t xml:space="preserve">London et al., </w:t>
      </w:r>
      <w:r w:rsidR="00E000E1">
        <w:rPr>
          <w:noProof/>
        </w:rPr>
        <w:t>(</w:t>
      </w:r>
      <w:r w:rsidR="00E000E1" w:rsidRPr="00E000E1">
        <w:rPr>
          <w:noProof/>
        </w:rPr>
        <w:t>2023)</w:t>
      </w:r>
      <w:r w:rsidR="00E000E1">
        <w:fldChar w:fldCharType="end"/>
      </w:r>
      <w:r>
        <w:t xml:space="preserve"> is the application of behavioral training with the aim of assisting individuals in developing more direct ways of relating in interpersonal situations. The focus is on practicing through role play, newly acquired social skills so that individuals are expected to be able to overcome their inadequacies and learn to express their feelings and thoughts more openly with the belief that they have the right to show open reactions. In addition, assertive training according to </w:t>
      </w:r>
      <w:r w:rsidR="00E000E1">
        <w:fldChar w:fldCharType="begin" w:fldLock="1"/>
      </w:r>
      <w:r w:rsidR="00FC7CD6">
        <w:instrText>ADDIN CSL_CITATION {"citationItems":[{"id":"ITEM-1","itemData":{"DOI":"10.1007/s12144-024-06247-3","ISSN":"19364733","abstract":"To enhance coaching experiences in career development, diverse approaches must be developed and tested. This study’s objective was to determine the effectiveness of a purpose-based career coaching framework on career decision-making difficulties. In this study, randomized experimental conditions and interviews were combined. A theoretical sampling procedure was used for a period of two years to generate samples for the study. A total of 187 youths were recruited, but 78 did not meet the study criteria, while 29 declined to take part. A sample of 80 youths met the study criteria and completed all phases of the study. Twelve one-to-one sessions, aligning with the Pb-CC framework, covered core techniques such as reimagining, spiritualizing, self-discovery, career exploration, identifying, and matching. Qualitative data was collected using a researcher-developed interview protocol, consisting of three open-ended questions such as: “How would you describe the meaning or purpose of your life?; What is the category of career that relates to your purpose?; and What do you believe about purpose and career?” In addition, Career Decision-Making Scale (CDDS) was used to collect data. Quantitative data were analyzed using repeated measures analysis of variance, while qualitative data were analyzed using thematic analysis, which includes the organization of data, the identification and development of themes, the saturation of themes, and the presentation of themes. At the end of the intervention, participants successfully identified their purpose and skillfully matched it with suitable careers. The effect of purpose-based career coaching has been found to be significant on career decision making. These findings bear practical significance for career counselling, policy implementation, industrialization, research and career development.","author":[{"dropping-particle":"","family":"Otu","given":"Mkpoikanke Sunday","non-dropping-particle":"","parse-names":false,"suffix":""}],"container-title":"Current Psychology","id":"ITEM-1","issue":"June","issued":{"date-parts":[["2024"]]},"title":"Effect of purpose-based career coaching on career decision-making","type":"article-journal"},"uris":["http://www.mendeley.com/documents/?uuid=791b5a27-fea7-4de7-b149-b95c1177fed2"]}],"mendeley":{"formattedCitation":"(Otu, 2024)","manualFormatting":"Otu (2024)","plainTextFormattedCitation":"(Otu, 2024)","previouslyFormattedCitation":"(Otu, 2024)"},"properties":{"noteIndex":0},"schema":"https://github.com/citation-style-language/schema/raw/master/csl-citation.json"}</w:instrText>
      </w:r>
      <w:r w:rsidR="00E000E1">
        <w:fldChar w:fldCharType="separate"/>
      </w:r>
      <w:r w:rsidR="00E000E1" w:rsidRPr="00E000E1">
        <w:rPr>
          <w:noProof/>
        </w:rPr>
        <w:t xml:space="preserve">Otu </w:t>
      </w:r>
      <w:r w:rsidR="00E000E1">
        <w:rPr>
          <w:noProof/>
        </w:rPr>
        <w:t>(</w:t>
      </w:r>
      <w:r w:rsidR="00E000E1" w:rsidRPr="00E000E1">
        <w:rPr>
          <w:noProof/>
        </w:rPr>
        <w:t>2024)</w:t>
      </w:r>
      <w:r w:rsidR="00E000E1">
        <w:fldChar w:fldCharType="end"/>
      </w:r>
      <w:r w:rsidR="00E000E1">
        <w:t xml:space="preserve"> </w:t>
      </w:r>
      <w:r>
        <w:t xml:space="preserve">is a training procedure given to counselees to train social adjustment behavior through self-expression of attitudes, expectations, opinions and rights. according to </w:t>
      </w:r>
      <w:r w:rsidR="00FC7CD6">
        <w:fldChar w:fldCharType="begin" w:fldLock="1"/>
      </w:r>
      <w:r w:rsidR="00FC7CD6">
        <w:instrText>ADDIN CSL_CITATION {"citationItems":[{"id":"ITEM-1","itemData":{"DOI":"DOI: 10.1111/medu.15222","author":[{"dropping-particle":"","family":"Maayan Gutgeld-Dror, Nathaniel Laor","given":"Orit Karnieli-Miller","non-dropping-particle":"","parse-names":false,"suffix":""}],"container-title":"Medi ca l E du ca ti on i n Review","id":"ITEM-1","issued":{"date-parts":[["2023"]]},"title":"Assertiveness in physicians' interpersonal professional encounters: A scoping review","type":"article-journal"},"uris":["http://www.mendeley.com/documents/?uuid=8fd2c490-0ca0-455f-a430-fc350486d617"]}],"mendeley":{"formattedCitation":"(Maayan Gutgeld-Dror, Nathaniel Laor, 2023)","manualFormatting":"Maayan Gutgeld-Dror &amp; Nathaniel Laor (2023)","plainTextFormattedCitation":"(Maayan Gutgeld-Dror, Nathaniel Laor, 2023)","previouslyFormattedCitation":"(Maayan Gutgeld-Dror, Nathaniel Laor, 2023)"},"properties":{"noteIndex":0},"schema":"https://github.com/citation-style-language/schema/raw/master/csl-citation.json"}</w:instrText>
      </w:r>
      <w:r w:rsidR="00FC7CD6">
        <w:fldChar w:fldCharType="separate"/>
      </w:r>
      <w:r w:rsidR="00FC7CD6" w:rsidRPr="00FC7CD6">
        <w:rPr>
          <w:noProof/>
        </w:rPr>
        <w:t>Maayan Gutgeld-Dror</w:t>
      </w:r>
      <w:r w:rsidR="00FC7CD6">
        <w:rPr>
          <w:noProof/>
        </w:rPr>
        <w:t xml:space="preserve"> &amp; </w:t>
      </w:r>
      <w:r w:rsidR="00FC7CD6" w:rsidRPr="00FC7CD6">
        <w:rPr>
          <w:noProof/>
        </w:rPr>
        <w:t xml:space="preserve">Nathaniel Laor </w:t>
      </w:r>
      <w:r w:rsidR="00FC7CD6">
        <w:rPr>
          <w:noProof/>
        </w:rPr>
        <w:t>(</w:t>
      </w:r>
      <w:r w:rsidR="00FC7CD6" w:rsidRPr="00FC7CD6">
        <w:rPr>
          <w:noProof/>
        </w:rPr>
        <w:t>2023)</w:t>
      </w:r>
      <w:r w:rsidR="00FC7CD6">
        <w:fldChar w:fldCharType="end"/>
      </w:r>
      <w:r w:rsidR="00FC7CD6">
        <w:t xml:space="preserve"> </w:t>
      </w:r>
      <w:r>
        <w:t xml:space="preserve">assertive training techniques can be provided through group counseling services with the consideration that this service has never been applied in formal institutions or schools, which of course still pays attention to changes in counselee behavior or counselee behavior. In addition, group counseling can provide group members with the opportunity to interact with each other and know more about a person. </w:t>
      </w:r>
    </w:p>
    <w:p w14:paraId="4E8A3B16" w14:textId="197C762D" w:rsidR="005821A6" w:rsidRPr="005821A6" w:rsidRDefault="00576377" w:rsidP="00576377">
      <w:pPr>
        <w:pStyle w:val="BodyText"/>
        <w:ind w:left="136" w:right="134" w:firstLine="720"/>
        <w:jc w:val="both"/>
      </w:pPr>
      <w:r>
        <w:t xml:space="preserve">Assertive training according to </w:t>
      </w:r>
      <w:r w:rsidR="00FC7CD6">
        <w:fldChar w:fldCharType="begin" w:fldLock="1"/>
      </w:r>
      <w:r w:rsidR="00FC7CD6">
        <w:instrText>ADDIN CSL_CITATION {"citationItems":[{"id":"ITEM-1","itemData":{"DOI":"10.17977/um001v5i42020p162","ISSN":"25484311","abstract":"This study aims to determine: (1) the effectiveness of behavioral counseling with assertive training techniques to increase the nature of abasement, (2) the effectiveness of behavioral counseling with shaping techniques to reduce the nature of aggression, and (3) the effectiveness of behavioral counseling with self-management techniques to increase the nature of endurance. This study employed an experimental study with a pre-test post-test control group. Participants involved were 37 class XI students of the Lab. School Undiksha. To recruit the participants, a purposive sampling technique was used by which the participants were students with low abasement, high aggression, and low endurance. Data were collected using scales that measure the nature of the abasement, aggression, and endurance. To test the hypothesis, the data were analyzed using the t-test. The results showed that: (1) behavioral counseling with assertive training techniques was effective for increasing the nature of abasement, (2) behavioral counseling with shaping techniques was effective to reduce the nature of aggression, and (3) behavioral counseling with self-management techniques was effective for increasing the nature of endurance.","author":[{"dropping-particle":"","family":"Gading","given":"I Ketut","non-dropping-particle":"","parse-names":false,"suffix":""}],"container-title":"Jurnal Kajian Bimbingan dan Konseling","id":"ITEM-1","issue":"4","issued":{"date-parts":[["2020"]]},"page":"162-174","title":"The Effectiveness of Behavioral Counseling as Intervention of Abasement, Aggression, and Endurance of High School Students","type":"article-journal","volume":"5"},"uris":["http://www.mendeley.com/documents/?uuid=444376fa-89f1-4080-870a-aca39db6f577"]}],"mendeley":{"formattedCitation":"(Gading, 2020)","manualFormatting":"Gading (2020)","plainTextFormattedCitation":"(Gading, 2020)","previouslyFormattedCitation":"(Gading, 2020)"},"properties":{"noteIndex":0},"schema":"https://github.com/citation-style-language/schema/raw/master/csl-citation.json"}</w:instrText>
      </w:r>
      <w:r w:rsidR="00FC7CD6">
        <w:fldChar w:fldCharType="separate"/>
      </w:r>
      <w:r w:rsidR="00FC7CD6" w:rsidRPr="00FC7CD6">
        <w:rPr>
          <w:noProof/>
        </w:rPr>
        <w:t xml:space="preserve">Gading </w:t>
      </w:r>
      <w:r w:rsidR="00FC7CD6">
        <w:rPr>
          <w:noProof/>
        </w:rPr>
        <w:t>(</w:t>
      </w:r>
      <w:r w:rsidR="00FC7CD6" w:rsidRPr="00FC7CD6">
        <w:rPr>
          <w:noProof/>
        </w:rPr>
        <w:t>2020)</w:t>
      </w:r>
      <w:r w:rsidR="00FC7CD6">
        <w:fldChar w:fldCharType="end"/>
      </w:r>
      <w:r w:rsidR="00FC7CD6">
        <w:t xml:space="preserve"> </w:t>
      </w:r>
      <w:r>
        <w:t>this technique teaches counselees to distinguish aggressive, passive, assertive behavior. Assertive training can be concluded as a training procedure provided to help individuals to improve their ability to communicate what they want, feel and think to others but still maintain, respect the rights and feelings of others and through assertive training procedures for individuals who lack openness and assertiveness. That the core of the use of assertive training in the research carried out can be trained and developed, able to choose the right words for their desired goals, mutual support, repetition of open behavior in various situations, and feedback for each individual who is doing self-disclosure.</w:t>
      </w:r>
    </w:p>
    <w:p w14:paraId="1B98A00A" w14:textId="0C440B47" w:rsidR="00576377" w:rsidRDefault="00576377" w:rsidP="00576377">
      <w:pPr>
        <w:pStyle w:val="BodyText"/>
        <w:ind w:left="136" w:right="134" w:firstLine="720"/>
        <w:jc w:val="both"/>
      </w:pPr>
      <w:r>
        <w:t xml:space="preserve">Assertive techniques in this study were implemented in the provision of group counseling services. Group counseling is an interpersonal process that is dynamically intertwined, centered on conscious thought and behavior. According to </w:t>
      </w:r>
      <w:r w:rsidR="00FC7CD6">
        <w:fldChar w:fldCharType="begin" w:fldLock="1"/>
      </w:r>
      <w:r w:rsidR="00EA2B5F">
        <w:instrText>ADDIN CSL_CITATION {"citationItems":[{"id":"ITEM-1","itemData":{"DOI":"https://doi.org/10.1080/87568225.2022.2155600","author":[{"dropping-particle":"","family":"Travis, Sophia","given":"Emma","non-dropping-particle":"","parse-names":false,"suffix":""}],"container-title":"Journal of College Student Psychotherapy","id":"ITEM-1","issued":{"date-parts":[["2022"]]},"title":"Many Hands Make Light Work: Group Therapy on College Campuses is Efficient, Effective, Enticing, and Essential","type":"article-journal"},"uris":["http://www.mendeley.com/documents/?uuid=eefa008b-0cde-4d2e-8088-ffd78ee51315"]}],"mendeley":{"formattedCitation":"(Travis, Sophia, 2022)","manualFormatting":"Travis &amp; Sophia (2022)","plainTextFormattedCitation":"(Travis, Sophia, 2022)","previouslyFormattedCitation":"(Travis, Sophia, 2022)"},"properties":{"noteIndex":0},"schema":"https://github.com/citation-style-language/schema/raw/master/csl-citation.json"}</w:instrText>
      </w:r>
      <w:r w:rsidR="00FC7CD6">
        <w:fldChar w:fldCharType="separate"/>
      </w:r>
      <w:r w:rsidR="00FC7CD6" w:rsidRPr="00FC7CD6">
        <w:rPr>
          <w:noProof/>
        </w:rPr>
        <w:t>Travis</w:t>
      </w:r>
      <w:r w:rsidR="00FC7CD6">
        <w:rPr>
          <w:noProof/>
        </w:rPr>
        <w:t xml:space="preserve"> &amp; </w:t>
      </w:r>
      <w:r w:rsidR="00FC7CD6" w:rsidRPr="00FC7CD6">
        <w:rPr>
          <w:noProof/>
        </w:rPr>
        <w:t xml:space="preserve">Sophia </w:t>
      </w:r>
      <w:r w:rsidR="00FC7CD6">
        <w:rPr>
          <w:noProof/>
        </w:rPr>
        <w:t>(</w:t>
      </w:r>
      <w:r w:rsidR="00FC7CD6" w:rsidRPr="00FC7CD6">
        <w:rPr>
          <w:noProof/>
        </w:rPr>
        <w:t>2022)</w:t>
      </w:r>
      <w:r w:rsidR="00FC7CD6">
        <w:fldChar w:fldCharType="end"/>
      </w:r>
      <w:r>
        <w:t xml:space="preserve"> group counseling is a form of counseling by utilizing groups to help, give, feedback and learning experiences. Group counseling in its process uses the principles of group dynamics. Meanwhile, according to </w:t>
      </w:r>
      <w:r w:rsidR="00EA2B5F">
        <w:fldChar w:fldCharType="begin" w:fldLock="1"/>
      </w:r>
      <w:r w:rsidR="00EA2B5F">
        <w:instrText>ADDIN CSL_CITATION {"citationItems":[{"id":"ITEM-1","itemData":{"DOI":"10.17977/um001v7i22022p71-80","ISSN":"2548-4311","abstract":"Abstract: This study aims to describe prospective counselors’ perceptions of professional identity concepts in the guidance and counseling field. This study used a qualitative approach with an exploratory, descriptive design. Research data were collected through open questionnaires and focus group discussions. The data sources were fifteen guidance and counseling students from three different classes. Data analysis was carried out by searching for themes and determining the correlation between them to attain interpretation. The results of the study show that professional identity is conceptualized as a typical characteristic or a symbol of professional conduct in the profession of guidance and counseling. Meanwhile, the dimensions of professional identity according to students are categorized into professional competence, personality, personal appearance, knowledge of the profession, and professional ethos. Lastly, for the student, professional identity is something that moves dynamically. Abstrak: Penelitian ini bertujuan untuk mendeskripsikan persepsi calon konselor terhadap konsep identitas profesional dalam bidang bimbingan dan konseling. Penelitian ini menggunakan pendekatan kualitatif dengan desain deskriptif eksploratif. Data penelitian dikumpulkan melalui kuesioner terbuka dan diskusi kelompok terfokus. Sumber datanya adalah lima belas mahasiswa bimbingan dan konseling dari angkatan yang berbeda. Analisis data dilakukan dengan cara mengidentifikasi topik dan menentukan keterkaitan untuk mencapai interpretasi. Hasil penelitian menunjukkan bahwa identitas profesional dikonseptualisasikan sebagai ciri khas atau simbol perilaku profesional dalam profesi bimbingan dan konseling. Sedangkan dimensi identitas profesional menurut mahasiswa dikategorikan terdiri dari kompetensi profesional, kepribadian, penampilan pribadi, pengetahuan profesi, dan etos kerja profesional. Selain itu, mahasiswa juga mempersepsikan identitas profesional bimbingan dan konseling merupakan sesuatu yang bergerak dinamis.","author":[{"dropping-particle":"","family":"Rahman","given":"Fathur","non-dropping-particle":"","parse-names":false,"suffix":""},{"dropping-particle":"","family":"Nurmalasari","given":"Yuli","non-dropping-particle":"","parse-names":false,"suffix":""},{"dropping-particle":"","family":"Aminah","given":"Siti","non-dropping-particle":"","parse-names":false,"suffix":""},{"dropping-particle":"","family":"Taufiq","given":"Agus","non-dropping-particle":"","parse-names":false,"suffix":""}],"container-title":"Jurnal Kajian Bimbingan dan Konseling","id":"ITEM-1","issue":"2","issued":{"date-parts":[["2022"]]},"page":"71-80","title":"Professional Identity in Guidance and Counseling: The Perspective of Prospective Counselors","type":"article-journal","volume":"7"},"uris":["http://www.mendeley.com/documents/?uuid=fbcf3e25-b93f-4efa-bee0-82fc72d53b33"]}],"mendeley":{"formattedCitation":"(Rahman et al., 2022)","manualFormatting":"Rahman et al., (2022)","plainTextFormattedCitation":"(Rahman et al., 2022)","previouslyFormattedCitation":"(Rahman et al., 2022)"},"properties":{"noteIndex":0},"schema":"https://github.com/citation-style-language/schema/raw/master/csl-citation.json"}</w:instrText>
      </w:r>
      <w:r w:rsidR="00EA2B5F">
        <w:fldChar w:fldCharType="separate"/>
      </w:r>
      <w:r w:rsidR="00EA2B5F" w:rsidRPr="00EA2B5F">
        <w:rPr>
          <w:noProof/>
        </w:rPr>
        <w:t xml:space="preserve">Rahman et al., </w:t>
      </w:r>
      <w:r w:rsidR="00EA2B5F">
        <w:rPr>
          <w:noProof/>
        </w:rPr>
        <w:t>(</w:t>
      </w:r>
      <w:r w:rsidR="00EA2B5F" w:rsidRPr="00EA2B5F">
        <w:rPr>
          <w:noProof/>
        </w:rPr>
        <w:t>2022)</w:t>
      </w:r>
      <w:r w:rsidR="00EA2B5F">
        <w:fldChar w:fldCharType="end"/>
      </w:r>
      <w:r>
        <w:t xml:space="preserve">group counseling is a special form of counseling services, namely professional counselor interviews with several people at once who are members of a small group. Group counseling has two main aspects, namely the process aspect and the face-to-face meeting aspect. The process aspect in group counseling is distinctive because the process is passed by more than two people; as well as the aspect of face-to-face meetings because those who face </w:t>
      </w:r>
      <w:proofErr w:type="spellStart"/>
      <w:r>
        <w:t>face</w:t>
      </w:r>
      <w:proofErr w:type="spellEnd"/>
      <w:r>
        <w:t xml:space="preserve"> are a number of people who are members of the group, who provide psychological assistance to each other.</w:t>
      </w:r>
    </w:p>
    <w:p w14:paraId="1493AA8D" w14:textId="027950E0" w:rsidR="005821A6" w:rsidRPr="005821A6" w:rsidRDefault="00576377" w:rsidP="00576377">
      <w:pPr>
        <w:pStyle w:val="BodyText"/>
        <w:ind w:left="136" w:right="134" w:firstLine="720"/>
        <w:jc w:val="both"/>
      </w:pPr>
      <w:r>
        <w:t xml:space="preserve">According to </w:t>
      </w:r>
      <w:r w:rsidR="00EA2B5F">
        <w:fldChar w:fldCharType="begin" w:fldLock="1"/>
      </w:r>
      <w:r w:rsidR="00EA2B5F">
        <w:instrText>ADDIN CSL_CITATION {"citationItems":[{"id":"ITEM-1","itemData":{"DOI":"10.53555/kuey.v30i5.5080","author":[{"dropping-particle":"","family":"Hidayati","given":"Awik","non-dropping-particle":"","parse-names":false,"suffix":""},{"dropping-particle":"","family":"Wiryosutomo","given":"Hadi Warsito","non-dropping-particle":"","parse-names":false,"suffix":""},{"dropping-particle":"","family":"Saputro","given":"Billdy","non-dropping-particle":"","parse-names":false,"suffix":""},{"dropping-particle":"","family":"Kumalasari","given":"Rita","non-dropping-particle":"","parse-names":false,"suffix":""}],"id":"ITEM-1","issue":"5","issued":{"date-parts":[["2024"]]},"page":"12255-12266","title":"Implementation Of Person-Centered Counseling In Cultural Diversity In Schools","type":"article-journal","volume":"30"},"uris":["http://www.mendeley.com/documents/?uuid=aa793553-f8a0-40fc-8c59-7cfe71ecb3ab"]}],"mendeley":{"formattedCitation":"(Hidayati et al., 2024)","plainTextFormattedCitation":"(Hidayati et al., 2024)"},"properties":{"noteIndex":0},"schema":"https://github.com/citation-style-language/schema/raw/master/csl-citation.json"}</w:instrText>
      </w:r>
      <w:r w:rsidR="00EA2B5F">
        <w:fldChar w:fldCharType="separate"/>
      </w:r>
      <w:r w:rsidR="00EA2B5F" w:rsidRPr="00EA2B5F">
        <w:rPr>
          <w:noProof/>
        </w:rPr>
        <w:t xml:space="preserve">Hidayati et al., </w:t>
      </w:r>
      <w:r w:rsidR="00EA2B5F">
        <w:rPr>
          <w:noProof/>
        </w:rPr>
        <w:t>(</w:t>
      </w:r>
      <w:r w:rsidR="00EA2B5F" w:rsidRPr="00EA2B5F">
        <w:rPr>
          <w:noProof/>
        </w:rPr>
        <w:t>2024)</w:t>
      </w:r>
      <w:r w:rsidR="00EA2B5F">
        <w:fldChar w:fldCharType="end"/>
      </w:r>
      <w:r w:rsidR="00EA2B5F">
        <w:t xml:space="preserve"> </w:t>
      </w:r>
      <w:r>
        <w:t xml:space="preserve">the purpose of group counseling can basically be divided </w:t>
      </w:r>
      <w:r>
        <w:lastRenderedPageBreak/>
        <w:t>into two, namely theoretical goals and operational goals. Theoretical goals are related to the goals in counseling, while operational goals are adjusted to the expectations of members and the problems faced by members. When a group leader is unclear about the purpose of the group he leads, there is a tendency that the group will be confusing, boring or unproductive. The purpose of the group can change as it happens in the dynamics of the group.</w:t>
      </w:r>
    </w:p>
    <w:p w14:paraId="56057017" w14:textId="77777777" w:rsidR="00576377" w:rsidRPr="005821A6" w:rsidRDefault="00576377" w:rsidP="00D6491F">
      <w:pPr>
        <w:pStyle w:val="BodyText"/>
        <w:ind w:left="136" w:right="134" w:firstLine="720"/>
        <w:jc w:val="both"/>
      </w:pPr>
      <w:r w:rsidRPr="005821A6">
        <w:t>Group counseling with assertive training techniques is carried out to realize behavior changes to individuals from bad to better. Assertive training aims to help individuals express their thoughts, feelings, and needs in an honest, direct, and respectful manner. This exercise helps individuals improve their self-confidence and ability to communicate with others. This exercise involves individuals in a variety of situations that require the ability to communicate effectively</w:t>
      </w:r>
    </w:p>
    <w:p w14:paraId="00110F0C" w14:textId="29A9F3BB" w:rsidR="005821A6" w:rsidRPr="005821A6" w:rsidRDefault="00576377" w:rsidP="005821A6">
      <w:pPr>
        <w:pStyle w:val="BodyText"/>
        <w:ind w:left="136" w:right="134" w:firstLine="720"/>
        <w:jc w:val="both"/>
      </w:pPr>
      <w:r w:rsidRPr="005821A6">
        <w:t>The implementation of assertive training intervention activities in group counseling aims to develop student learning responsibilities which are carried out twice a week. Students are given exercises at home which function for evaluation that can be seen the progress of students in carrying out learning activities both at home and at school, in addition to seeing the success in each meeting session that has been held. Before group counseling, the group leader makes a commitment with all students to carry out counseling meetings</w:t>
      </w:r>
      <w:r w:rsidR="005821A6" w:rsidRPr="005821A6">
        <w:t xml:space="preserve">. </w:t>
      </w:r>
    </w:p>
    <w:p w14:paraId="437B6FF1" w14:textId="77777777" w:rsidR="00576377" w:rsidRPr="005821A6" w:rsidRDefault="00576377" w:rsidP="00CC5ADD">
      <w:pPr>
        <w:pStyle w:val="BodyText"/>
        <w:ind w:left="136" w:right="134" w:firstLine="720"/>
        <w:jc w:val="both"/>
      </w:pPr>
      <w:r w:rsidRPr="005821A6">
        <w:t>It is hoped that the mastery of this assertive training will help students be more effective in carrying out their tasks and responsibilities at school. Group leaders can teach assertive training that is sensitive to cultural contexts, for example, using more polite or indirect language when conveying feelings and needs. In addition, assertive training and group discussions can be adapted to reflect certain social situations and dynamics.</w:t>
      </w:r>
    </w:p>
    <w:p w14:paraId="7182576D" w14:textId="77777777" w:rsidR="00576377" w:rsidRPr="005821A6" w:rsidRDefault="00576377" w:rsidP="00CC5ADD">
      <w:pPr>
        <w:pStyle w:val="BodyText"/>
        <w:ind w:left="136" w:right="134" w:firstLine="720"/>
        <w:jc w:val="both"/>
      </w:pPr>
      <w:r w:rsidRPr="005821A6">
        <w:t>By taking into account various factors, this assertive training not only improves students' communication skills and confidence, but also ensures that the methods used are acceptable and effective in various contexts of each participant. If students have mastered assertive training well, it will certainly be easier to achieve themselves in practicing self-openness.</w:t>
      </w:r>
    </w:p>
    <w:p w14:paraId="1685FC40" w14:textId="3060D980" w:rsidR="005821A6" w:rsidRPr="005821A6" w:rsidRDefault="00576377" w:rsidP="005821A6">
      <w:pPr>
        <w:pStyle w:val="BodyText"/>
        <w:ind w:left="136" w:right="134" w:firstLine="720"/>
        <w:jc w:val="both"/>
      </w:pPr>
      <w:r w:rsidRPr="005821A6">
        <w:t>Based on the results of the research and discussion that has been presented, it is found that there is a harmony between theory, relevant research and the results of the research hypothesis, namely group counseling services with assertive techniques can increase students' self-disclosure. This is reinforced between the facts and the results of research obtained in the field which shows that if students are given and accustomed to self-training starting by talking in front of a mirror, followed by daring to express opinions and speak in public can help students change their behavior so that they can become more open. This can be done repeatedly until it becomes part of the positive behavior of students so that they have good self-openness. The change of students in a positive direction is evidenced by the average score that shows the results before being given the affirmative training technique treatment obtained an average result of 40, while after being given the treatment of assertive training techniques to increase openness (self-disclosure) the average result was obtained of 85. This shows that the average score after being given the assertive training technique treatment in the experimental group, is higher than the average score before the assertive training technique is given. This shows an increase in the average score before and after the treatment, which can be stated that assertive training techniques are effective in increasing self-disclosure of Yogyakarta State Junior High School students</w:t>
      </w:r>
      <w:r w:rsidR="005821A6" w:rsidRPr="005821A6">
        <w:t>.</w:t>
      </w:r>
    </w:p>
    <w:p w14:paraId="155E89B8" w14:textId="77777777" w:rsidR="00576377" w:rsidRPr="005821A6" w:rsidRDefault="00576377" w:rsidP="00F91E59">
      <w:pPr>
        <w:pStyle w:val="BodyText"/>
        <w:ind w:left="136" w:right="134" w:firstLine="720"/>
        <w:jc w:val="both"/>
      </w:pPr>
      <w:r w:rsidRPr="005821A6">
        <w:t>When compared to the control group that was not given treatment, the results were different. In the control group, there was no significant increase and remained in the same category, namely the "Low" category. It can be concluded that the control group without being given treatment is not effective in increasing students' self-openness at SMP Negeri Yogyakarta.</w:t>
      </w:r>
    </w:p>
    <w:p w14:paraId="63CC3D94" w14:textId="66D616B5" w:rsidR="005821A6" w:rsidRPr="005821A6" w:rsidRDefault="00576377" w:rsidP="005821A6">
      <w:pPr>
        <w:pStyle w:val="BodyText"/>
        <w:ind w:left="136" w:right="134" w:firstLine="720"/>
        <w:jc w:val="both"/>
      </w:pPr>
      <w:r w:rsidRPr="005821A6">
        <w:t>This is strengthened and proven by the results of hypothesis tests, namely the Paired Test (Wilcoxon Test) and the Independent Test (Mann Whitney Test). The results of the Paired Test (Wilcoxon Test) were obtained that the two groups had different values. In the experimental group, the Asymp.Sig value was found to be 0.026 &lt; 0.05, (error rate of 5%). Meanwhile, the control class had an Asymp.Sig value of 0.059 &gt; 0.05, (error rate of 5%). Therefore, it was concluded that the experimental group experienced an increase in self-openness after being given treatment in the form of group counseling with Assertive Techniques. Meanwhile, the control group did not experience an increase in self-disclosure because they were not provided with any services</w:t>
      </w:r>
      <w:r w:rsidR="005821A6" w:rsidRPr="005821A6">
        <w:t>.</w:t>
      </w:r>
    </w:p>
    <w:p w14:paraId="2205D3D8" w14:textId="00C68176" w:rsidR="005821A6" w:rsidRPr="005821A6" w:rsidRDefault="00576377" w:rsidP="005821A6">
      <w:pPr>
        <w:pStyle w:val="BodyText"/>
        <w:ind w:left="136" w:right="134" w:firstLine="720"/>
        <w:jc w:val="both"/>
      </w:pPr>
      <w:r w:rsidRPr="005821A6">
        <w:t xml:space="preserve">The Independent Test (Mann Whitney Test) showed that there was a difference between the </w:t>
      </w:r>
      <w:r w:rsidRPr="005821A6">
        <w:lastRenderedPageBreak/>
        <w:t xml:space="preserve">two groups, with the Asymp.Sig value of 0.004 &lt; 0.05 (5% error rate) and the Asymp.Sig value of the control group of 0.138 &gt; 0.05 (5% error rate). Based on the decision of the Mann Whitney test, if the Asymp.Sig value is less than 0.05, the hypothesis is accepted. Therefore, in accordance with the acquisition of the Asymp.Sig score, the hypothesis received is the hypothesis of the experimental group, namely, "There is an increase in self-openness of Yogyakarta State Junior High School students by providing counseling treatment for the Assertive Training </w:t>
      </w:r>
      <w:r w:rsidR="00FA7FBF">
        <w:t>g</w:t>
      </w:r>
      <w:r w:rsidRPr="005821A6">
        <w:t>roup".</w:t>
      </w:r>
    </w:p>
    <w:p w14:paraId="2C4AC927" w14:textId="77777777" w:rsidR="00F61E74" w:rsidRPr="00474995" w:rsidRDefault="00F61E74" w:rsidP="005821A6">
      <w:pPr>
        <w:spacing w:line="276" w:lineRule="auto"/>
        <w:jc w:val="both"/>
        <w:rPr>
          <w:sz w:val="20"/>
          <w:szCs w:val="20"/>
        </w:rPr>
      </w:pPr>
    </w:p>
    <w:p w14:paraId="4C139F8E" w14:textId="77777777" w:rsidR="00F61E74" w:rsidRDefault="00F61E74" w:rsidP="00F61E74">
      <w:pPr>
        <w:pStyle w:val="Heading1"/>
        <w:numPr>
          <w:ilvl w:val="0"/>
          <w:numId w:val="1"/>
        </w:numPr>
        <w:tabs>
          <w:tab w:val="left" w:pos="568"/>
        </w:tabs>
      </w:pPr>
      <w:r>
        <w:rPr>
          <w:spacing w:val="-2"/>
        </w:rPr>
        <w:t xml:space="preserve"> CONCLUSION</w:t>
      </w:r>
    </w:p>
    <w:p w14:paraId="1FA7E071" w14:textId="701A0F72" w:rsidR="005821A6" w:rsidRDefault="00FA7FBF" w:rsidP="005821A6">
      <w:pPr>
        <w:pStyle w:val="BodyText"/>
        <w:spacing w:before="1"/>
        <w:ind w:left="136" w:right="134" w:firstLine="720"/>
        <w:jc w:val="both"/>
      </w:pPr>
      <w:r w:rsidRPr="005821A6">
        <w:t>Based on the research that has been carried out, the researcher concluded that the condition of students' self-openness in both groups, namely the experimental group and the control group, is in the "Low" category. In the experimental group, after being given treatment in the form of group counseling with Assertive training techniques, there was a significant increase and increased to the "High" category, while in the control group that was not given any treatment, there was no change and students remained in the "Low" category. In accordance with the results of the Hypothesis Test that has been processed using 2 tests, namely the Paired Test (Wilcoxon Test) and the Independent Test (Mann Whitney Test), it was obtained that the results of the Wilcoxon Test of the experimental group with an Asymp.Sig value of 0.026 &lt; 0.05 so that Ha was accepted, while the control group had an Asymp Sig value of 0.056 &gt; 0.05 so that Ha was rejected. For the Mann Whitney Test, the experimental group had an Asymp.Sig value of 0.004 &lt; 0.05 so that Ha was accepted, while the control group had an Asymp.Sig value of 0.138 &gt; 0.05 so that Ha was rejected. Based on the results of the test, the hypothesis of the experimental group, namely "Effective Assertive Training Techniques to Increase Student Openness at Yogyakarta State Junior High School" was accepted</w:t>
      </w:r>
      <w:r w:rsidR="005821A6">
        <w:t>.</w:t>
      </w:r>
    </w:p>
    <w:p w14:paraId="26560C24" w14:textId="2207A82A" w:rsidR="00F61E74" w:rsidRDefault="00FA7FBF" w:rsidP="00C521A8">
      <w:pPr>
        <w:pStyle w:val="BodyText"/>
        <w:spacing w:before="1"/>
        <w:ind w:left="136" w:right="134" w:firstLine="720"/>
        <w:jc w:val="both"/>
      </w:pPr>
      <w:r w:rsidRPr="005821A6">
        <w:t xml:space="preserve">Based on the conclusion of the research results that have been carried out, suggestions can be put forward, namely it is recommended to students to maintain and continue to improve their interpersonal communication skills by always applying and practicing them in daily activities. School BK counselors or teachers are expected to resume actions with the </w:t>
      </w:r>
      <w:r w:rsidRPr="005821A6">
        <w:rPr>
          <w:i/>
          <w:iCs/>
        </w:rPr>
        <w:t>assertive training</w:t>
      </w:r>
      <w:r w:rsidRPr="005D5513">
        <w:t xml:space="preserve"> method that has been carried out by the researcher as a means to foster other students. School BK counselors or teachers are expected to be active in developing other methods as a means of providing guidance and counseling services for students. Efforts to improve interpersonal communication skills are carried out through </w:t>
      </w:r>
      <w:r w:rsidRPr="005D5513">
        <w:rPr>
          <w:i/>
          <w:iCs/>
        </w:rPr>
        <w:t>assertive training</w:t>
      </w:r>
      <w:r w:rsidRPr="005D5513">
        <w:t xml:space="preserve"> methods with situation conditioning and role playing. For further research development, it can be carried out with a variety of other methods that are more creative and innovative</w:t>
      </w:r>
      <w:r w:rsidR="005821A6">
        <w:t>.</w:t>
      </w:r>
    </w:p>
    <w:p w14:paraId="59F6338E" w14:textId="77777777" w:rsidR="00690951" w:rsidRDefault="00690951" w:rsidP="00C521A8">
      <w:pPr>
        <w:pStyle w:val="BodyText"/>
        <w:spacing w:before="1"/>
        <w:ind w:left="136" w:right="134" w:firstLine="720"/>
        <w:jc w:val="both"/>
      </w:pPr>
    </w:p>
    <w:p w14:paraId="7E496222" w14:textId="77777777" w:rsidR="00690951" w:rsidRDefault="00690951" w:rsidP="00C521A8">
      <w:pPr>
        <w:pStyle w:val="BodyText"/>
        <w:spacing w:before="1"/>
        <w:ind w:left="136" w:right="134" w:firstLine="720"/>
        <w:jc w:val="both"/>
      </w:pPr>
    </w:p>
    <w:p w14:paraId="4E1C9718" w14:textId="77777777" w:rsidR="00F61E74" w:rsidRPr="00C01A05" w:rsidRDefault="00F61E74" w:rsidP="00F61E74">
      <w:pPr>
        <w:pStyle w:val="Heading1"/>
        <w:spacing w:before="1" w:after="240"/>
        <w:ind w:left="0" w:firstLine="0"/>
        <w:jc w:val="both"/>
        <w:rPr>
          <w:spacing w:val="-2"/>
        </w:rPr>
      </w:pPr>
      <w:r>
        <w:rPr>
          <w:spacing w:val="-2"/>
        </w:rPr>
        <w:t>REFERENCES</w:t>
      </w:r>
    </w:p>
    <w:p w14:paraId="3DC375A7" w14:textId="0CF27636" w:rsidR="00EA2B5F" w:rsidRPr="00EA2B5F" w:rsidRDefault="00AE4FE3" w:rsidP="00EA2B5F">
      <w:pPr>
        <w:adjustRightInd w:val="0"/>
        <w:ind w:left="480" w:hanging="480"/>
        <w:jc w:val="both"/>
        <w:rPr>
          <w:rFonts w:cs="Times New Roman"/>
          <w:noProof/>
          <w:sz w:val="20"/>
          <w:szCs w:val="24"/>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00EA2B5F" w:rsidRPr="00EA2B5F">
        <w:rPr>
          <w:rFonts w:cs="Times New Roman"/>
          <w:noProof/>
          <w:sz w:val="20"/>
          <w:szCs w:val="24"/>
        </w:rPr>
        <w:t>Afu, M. O. (2023). Relationship between Insecurity , Depression and Students Academic Achievement in Nigeria</w:t>
      </w:r>
      <w:r w:rsidR="00EA2B5F" w:rsidRPr="00EA2B5F">
        <w:rPr>
          <w:rFonts w:ascii="Times New Roman" w:hAnsi="Times New Roman" w:cs="Times New Roman"/>
          <w:noProof/>
          <w:sz w:val="20"/>
          <w:szCs w:val="24"/>
        </w:rPr>
        <w:t> </w:t>
      </w:r>
      <w:r w:rsidR="00EA2B5F" w:rsidRPr="00EA2B5F">
        <w:rPr>
          <w:rFonts w:cs="Times New Roman"/>
          <w:noProof/>
          <w:sz w:val="20"/>
          <w:szCs w:val="24"/>
        </w:rPr>
        <w:t xml:space="preserve">: Implication for Guidance. </w:t>
      </w:r>
      <w:r w:rsidR="00EA2B5F" w:rsidRPr="00EA2B5F">
        <w:rPr>
          <w:rFonts w:cs="Times New Roman"/>
          <w:i/>
          <w:iCs/>
          <w:noProof/>
          <w:sz w:val="20"/>
          <w:szCs w:val="24"/>
        </w:rPr>
        <w:t>International Journal of Education and National Development</w:t>
      </w:r>
      <w:r w:rsidR="00EA2B5F" w:rsidRPr="00EA2B5F">
        <w:rPr>
          <w:rFonts w:cs="Times New Roman"/>
          <w:noProof/>
          <w:sz w:val="20"/>
          <w:szCs w:val="24"/>
        </w:rPr>
        <w:t xml:space="preserve">, </w:t>
      </w:r>
      <w:r w:rsidR="00EA2B5F" w:rsidRPr="00EA2B5F">
        <w:rPr>
          <w:rFonts w:cs="Times New Roman"/>
          <w:i/>
          <w:iCs/>
          <w:noProof/>
          <w:sz w:val="20"/>
          <w:szCs w:val="24"/>
        </w:rPr>
        <w:t>1</w:t>
      </w:r>
      <w:r w:rsidR="00EA2B5F" w:rsidRPr="00EA2B5F">
        <w:rPr>
          <w:rFonts w:cs="Times New Roman"/>
          <w:noProof/>
          <w:sz w:val="20"/>
          <w:szCs w:val="24"/>
        </w:rPr>
        <w:t>(3), 54–74.</w:t>
      </w:r>
    </w:p>
    <w:p w14:paraId="0E854ACF"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t xml:space="preserve">Aziz, A. N., Rahmatullah, A. S., &amp; Khilmiyah, A. (2023). Effects of Self-Compassion and Self-Disclosure on Mental Health through Spirituality: A Study on Adolescents in Orphanages. </w:t>
      </w:r>
      <w:r w:rsidRPr="00EA2B5F">
        <w:rPr>
          <w:rFonts w:cs="Times New Roman"/>
          <w:i/>
          <w:iCs/>
          <w:noProof/>
          <w:sz w:val="20"/>
          <w:szCs w:val="24"/>
        </w:rPr>
        <w:t>Islamic Guidance and Counseling Journal</w:t>
      </w:r>
      <w:r w:rsidRPr="00EA2B5F">
        <w:rPr>
          <w:rFonts w:cs="Times New Roman"/>
          <w:noProof/>
          <w:sz w:val="20"/>
          <w:szCs w:val="24"/>
        </w:rPr>
        <w:t xml:space="preserve">, </w:t>
      </w:r>
      <w:r w:rsidRPr="00EA2B5F">
        <w:rPr>
          <w:rFonts w:cs="Times New Roman"/>
          <w:i/>
          <w:iCs/>
          <w:noProof/>
          <w:sz w:val="20"/>
          <w:szCs w:val="24"/>
        </w:rPr>
        <w:t>6</w:t>
      </w:r>
      <w:r w:rsidRPr="00EA2B5F">
        <w:rPr>
          <w:rFonts w:cs="Times New Roman"/>
          <w:noProof/>
          <w:sz w:val="20"/>
          <w:szCs w:val="24"/>
        </w:rPr>
        <w:t>(2), 1–19. https://doi.org/10.25217/0020236395700</w:t>
      </w:r>
    </w:p>
    <w:p w14:paraId="2A939116"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t xml:space="preserve">Chen, Q., Zhang, Q., Zhao, S., &amp; Li, C. (2024). Trusting strangers: The benefits of reciprocal self-disclosure during online computer-mediated communication and mediating role of interpersonal liking. </w:t>
      </w:r>
      <w:r w:rsidRPr="00EA2B5F">
        <w:rPr>
          <w:rFonts w:cs="Times New Roman"/>
          <w:i/>
          <w:iCs/>
          <w:noProof/>
          <w:sz w:val="20"/>
          <w:szCs w:val="24"/>
        </w:rPr>
        <w:t>International Journal of Psychology</w:t>
      </w:r>
      <w:r w:rsidRPr="00EA2B5F">
        <w:rPr>
          <w:rFonts w:cs="Times New Roman"/>
          <w:noProof/>
          <w:sz w:val="20"/>
          <w:szCs w:val="24"/>
        </w:rPr>
        <w:t xml:space="preserve">, </w:t>
      </w:r>
      <w:r w:rsidRPr="00EA2B5F">
        <w:rPr>
          <w:rFonts w:cs="Times New Roman"/>
          <w:i/>
          <w:iCs/>
          <w:noProof/>
          <w:sz w:val="20"/>
          <w:szCs w:val="24"/>
        </w:rPr>
        <w:t>59</w:t>
      </w:r>
      <w:r w:rsidRPr="00EA2B5F">
        <w:rPr>
          <w:rFonts w:cs="Times New Roman"/>
          <w:noProof/>
          <w:sz w:val="20"/>
          <w:szCs w:val="24"/>
        </w:rPr>
        <w:t>(1), 143–154. https://doi.org/10.1002/ijop.12957</w:t>
      </w:r>
    </w:p>
    <w:p w14:paraId="7A31C112"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t xml:space="preserve">Efrat, A., &amp; Zaiț, A. (2024). The Effect of Personality Characteristics on the Development of Interpersonal Communication Skills Through One-Time Training. </w:t>
      </w:r>
      <w:r w:rsidRPr="00EA2B5F">
        <w:rPr>
          <w:rFonts w:cs="Times New Roman"/>
          <w:i/>
          <w:iCs/>
          <w:noProof/>
          <w:sz w:val="20"/>
          <w:szCs w:val="24"/>
        </w:rPr>
        <w:t>Scientific Annals of Economics and Business</w:t>
      </w:r>
      <w:r w:rsidRPr="00EA2B5F">
        <w:rPr>
          <w:rFonts w:cs="Times New Roman"/>
          <w:noProof/>
          <w:sz w:val="20"/>
          <w:szCs w:val="24"/>
        </w:rPr>
        <w:t xml:space="preserve">, </w:t>
      </w:r>
      <w:r w:rsidRPr="00EA2B5F">
        <w:rPr>
          <w:rFonts w:cs="Times New Roman"/>
          <w:i/>
          <w:iCs/>
          <w:noProof/>
          <w:sz w:val="20"/>
          <w:szCs w:val="24"/>
        </w:rPr>
        <w:t>71</w:t>
      </w:r>
      <w:r w:rsidRPr="00EA2B5F">
        <w:rPr>
          <w:rFonts w:cs="Times New Roman"/>
          <w:noProof/>
          <w:sz w:val="20"/>
          <w:szCs w:val="24"/>
        </w:rPr>
        <w:t>(2), 265–283. https://doi.org/10.47743/saeb-2024-0018</w:t>
      </w:r>
    </w:p>
    <w:p w14:paraId="61C8C5B3"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t xml:space="preserve">Gading, I. K. (2020). The Effectiveness of Behavioral Counseling as Intervention of Abasement, Aggression, and Endurance of High School Students. </w:t>
      </w:r>
      <w:r w:rsidRPr="00EA2B5F">
        <w:rPr>
          <w:rFonts w:cs="Times New Roman"/>
          <w:i/>
          <w:iCs/>
          <w:noProof/>
          <w:sz w:val="20"/>
          <w:szCs w:val="24"/>
        </w:rPr>
        <w:t>Jurnal Kajian Bimbingan Dan Konseling</w:t>
      </w:r>
      <w:r w:rsidRPr="00EA2B5F">
        <w:rPr>
          <w:rFonts w:cs="Times New Roman"/>
          <w:noProof/>
          <w:sz w:val="20"/>
          <w:szCs w:val="24"/>
        </w:rPr>
        <w:t xml:space="preserve">, </w:t>
      </w:r>
      <w:r w:rsidRPr="00EA2B5F">
        <w:rPr>
          <w:rFonts w:cs="Times New Roman"/>
          <w:i/>
          <w:iCs/>
          <w:noProof/>
          <w:sz w:val="20"/>
          <w:szCs w:val="24"/>
        </w:rPr>
        <w:t>5</w:t>
      </w:r>
      <w:r w:rsidRPr="00EA2B5F">
        <w:rPr>
          <w:rFonts w:cs="Times New Roman"/>
          <w:noProof/>
          <w:sz w:val="20"/>
          <w:szCs w:val="24"/>
        </w:rPr>
        <w:t>(4), 162–174. https://doi.org/10.17977/um001v5i42020p162</w:t>
      </w:r>
    </w:p>
    <w:p w14:paraId="6E554F19"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t xml:space="preserve">Golshiri, P., Mostofi, A., &amp; Rouzbahani, S. (2023). The effect of problem-solving and assertiveness training on self-esteem and mental health of female adolescents: a randomized clinical trial. </w:t>
      </w:r>
      <w:r w:rsidRPr="00EA2B5F">
        <w:rPr>
          <w:rFonts w:cs="Times New Roman"/>
          <w:i/>
          <w:iCs/>
          <w:noProof/>
          <w:sz w:val="20"/>
          <w:szCs w:val="24"/>
        </w:rPr>
        <w:t>BMC Psychology</w:t>
      </w:r>
      <w:r w:rsidRPr="00EA2B5F">
        <w:rPr>
          <w:rFonts w:cs="Times New Roman"/>
          <w:noProof/>
          <w:sz w:val="20"/>
          <w:szCs w:val="24"/>
        </w:rPr>
        <w:t xml:space="preserve">, </w:t>
      </w:r>
      <w:r w:rsidRPr="00EA2B5F">
        <w:rPr>
          <w:rFonts w:cs="Times New Roman"/>
          <w:i/>
          <w:iCs/>
          <w:noProof/>
          <w:sz w:val="20"/>
          <w:szCs w:val="24"/>
        </w:rPr>
        <w:t>11</w:t>
      </w:r>
      <w:r w:rsidRPr="00EA2B5F">
        <w:rPr>
          <w:rFonts w:cs="Times New Roman"/>
          <w:noProof/>
          <w:sz w:val="20"/>
          <w:szCs w:val="24"/>
        </w:rPr>
        <w:t>(1), 1–8. https://doi.org/10.1186/s40359-023-01154-x</w:t>
      </w:r>
    </w:p>
    <w:p w14:paraId="59C86193"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lastRenderedPageBreak/>
        <w:t xml:space="preserve">Hidayati, A., Wiryosutomo, H. W., Saputro, B., &amp; Kumalasari, R. (2024). </w:t>
      </w:r>
      <w:r w:rsidRPr="00EA2B5F">
        <w:rPr>
          <w:rFonts w:cs="Times New Roman"/>
          <w:i/>
          <w:iCs/>
          <w:noProof/>
          <w:sz w:val="20"/>
          <w:szCs w:val="24"/>
        </w:rPr>
        <w:t>Implementation Of Person-Centered Counseling In Cultural Diversity In Schools</w:t>
      </w:r>
      <w:r w:rsidRPr="00EA2B5F">
        <w:rPr>
          <w:rFonts w:cs="Times New Roman"/>
          <w:noProof/>
          <w:sz w:val="20"/>
          <w:szCs w:val="24"/>
        </w:rPr>
        <w:t xml:space="preserve">. </w:t>
      </w:r>
      <w:r w:rsidRPr="00EA2B5F">
        <w:rPr>
          <w:rFonts w:cs="Times New Roman"/>
          <w:i/>
          <w:iCs/>
          <w:noProof/>
          <w:sz w:val="20"/>
          <w:szCs w:val="24"/>
        </w:rPr>
        <w:t>30</w:t>
      </w:r>
      <w:r w:rsidRPr="00EA2B5F">
        <w:rPr>
          <w:rFonts w:cs="Times New Roman"/>
          <w:noProof/>
          <w:sz w:val="20"/>
          <w:szCs w:val="24"/>
        </w:rPr>
        <w:t>(5), 12255–12266. https://doi.org/10.53555/kuey.v30i5.5080</w:t>
      </w:r>
    </w:p>
    <w:p w14:paraId="77542907"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t xml:space="preserve">Joni Afri, Freddi Sarman, R. A. (2022). Improve Students’ Assertive Behavior using Assertive Training Techniques in Tenth Grade Students of Adhyaksa Jambi. </w:t>
      </w:r>
      <w:r w:rsidRPr="00EA2B5F">
        <w:rPr>
          <w:rFonts w:cs="Times New Roman"/>
          <w:i/>
          <w:iCs/>
          <w:noProof/>
          <w:sz w:val="20"/>
          <w:szCs w:val="24"/>
        </w:rPr>
        <w:t>Pedagogy Review</w:t>
      </w:r>
      <w:r w:rsidRPr="00EA2B5F">
        <w:rPr>
          <w:rFonts w:cs="Times New Roman"/>
          <w:noProof/>
          <w:sz w:val="20"/>
          <w:szCs w:val="24"/>
        </w:rPr>
        <w:t xml:space="preserve">, </w:t>
      </w:r>
      <w:r w:rsidRPr="00EA2B5F">
        <w:rPr>
          <w:rFonts w:cs="Times New Roman"/>
          <w:i/>
          <w:iCs/>
          <w:noProof/>
          <w:sz w:val="20"/>
          <w:szCs w:val="24"/>
        </w:rPr>
        <w:t>1</w:t>
      </w:r>
      <w:r w:rsidRPr="00EA2B5F">
        <w:rPr>
          <w:rFonts w:cs="Times New Roman"/>
          <w:noProof/>
          <w:sz w:val="20"/>
          <w:szCs w:val="24"/>
        </w:rPr>
        <w:t>(November), 55–61. https://imrecsjournal.com/journals/index.php/pedrev</w:t>
      </w:r>
    </w:p>
    <w:p w14:paraId="72B6EF92"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t xml:space="preserve">London, M., Sessa, V. I., &amp; Shelley, L. A. (2023). Developing Self-Awareness: Learning Processes for Self- and Interpersonal Growth. </w:t>
      </w:r>
      <w:r w:rsidRPr="00EA2B5F">
        <w:rPr>
          <w:rFonts w:cs="Times New Roman"/>
          <w:i/>
          <w:iCs/>
          <w:noProof/>
          <w:sz w:val="20"/>
          <w:szCs w:val="24"/>
        </w:rPr>
        <w:t>Annual Review of Organizational Psychology and Organizational Behavior</w:t>
      </w:r>
      <w:r w:rsidRPr="00EA2B5F">
        <w:rPr>
          <w:rFonts w:cs="Times New Roman"/>
          <w:noProof/>
          <w:sz w:val="20"/>
          <w:szCs w:val="24"/>
        </w:rPr>
        <w:t xml:space="preserve">, </w:t>
      </w:r>
      <w:r w:rsidRPr="00EA2B5F">
        <w:rPr>
          <w:rFonts w:cs="Times New Roman"/>
          <w:i/>
          <w:iCs/>
          <w:noProof/>
          <w:sz w:val="20"/>
          <w:szCs w:val="24"/>
        </w:rPr>
        <w:t>10</w:t>
      </w:r>
      <w:r w:rsidRPr="00EA2B5F">
        <w:rPr>
          <w:rFonts w:cs="Times New Roman"/>
          <w:noProof/>
          <w:sz w:val="20"/>
          <w:szCs w:val="24"/>
        </w:rPr>
        <w:t>, 261–288. https://doi.org/10.1146/annurev-orgpsych-120920-044531</w:t>
      </w:r>
    </w:p>
    <w:p w14:paraId="6F11A1F5"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t xml:space="preserve">Maayan Gutgeld-Dror, Nathaniel Laor, O. K.-M. (2023). Assertiveness in physicians’ interpersonal professional encounters: A scoping review. </w:t>
      </w:r>
      <w:r w:rsidRPr="00EA2B5F">
        <w:rPr>
          <w:rFonts w:cs="Times New Roman"/>
          <w:i/>
          <w:iCs/>
          <w:noProof/>
          <w:sz w:val="20"/>
          <w:szCs w:val="24"/>
        </w:rPr>
        <w:t>Medi ca l E Du ca Ti on i n Review</w:t>
      </w:r>
      <w:r w:rsidRPr="00EA2B5F">
        <w:rPr>
          <w:rFonts w:cs="Times New Roman"/>
          <w:noProof/>
          <w:sz w:val="20"/>
          <w:szCs w:val="24"/>
        </w:rPr>
        <w:t>. https://doi.org/DOI: 10.1111/medu.15222</w:t>
      </w:r>
    </w:p>
    <w:p w14:paraId="127F1FD4"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t xml:space="preserve">Mokadem, N., &amp; Shokr, E. A. (2021). Assertiveness training. </w:t>
      </w:r>
      <w:r w:rsidRPr="00EA2B5F">
        <w:rPr>
          <w:rFonts w:cs="Times New Roman"/>
          <w:i/>
          <w:iCs/>
          <w:noProof/>
          <w:sz w:val="20"/>
          <w:szCs w:val="24"/>
        </w:rPr>
        <w:t>International Journal of Advance Research in Nursing</w:t>
      </w:r>
      <w:r w:rsidRPr="00EA2B5F">
        <w:rPr>
          <w:rFonts w:cs="Times New Roman"/>
          <w:noProof/>
          <w:sz w:val="20"/>
          <w:szCs w:val="24"/>
        </w:rPr>
        <w:t xml:space="preserve">, </w:t>
      </w:r>
      <w:r w:rsidRPr="00EA2B5F">
        <w:rPr>
          <w:rFonts w:cs="Times New Roman"/>
          <w:i/>
          <w:iCs/>
          <w:noProof/>
          <w:sz w:val="20"/>
          <w:szCs w:val="24"/>
        </w:rPr>
        <w:t>4</w:t>
      </w:r>
      <w:r w:rsidRPr="00EA2B5F">
        <w:rPr>
          <w:rFonts w:cs="Times New Roman"/>
          <w:noProof/>
          <w:sz w:val="20"/>
          <w:szCs w:val="24"/>
        </w:rPr>
        <w:t>(3), 01–06. https://scholar.archive.org/work/7dgpsyc3dzd6nghdc3odqsjqtu/access/wayback/https://www.nursingjournal.net/article/view/172/4-1-49</w:t>
      </w:r>
    </w:p>
    <w:p w14:paraId="31F4CA2E"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t xml:space="preserve">Nouroozi, A., Etemadifar, S., Deris, F., &amp; Davoodvand, S. (2023). The effect of assertiveness-based empowerment on professional commitment and moral courage of nurses working in Shahrekord educational hospitals. </w:t>
      </w:r>
      <w:r w:rsidRPr="00EA2B5F">
        <w:rPr>
          <w:rFonts w:cs="Times New Roman"/>
          <w:i/>
          <w:iCs/>
          <w:noProof/>
          <w:sz w:val="20"/>
          <w:szCs w:val="24"/>
        </w:rPr>
        <w:t>Journal of Multidisciplinary Care</w:t>
      </w:r>
      <w:r w:rsidRPr="00EA2B5F">
        <w:rPr>
          <w:rFonts w:cs="Times New Roman"/>
          <w:noProof/>
          <w:sz w:val="20"/>
          <w:szCs w:val="24"/>
        </w:rPr>
        <w:t xml:space="preserve">, </w:t>
      </w:r>
      <w:r w:rsidRPr="00EA2B5F">
        <w:rPr>
          <w:rFonts w:cs="Times New Roman"/>
          <w:i/>
          <w:iCs/>
          <w:noProof/>
          <w:sz w:val="20"/>
          <w:szCs w:val="24"/>
        </w:rPr>
        <w:t>12</w:t>
      </w:r>
      <w:r w:rsidRPr="00EA2B5F">
        <w:rPr>
          <w:rFonts w:cs="Times New Roman"/>
          <w:noProof/>
          <w:sz w:val="20"/>
          <w:szCs w:val="24"/>
        </w:rPr>
        <w:t>(3), 111–116. https://doi.org/10.34172/jmdc.1230</w:t>
      </w:r>
    </w:p>
    <w:p w14:paraId="16FD091A"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t xml:space="preserve">Otu, M. S. (2024). Effect of purpose-based career coaching on career decision-making. </w:t>
      </w:r>
      <w:r w:rsidRPr="00EA2B5F">
        <w:rPr>
          <w:rFonts w:cs="Times New Roman"/>
          <w:i/>
          <w:iCs/>
          <w:noProof/>
          <w:sz w:val="20"/>
          <w:szCs w:val="24"/>
        </w:rPr>
        <w:t>Current Psychology</w:t>
      </w:r>
      <w:r w:rsidRPr="00EA2B5F">
        <w:rPr>
          <w:rFonts w:cs="Times New Roman"/>
          <w:noProof/>
          <w:sz w:val="20"/>
          <w:szCs w:val="24"/>
        </w:rPr>
        <w:t xml:space="preserve">, </w:t>
      </w:r>
      <w:r w:rsidRPr="00EA2B5F">
        <w:rPr>
          <w:rFonts w:cs="Times New Roman"/>
          <w:i/>
          <w:iCs/>
          <w:noProof/>
          <w:sz w:val="20"/>
          <w:szCs w:val="24"/>
        </w:rPr>
        <w:t>June</w:t>
      </w:r>
      <w:r w:rsidRPr="00EA2B5F">
        <w:rPr>
          <w:rFonts w:cs="Times New Roman"/>
          <w:noProof/>
          <w:sz w:val="20"/>
          <w:szCs w:val="24"/>
        </w:rPr>
        <w:t>. https://doi.org/10.1007/s12144-024-06247-3</w:t>
      </w:r>
    </w:p>
    <w:p w14:paraId="0452DB61"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t xml:space="preserve">Patel, N. K. (2023). The Study of Correlation Between Self-Disclosure and Students Liking of Secondary School Teachers. </w:t>
      </w:r>
      <w:r w:rsidRPr="00EA2B5F">
        <w:rPr>
          <w:rFonts w:cs="Times New Roman"/>
          <w:i/>
          <w:iCs/>
          <w:noProof/>
          <w:sz w:val="20"/>
          <w:szCs w:val="24"/>
        </w:rPr>
        <w:t>Research Reflectica</w:t>
      </w:r>
      <w:r w:rsidRPr="00EA2B5F">
        <w:rPr>
          <w:rFonts w:cs="Times New Roman"/>
          <w:noProof/>
          <w:sz w:val="20"/>
          <w:szCs w:val="24"/>
        </w:rPr>
        <w:t xml:space="preserve">, </w:t>
      </w:r>
      <w:r w:rsidRPr="00EA2B5F">
        <w:rPr>
          <w:rFonts w:cs="Times New Roman"/>
          <w:i/>
          <w:iCs/>
          <w:noProof/>
          <w:sz w:val="20"/>
          <w:szCs w:val="24"/>
        </w:rPr>
        <w:t>1</w:t>
      </w:r>
      <w:r w:rsidRPr="00EA2B5F">
        <w:rPr>
          <w:rFonts w:cs="Times New Roman"/>
          <w:noProof/>
          <w:sz w:val="20"/>
          <w:szCs w:val="24"/>
        </w:rPr>
        <w:t>(March), 1–11. www.researchgate.net/publication/376851433</w:t>
      </w:r>
    </w:p>
    <w:p w14:paraId="79B6BCCD"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t xml:space="preserve">Rachwal, F., &amp; Gredecki, N. (2024). A Phenomenological Investigation into the Use of Therapist Self-disclosure in Compassion-Focused Therapy With Forensic Clients. </w:t>
      </w:r>
      <w:r w:rsidRPr="00EA2B5F">
        <w:rPr>
          <w:rFonts w:cs="Times New Roman"/>
          <w:i/>
          <w:iCs/>
          <w:noProof/>
          <w:sz w:val="20"/>
          <w:szCs w:val="24"/>
        </w:rPr>
        <w:t>International Journal of Offender Therapy and Comparative Criminology</w:t>
      </w:r>
      <w:r w:rsidRPr="00EA2B5F">
        <w:rPr>
          <w:rFonts w:cs="Times New Roman"/>
          <w:noProof/>
          <w:sz w:val="20"/>
          <w:szCs w:val="24"/>
        </w:rPr>
        <w:t>. https://doi.org/10.1177/0306624X241227409</w:t>
      </w:r>
    </w:p>
    <w:p w14:paraId="7275F6E3"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t xml:space="preserve">Rahman, F., Nurmalasari, Y., Aminah, S., &amp; Taufiq, A. (2022). Professional Identity in Guidance and Counseling: The Perspective of Prospective Counselors. </w:t>
      </w:r>
      <w:r w:rsidRPr="00EA2B5F">
        <w:rPr>
          <w:rFonts w:cs="Times New Roman"/>
          <w:i/>
          <w:iCs/>
          <w:noProof/>
          <w:sz w:val="20"/>
          <w:szCs w:val="24"/>
        </w:rPr>
        <w:t>Jurnal Kajian Bimbingan Dan Konseling</w:t>
      </w:r>
      <w:r w:rsidRPr="00EA2B5F">
        <w:rPr>
          <w:rFonts w:cs="Times New Roman"/>
          <w:noProof/>
          <w:sz w:val="20"/>
          <w:szCs w:val="24"/>
        </w:rPr>
        <w:t xml:space="preserve">, </w:t>
      </w:r>
      <w:r w:rsidRPr="00EA2B5F">
        <w:rPr>
          <w:rFonts w:cs="Times New Roman"/>
          <w:i/>
          <w:iCs/>
          <w:noProof/>
          <w:sz w:val="20"/>
          <w:szCs w:val="24"/>
        </w:rPr>
        <w:t>7</w:t>
      </w:r>
      <w:r w:rsidRPr="00EA2B5F">
        <w:rPr>
          <w:rFonts w:cs="Times New Roman"/>
          <w:noProof/>
          <w:sz w:val="20"/>
          <w:szCs w:val="24"/>
        </w:rPr>
        <w:t>(2), 71–80. https://doi.org/10.17977/um001v7i22022p71-80</w:t>
      </w:r>
    </w:p>
    <w:p w14:paraId="328D4A64"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t xml:space="preserve">Santos, S. C., Parnell, R., Abo Kanon, H., Pattinson, E., Pitsikali, A., &amp; Sarhan, H. (2024). Nice To Get Some Alone Time’: Children’S Spatial Negotiation of Alone Time Needs in the Family Home. </w:t>
      </w:r>
      <w:r w:rsidRPr="00EA2B5F">
        <w:rPr>
          <w:rFonts w:cs="Times New Roman"/>
          <w:i/>
          <w:iCs/>
          <w:noProof/>
          <w:sz w:val="20"/>
          <w:szCs w:val="24"/>
        </w:rPr>
        <w:t>Children’s Geographies</w:t>
      </w:r>
      <w:r w:rsidRPr="00EA2B5F">
        <w:rPr>
          <w:rFonts w:cs="Times New Roman"/>
          <w:noProof/>
          <w:sz w:val="20"/>
          <w:szCs w:val="24"/>
        </w:rPr>
        <w:t>, 513–529. https://doi.org/10.1080/14733285.2024.2310566</w:t>
      </w:r>
    </w:p>
    <w:p w14:paraId="716BB5C4"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t xml:space="preserve">Sari, A. F., &amp; Ayriza, Y. (2021). The Development Design of Group Counseling With Behavioral Contract Technique To Reduce Students’ Academic Procrastination Behavior. </w:t>
      </w:r>
      <w:r w:rsidRPr="00EA2B5F">
        <w:rPr>
          <w:rFonts w:cs="Times New Roman"/>
          <w:i/>
          <w:iCs/>
          <w:noProof/>
          <w:sz w:val="20"/>
          <w:szCs w:val="24"/>
        </w:rPr>
        <w:t>Edunesia</w:t>
      </w:r>
      <w:r w:rsidRPr="00EA2B5F">
        <w:rPr>
          <w:rFonts w:ascii="Times New Roman" w:hAnsi="Times New Roman" w:cs="Times New Roman"/>
          <w:i/>
          <w:iCs/>
          <w:noProof/>
          <w:sz w:val="20"/>
          <w:szCs w:val="24"/>
        </w:rPr>
        <w:t> </w:t>
      </w:r>
      <w:r w:rsidRPr="00EA2B5F">
        <w:rPr>
          <w:rFonts w:cs="Times New Roman"/>
          <w:i/>
          <w:iCs/>
          <w:noProof/>
          <w:sz w:val="20"/>
          <w:szCs w:val="24"/>
        </w:rPr>
        <w:t>: Jurnal Ilmiah Pendidikan</w:t>
      </w:r>
      <w:r w:rsidRPr="00EA2B5F">
        <w:rPr>
          <w:rFonts w:cs="Times New Roman"/>
          <w:noProof/>
          <w:sz w:val="20"/>
          <w:szCs w:val="24"/>
        </w:rPr>
        <w:t xml:space="preserve">, </w:t>
      </w:r>
      <w:r w:rsidRPr="00EA2B5F">
        <w:rPr>
          <w:rFonts w:cs="Times New Roman"/>
          <w:i/>
          <w:iCs/>
          <w:noProof/>
          <w:sz w:val="20"/>
          <w:szCs w:val="24"/>
        </w:rPr>
        <w:t>2</w:t>
      </w:r>
      <w:r w:rsidRPr="00EA2B5F">
        <w:rPr>
          <w:rFonts w:cs="Times New Roman"/>
          <w:noProof/>
          <w:sz w:val="20"/>
          <w:szCs w:val="24"/>
        </w:rPr>
        <w:t>(1), 189–199. https://doi.org/10.51276/edu.v2i1.113</w:t>
      </w:r>
    </w:p>
    <w:p w14:paraId="4C291F6E"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t xml:space="preserve">Travis, Sophia, E. (2022). Many Hands Make Light Work: Group Therapy on College Campuses is Efficient, Effective, Enticing, and Essential. </w:t>
      </w:r>
      <w:r w:rsidRPr="00EA2B5F">
        <w:rPr>
          <w:rFonts w:cs="Times New Roman"/>
          <w:i/>
          <w:iCs/>
          <w:noProof/>
          <w:sz w:val="20"/>
          <w:szCs w:val="24"/>
        </w:rPr>
        <w:t>Journal of College Student Psychotherapy</w:t>
      </w:r>
      <w:r w:rsidRPr="00EA2B5F">
        <w:rPr>
          <w:rFonts w:cs="Times New Roman"/>
          <w:noProof/>
          <w:sz w:val="20"/>
          <w:szCs w:val="24"/>
        </w:rPr>
        <w:t>. https://doi.org/https://doi.org/10.1080/87568225.2022.2155600</w:t>
      </w:r>
    </w:p>
    <w:p w14:paraId="60A7A948"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t xml:space="preserve">Wenny Widiasti, A. S. (2024). Effectiveness of Group Counseling Services To Help Students. </w:t>
      </w:r>
      <w:r w:rsidRPr="00EA2B5F">
        <w:rPr>
          <w:rFonts w:cs="Times New Roman"/>
          <w:i/>
          <w:iCs/>
          <w:noProof/>
          <w:sz w:val="20"/>
          <w:szCs w:val="24"/>
        </w:rPr>
        <w:t>Jurnal Pendidikan Islam Dan Multikulturalisme</w:t>
      </w:r>
      <w:r w:rsidRPr="00EA2B5F">
        <w:rPr>
          <w:rFonts w:cs="Times New Roman"/>
          <w:noProof/>
          <w:sz w:val="20"/>
          <w:szCs w:val="24"/>
        </w:rPr>
        <w:t xml:space="preserve">, </w:t>
      </w:r>
      <w:r w:rsidRPr="00EA2B5F">
        <w:rPr>
          <w:rFonts w:cs="Times New Roman"/>
          <w:i/>
          <w:iCs/>
          <w:noProof/>
          <w:sz w:val="20"/>
          <w:szCs w:val="24"/>
        </w:rPr>
        <w:t>6</w:t>
      </w:r>
      <w:r w:rsidRPr="00EA2B5F">
        <w:rPr>
          <w:rFonts w:cs="Times New Roman"/>
          <w:noProof/>
          <w:sz w:val="20"/>
          <w:szCs w:val="24"/>
        </w:rPr>
        <w:t>(2), 174–185. https://doi.org/10.37680/scaffolding.v6i2.5618</w:t>
      </w:r>
    </w:p>
    <w:p w14:paraId="1B1625B2" w14:textId="77777777" w:rsidR="00EA2B5F" w:rsidRPr="00EA2B5F" w:rsidRDefault="00EA2B5F" w:rsidP="00EA2B5F">
      <w:pPr>
        <w:adjustRightInd w:val="0"/>
        <w:ind w:left="480" w:hanging="480"/>
        <w:jc w:val="both"/>
        <w:rPr>
          <w:rFonts w:cs="Times New Roman"/>
          <w:noProof/>
          <w:sz w:val="20"/>
          <w:szCs w:val="24"/>
        </w:rPr>
      </w:pPr>
      <w:r w:rsidRPr="00EA2B5F">
        <w:rPr>
          <w:rFonts w:cs="Times New Roman"/>
          <w:noProof/>
          <w:sz w:val="20"/>
          <w:szCs w:val="24"/>
        </w:rPr>
        <w:t xml:space="preserve">Wylie, M. S., De France, K., &amp; Hollenstein, T. (2023). Adolescents suppress emotional expression more with peers compared to parents and less when they feel close to others. </w:t>
      </w:r>
      <w:r w:rsidRPr="00EA2B5F">
        <w:rPr>
          <w:rFonts w:cs="Times New Roman"/>
          <w:i/>
          <w:iCs/>
          <w:noProof/>
          <w:sz w:val="20"/>
          <w:szCs w:val="24"/>
        </w:rPr>
        <w:t>International Journal of Behavioral Development</w:t>
      </w:r>
      <w:r w:rsidRPr="00EA2B5F">
        <w:rPr>
          <w:rFonts w:cs="Times New Roman"/>
          <w:noProof/>
          <w:sz w:val="20"/>
          <w:szCs w:val="24"/>
        </w:rPr>
        <w:t xml:space="preserve">, </w:t>
      </w:r>
      <w:r w:rsidRPr="00EA2B5F">
        <w:rPr>
          <w:rFonts w:cs="Times New Roman"/>
          <w:i/>
          <w:iCs/>
          <w:noProof/>
          <w:sz w:val="20"/>
          <w:szCs w:val="24"/>
        </w:rPr>
        <w:t>47</w:t>
      </w:r>
      <w:r w:rsidRPr="00EA2B5F">
        <w:rPr>
          <w:rFonts w:cs="Times New Roman"/>
          <w:noProof/>
          <w:sz w:val="20"/>
          <w:szCs w:val="24"/>
        </w:rPr>
        <w:t>(1), 1–8. https://doi.org/10.1177/01650254221132777</w:t>
      </w:r>
    </w:p>
    <w:p w14:paraId="3BB0DEC7" w14:textId="77777777" w:rsidR="00EA2B5F" w:rsidRPr="00EA2B5F" w:rsidRDefault="00EA2B5F" w:rsidP="00EA2B5F">
      <w:pPr>
        <w:adjustRightInd w:val="0"/>
        <w:ind w:left="480" w:hanging="480"/>
        <w:jc w:val="both"/>
        <w:rPr>
          <w:noProof/>
          <w:sz w:val="20"/>
        </w:rPr>
      </w:pPr>
      <w:r w:rsidRPr="00EA2B5F">
        <w:rPr>
          <w:rFonts w:cs="Times New Roman"/>
          <w:noProof/>
          <w:sz w:val="20"/>
          <w:szCs w:val="24"/>
        </w:rPr>
        <w:t xml:space="preserve">Yosep, I., Suryani, S., Mediani, H. S., Mardhiyah, A., Maulana, I., Hernawaty, T., &amp; Hazmi, H. (2024). A Scoping Review of Assertiveness Therapy for Reducing Bullying Behavior and Its Impacts Among Adolescents. </w:t>
      </w:r>
      <w:r w:rsidRPr="00EA2B5F">
        <w:rPr>
          <w:rFonts w:cs="Times New Roman"/>
          <w:i/>
          <w:iCs/>
          <w:noProof/>
          <w:sz w:val="20"/>
          <w:szCs w:val="24"/>
        </w:rPr>
        <w:t>Journal of Multidisciplinary Healthcare</w:t>
      </w:r>
      <w:r w:rsidRPr="00EA2B5F">
        <w:rPr>
          <w:rFonts w:cs="Times New Roman"/>
          <w:noProof/>
          <w:sz w:val="20"/>
          <w:szCs w:val="24"/>
        </w:rPr>
        <w:t xml:space="preserve">, </w:t>
      </w:r>
      <w:r w:rsidRPr="00EA2B5F">
        <w:rPr>
          <w:rFonts w:cs="Times New Roman"/>
          <w:i/>
          <w:iCs/>
          <w:noProof/>
          <w:sz w:val="20"/>
          <w:szCs w:val="24"/>
        </w:rPr>
        <w:t>17</w:t>
      </w:r>
      <w:r w:rsidRPr="00EA2B5F">
        <w:rPr>
          <w:rFonts w:cs="Times New Roman"/>
          <w:noProof/>
          <w:sz w:val="20"/>
          <w:szCs w:val="24"/>
        </w:rPr>
        <w:t>, 1777–1790. https://doi.org/10.2147/JMDH.S460343</w:t>
      </w:r>
    </w:p>
    <w:p w14:paraId="76BA99ED" w14:textId="03DAF0F1" w:rsidR="00E16874" w:rsidRPr="002D7B97" w:rsidRDefault="00AE4FE3" w:rsidP="00EA2B5F">
      <w:pPr>
        <w:spacing w:line="276" w:lineRule="auto"/>
        <w:jc w:val="both"/>
        <w:rPr>
          <w:sz w:val="20"/>
          <w:szCs w:val="20"/>
        </w:rPr>
      </w:pPr>
      <w:r>
        <w:rPr>
          <w:sz w:val="20"/>
          <w:szCs w:val="20"/>
        </w:rPr>
        <w:fldChar w:fldCharType="end"/>
      </w:r>
    </w:p>
    <w:sectPr w:rsidR="00E16874" w:rsidRPr="002D7B97" w:rsidSect="00F61E74">
      <w:headerReference w:type="default" r:id="rId15"/>
      <w:footerReference w:type="default" r:id="rId16"/>
      <w:pgSz w:w="11910" w:h="16840"/>
      <w:pgMar w:top="1140" w:right="1300" w:bottom="860" w:left="1300" w:header="903" w:footer="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64C9C" w14:textId="77777777" w:rsidR="004C15E8" w:rsidRDefault="004C15E8">
      <w:r>
        <w:separator/>
      </w:r>
    </w:p>
  </w:endnote>
  <w:endnote w:type="continuationSeparator" w:id="0">
    <w:p w14:paraId="168BB1AB" w14:textId="77777777" w:rsidR="004C15E8" w:rsidRDefault="004C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9FC13" w14:textId="77777777" w:rsidR="00613D0E" w:rsidRDefault="00613D0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DB08A" w14:textId="77777777" w:rsidR="004C15E8" w:rsidRDefault="004C15E8">
      <w:r>
        <w:separator/>
      </w:r>
    </w:p>
  </w:footnote>
  <w:footnote w:type="continuationSeparator" w:id="0">
    <w:p w14:paraId="4C2A6671" w14:textId="77777777" w:rsidR="004C15E8" w:rsidRDefault="004C1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9408A" w14:textId="77777777" w:rsidR="00613D0E" w:rsidRDefault="00000000">
    <w:pPr>
      <w:pStyle w:val="BodyText"/>
      <w:spacing w:line="14" w:lineRule="auto"/>
    </w:pPr>
    <w:r>
      <w:rPr>
        <w:noProof/>
      </w:rPr>
      <mc:AlternateContent>
        <mc:Choice Requires="wps">
          <w:drawing>
            <wp:anchor distT="0" distB="0" distL="0" distR="0" simplePos="0" relativeHeight="251659264" behindDoc="1" locked="0" layoutInCell="1" allowOverlap="1" wp14:anchorId="7A41F1DB" wp14:editId="4EE85D1D">
              <wp:simplePos x="0" y="0"/>
              <wp:positionH relativeFrom="page">
                <wp:posOffset>922655</wp:posOffset>
              </wp:positionH>
              <wp:positionV relativeFrom="page">
                <wp:posOffset>731519</wp:posOffset>
              </wp:positionV>
              <wp:extent cx="561594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5940" cy="1270"/>
                      </a:xfrm>
                      <a:custGeom>
                        <a:avLst/>
                        <a:gdLst/>
                        <a:ahLst/>
                        <a:cxnLst/>
                        <a:rect l="l" t="t" r="r" b="b"/>
                        <a:pathLst>
                          <a:path w="5615940">
                            <a:moveTo>
                              <a:pt x="0" y="0"/>
                            </a:moveTo>
                            <a:lnTo>
                              <a:pt x="561594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D63618" id="Graphic 5" o:spid="_x0000_s1026" style="position:absolute;margin-left:72.65pt;margin-top:57.6pt;width:442.2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5615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qBEAIAAFsEAAAOAAAAZHJzL2Uyb0RvYy54bWysVMFu2zAMvQ/YPwi6L06CpV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uLiZLW4/cr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" path="m,l5615940,e" filled="f">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348F36F" wp14:editId="60AFB141">
              <wp:simplePos x="0" y="0"/>
              <wp:positionH relativeFrom="page">
                <wp:posOffset>902017</wp:posOffset>
              </wp:positionH>
              <wp:positionV relativeFrom="page">
                <wp:posOffset>560635</wp:posOffset>
              </wp:positionV>
              <wp:extent cx="2479675" cy="1289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9675" cy="128905"/>
                      </a:xfrm>
                      <a:prstGeom prst="rect">
                        <a:avLst/>
                      </a:prstGeom>
                    </wps:spPr>
                    <wps:txbx>
                      <w:txbxContent>
                        <w:p w14:paraId="18CAB349" w14:textId="77777777" w:rsidR="00613D0E" w:rsidRDefault="00000000">
                          <w:pPr>
                            <w:spacing w:line="185" w:lineRule="exact"/>
                            <w:ind w:left="20"/>
                            <w:rPr>
                              <w:i/>
                              <w:sz w:val="16"/>
                            </w:rPr>
                          </w:pPr>
                          <w:r>
                            <w:rPr>
                              <w:i/>
                              <w:sz w:val="16"/>
                            </w:rPr>
                            <w:t>Al-Ishlah: Journal of Education,</w:t>
                          </w:r>
                        </w:p>
                      </w:txbxContent>
                    </wps:txbx>
                    <wps:bodyPr wrap="square" lIns="0" tIns="0" rIns="0" bIns="0" rtlCol="0">
                      <a:noAutofit/>
                    </wps:bodyPr>
                  </wps:wsp>
                </a:graphicData>
              </a:graphic>
            </wp:anchor>
          </w:drawing>
        </mc:Choice>
        <mc:Fallback>
          <w:pict>
            <v:shapetype w14:anchorId="4348F36F" id="_x0000_t202" coordsize="21600,21600" o:spt="202" path="m,l,21600r21600,l21600,xe">
              <v:stroke joinstyle="miter"/>
              <v:path gradientshapeok="t" o:connecttype="rect"/>
            </v:shapetype>
            <v:shape id="Textbox 6" o:spid="_x0000_s1026" type="#_x0000_t202" style="position:absolute;margin-left:71pt;margin-top:44.15pt;width:195.25pt;height:10.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" filled="f" stroked="f">
              <v:textbox inset="0,0,0,0">
                <w:txbxContent>
                  <w:p w14:paraId="18CAB349" w14:textId="77777777" w:rsidR="00613D0E" w:rsidRDefault="00000000">
                    <w:pPr>
                      <w:spacing w:line="185" w:lineRule="exact"/>
                      <w:ind w:left="20"/>
                      <w:rPr>
                        <w:i/>
                        <w:sz w:val="16"/>
                      </w:rPr>
                    </w:pPr>
                    <w:r>
                      <w:rPr>
                        <w:i/>
                        <w:sz w:val="16"/>
                      </w:rPr>
                      <w:t>Al-Ishlah: Journal of Education,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A70A0"/>
    <w:multiLevelType w:val="hybridMultilevel"/>
    <w:tmpl w:val="D76CF6E8"/>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1FCD3C7F"/>
    <w:multiLevelType w:val="hybridMultilevel"/>
    <w:tmpl w:val="E40C361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5602ABE"/>
    <w:multiLevelType w:val="hybridMultilevel"/>
    <w:tmpl w:val="2A62385E"/>
    <w:lvl w:ilvl="0" w:tplc="D0BC53AA">
      <w:start w:val="1"/>
      <w:numFmt w:val="decimal"/>
      <w:lvlText w:val="%1."/>
      <w:lvlJc w:val="left"/>
      <w:pPr>
        <w:ind w:left="720" w:hanging="360"/>
      </w:pPr>
      <w:rPr>
        <w:rFonts w:hint="default"/>
        <w:b/>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13655E9"/>
    <w:multiLevelType w:val="hybridMultilevel"/>
    <w:tmpl w:val="8F0647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77A3CC5"/>
    <w:multiLevelType w:val="hybridMultilevel"/>
    <w:tmpl w:val="63B0C13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5CFF7F43"/>
    <w:multiLevelType w:val="hybridMultilevel"/>
    <w:tmpl w:val="0E9E295A"/>
    <w:lvl w:ilvl="0" w:tplc="A59CEDDC">
      <w:start w:val="1"/>
      <w:numFmt w:val="decimal"/>
      <w:lvlText w:val="%1."/>
      <w:lvlJc w:val="left"/>
      <w:pPr>
        <w:ind w:left="568" w:hanging="428"/>
      </w:pPr>
      <w:rPr>
        <w:rFonts w:ascii="Palatino Linotype" w:eastAsia="Palatino Linotype" w:hAnsi="Palatino Linotype" w:cs="Palatino Linotype" w:hint="default"/>
        <w:b/>
        <w:bCs/>
        <w:i w:val="0"/>
        <w:iCs w:val="0"/>
        <w:spacing w:val="0"/>
        <w:w w:val="100"/>
        <w:sz w:val="20"/>
        <w:szCs w:val="20"/>
        <w:lang w:val="en-US" w:eastAsia="en-US" w:bidi="ar-SA"/>
      </w:rPr>
    </w:lvl>
    <w:lvl w:ilvl="1" w:tplc="9DD47D44">
      <w:numFmt w:val="bullet"/>
      <w:lvlText w:val="•"/>
      <w:lvlJc w:val="left"/>
      <w:pPr>
        <w:ind w:left="1434" w:hanging="428"/>
      </w:pPr>
      <w:rPr>
        <w:rFonts w:hint="default"/>
        <w:lang w:val="en-US" w:eastAsia="en-US" w:bidi="ar-SA"/>
      </w:rPr>
    </w:lvl>
    <w:lvl w:ilvl="2" w:tplc="4146A126">
      <w:numFmt w:val="bullet"/>
      <w:lvlText w:val="•"/>
      <w:lvlJc w:val="left"/>
      <w:pPr>
        <w:ind w:left="2309" w:hanging="428"/>
      </w:pPr>
      <w:rPr>
        <w:rFonts w:hint="default"/>
        <w:lang w:val="en-US" w:eastAsia="en-US" w:bidi="ar-SA"/>
      </w:rPr>
    </w:lvl>
    <w:lvl w:ilvl="3" w:tplc="B6DC96B6">
      <w:numFmt w:val="bullet"/>
      <w:lvlText w:val="•"/>
      <w:lvlJc w:val="left"/>
      <w:pPr>
        <w:ind w:left="3184" w:hanging="428"/>
      </w:pPr>
      <w:rPr>
        <w:rFonts w:hint="default"/>
        <w:lang w:val="en-US" w:eastAsia="en-US" w:bidi="ar-SA"/>
      </w:rPr>
    </w:lvl>
    <w:lvl w:ilvl="4" w:tplc="298AF220">
      <w:numFmt w:val="bullet"/>
      <w:lvlText w:val="•"/>
      <w:lvlJc w:val="left"/>
      <w:pPr>
        <w:ind w:left="4059" w:hanging="428"/>
      </w:pPr>
      <w:rPr>
        <w:rFonts w:hint="default"/>
        <w:lang w:val="en-US" w:eastAsia="en-US" w:bidi="ar-SA"/>
      </w:rPr>
    </w:lvl>
    <w:lvl w:ilvl="5" w:tplc="5C102C74">
      <w:numFmt w:val="bullet"/>
      <w:lvlText w:val="•"/>
      <w:lvlJc w:val="left"/>
      <w:pPr>
        <w:ind w:left="4934" w:hanging="428"/>
      </w:pPr>
      <w:rPr>
        <w:rFonts w:hint="default"/>
        <w:lang w:val="en-US" w:eastAsia="en-US" w:bidi="ar-SA"/>
      </w:rPr>
    </w:lvl>
    <w:lvl w:ilvl="6" w:tplc="C0AC1386">
      <w:numFmt w:val="bullet"/>
      <w:lvlText w:val="•"/>
      <w:lvlJc w:val="left"/>
      <w:pPr>
        <w:ind w:left="5808" w:hanging="428"/>
      </w:pPr>
      <w:rPr>
        <w:rFonts w:hint="default"/>
        <w:lang w:val="en-US" w:eastAsia="en-US" w:bidi="ar-SA"/>
      </w:rPr>
    </w:lvl>
    <w:lvl w:ilvl="7" w:tplc="5BBA4E5A">
      <w:numFmt w:val="bullet"/>
      <w:lvlText w:val="•"/>
      <w:lvlJc w:val="left"/>
      <w:pPr>
        <w:ind w:left="6683" w:hanging="428"/>
      </w:pPr>
      <w:rPr>
        <w:rFonts w:hint="default"/>
        <w:lang w:val="en-US" w:eastAsia="en-US" w:bidi="ar-SA"/>
      </w:rPr>
    </w:lvl>
    <w:lvl w:ilvl="8" w:tplc="636CA08C">
      <w:numFmt w:val="bullet"/>
      <w:lvlText w:val="•"/>
      <w:lvlJc w:val="left"/>
      <w:pPr>
        <w:ind w:left="7558" w:hanging="428"/>
      </w:pPr>
      <w:rPr>
        <w:rFonts w:hint="default"/>
        <w:lang w:val="en-US" w:eastAsia="en-US" w:bidi="ar-SA"/>
      </w:rPr>
    </w:lvl>
  </w:abstractNum>
  <w:abstractNum w:abstractNumId="6" w15:restartNumberingAfterBreak="0">
    <w:nsid w:val="604323B3"/>
    <w:multiLevelType w:val="hybridMultilevel"/>
    <w:tmpl w:val="A7F6285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7656111">
    <w:abstractNumId w:val="5"/>
  </w:num>
  <w:num w:numId="2" w16cid:durableId="20358811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1552207">
    <w:abstractNumId w:val="0"/>
  </w:num>
  <w:num w:numId="4" w16cid:durableId="1301111396">
    <w:abstractNumId w:val="2"/>
  </w:num>
  <w:num w:numId="5" w16cid:durableId="559905362">
    <w:abstractNumId w:val="1"/>
  </w:num>
  <w:num w:numId="6" w16cid:durableId="1602058196">
    <w:abstractNumId w:val="3"/>
  </w:num>
  <w:num w:numId="7" w16cid:durableId="886645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E74"/>
    <w:rsid w:val="000028EE"/>
    <w:rsid w:val="0002372F"/>
    <w:rsid w:val="000560AE"/>
    <w:rsid w:val="000863C9"/>
    <w:rsid w:val="000C62A8"/>
    <w:rsid w:val="00183A54"/>
    <w:rsid w:val="00196C31"/>
    <w:rsid w:val="002055AF"/>
    <w:rsid w:val="00212940"/>
    <w:rsid w:val="00292A97"/>
    <w:rsid w:val="002D7B97"/>
    <w:rsid w:val="00344A03"/>
    <w:rsid w:val="003A6617"/>
    <w:rsid w:val="0041232C"/>
    <w:rsid w:val="0041780E"/>
    <w:rsid w:val="004601FA"/>
    <w:rsid w:val="004A7DD7"/>
    <w:rsid w:val="004B526A"/>
    <w:rsid w:val="004C15E8"/>
    <w:rsid w:val="004F6DF7"/>
    <w:rsid w:val="0050426D"/>
    <w:rsid w:val="00525A2D"/>
    <w:rsid w:val="00576377"/>
    <w:rsid w:val="005821A6"/>
    <w:rsid w:val="00613D0E"/>
    <w:rsid w:val="00642074"/>
    <w:rsid w:val="006564C5"/>
    <w:rsid w:val="006668A8"/>
    <w:rsid w:val="00690951"/>
    <w:rsid w:val="006E0F62"/>
    <w:rsid w:val="006F567E"/>
    <w:rsid w:val="00705626"/>
    <w:rsid w:val="007F0E57"/>
    <w:rsid w:val="00846721"/>
    <w:rsid w:val="0089792B"/>
    <w:rsid w:val="008E661D"/>
    <w:rsid w:val="008E7A05"/>
    <w:rsid w:val="008F5CBE"/>
    <w:rsid w:val="009D4563"/>
    <w:rsid w:val="00A06A35"/>
    <w:rsid w:val="00AC7CC8"/>
    <w:rsid w:val="00AE4FE3"/>
    <w:rsid w:val="00B1503B"/>
    <w:rsid w:val="00B97C0F"/>
    <w:rsid w:val="00BB798B"/>
    <w:rsid w:val="00C220C2"/>
    <w:rsid w:val="00C521A8"/>
    <w:rsid w:val="00C71901"/>
    <w:rsid w:val="00C83518"/>
    <w:rsid w:val="00CE073D"/>
    <w:rsid w:val="00D903BA"/>
    <w:rsid w:val="00D94FDF"/>
    <w:rsid w:val="00E000E1"/>
    <w:rsid w:val="00E01386"/>
    <w:rsid w:val="00E07F89"/>
    <w:rsid w:val="00E16874"/>
    <w:rsid w:val="00EA2B5F"/>
    <w:rsid w:val="00F07C1D"/>
    <w:rsid w:val="00F121FE"/>
    <w:rsid w:val="00F20165"/>
    <w:rsid w:val="00F61E74"/>
    <w:rsid w:val="00FA7FBF"/>
    <w:rsid w:val="00FC7CD6"/>
    <w:rsid w:val="00FD784F"/>
    <w:rsid w:val="00FF227A"/>
    <w:rsid w:val="00FF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0C48D"/>
  <w15:chartTrackingRefBased/>
  <w15:docId w15:val="{73D50D8E-7993-4D45-9453-168306E4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E74"/>
    <w:pPr>
      <w:widowControl w:val="0"/>
      <w:autoSpaceDE w:val="0"/>
      <w:autoSpaceDN w:val="0"/>
      <w:spacing w:after="0" w:line="240" w:lineRule="auto"/>
    </w:pPr>
    <w:rPr>
      <w:rFonts w:ascii="Palatino Linotype" w:eastAsia="Palatino Linotype" w:hAnsi="Palatino Linotype" w:cs="Palatino Linotype"/>
      <w:kern w:val="0"/>
      <w14:ligatures w14:val="none"/>
    </w:rPr>
  </w:style>
  <w:style w:type="paragraph" w:styleId="Heading1">
    <w:name w:val="heading 1"/>
    <w:basedOn w:val="Normal"/>
    <w:link w:val="Heading1Char"/>
    <w:uiPriority w:val="9"/>
    <w:qFormat/>
    <w:rsid w:val="00F61E74"/>
    <w:pPr>
      <w:ind w:left="568" w:hanging="428"/>
      <w:outlineLvl w:val="0"/>
    </w:pPr>
    <w:rPr>
      <w:b/>
      <w:bCs/>
      <w:sz w:val="20"/>
      <w:szCs w:val="20"/>
    </w:rPr>
  </w:style>
  <w:style w:type="paragraph" w:styleId="Heading3">
    <w:name w:val="heading 3"/>
    <w:basedOn w:val="Normal"/>
    <w:next w:val="Normal"/>
    <w:link w:val="Heading3Char"/>
    <w:uiPriority w:val="9"/>
    <w:semiHidden/>
    <w:unhideWhenUsed/>
    <w:qFormat/>
    <w:rsid w:val="00F61E7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E74"/>
    <w:rPr>
      <w:rFonts w:ascii="Palatino Linotype" w:eastAsia="Palatino Linotype" w:hAnsi="Palatino Linotype" w:cs="Palatino Linotype"/>
      <w:b/>
      <w:bCs/>
      <w:kern w:val="0"/>
      <w:sz w:val="20"/>
      <w:szCs w:val="20"/>
      <w14:ligatures w14:val="none"/>
    </w:rPr>
  </w:style>
  <w:style w:type="character" w:customStyle="1" w:styleId="Heading3Char">
    <w:name w:val="Heading 3 Char"/>
    <w:basedOn w:val="DefaultParagraphFont"/>
    <w:link w:val="Heading3"/>
    <w:uiPriority w:val="9"/>
    <w:rsid w:val="00F61E74"/>
    <w:rPr>
      <w:rFonts w:asciiTheme="majorHAnsi" w:eastAsiaTheme="majorEastAsia" w:hAnsiTheme="majorHAnsi" w:cstheme="majorBidi"/>
      <w:color w:val="1F3763" w:themeColor="accent1" w:themeShade="7F"/>
      <w:kern w:val="0"/>
      <w:sz w:val="24"/>
      <w:szCs w:val="24"/>
      <w14:ligatures w14:val="none"/>
    </w:rPr>
  </w:style>
  <w:style w:type="paragraph" w:styleId="BodyText">
    <w:name w:val="Body Text"/>
    <w:basedOn w:val="Normal"/>
    <w:link w:val="BodyTextChar"/>
    <w:uiPriority w:val="1"/>
    <w:qFormat/>
    <w:rsid w:val="00F61E74"/>
    <w:rPr>
      <w:sz w:val="20"/>
      <w:szCs w:val="20"/>
    </w:rPr>
  </w:style>
  <w:style w:type="character" w:customStyle="1" w:styleId="BodyTextChar">
    <w:name w:val="Body Text Char"/>
    <w:basedOn w:val="DefaultParagraphFont"/>
    <w:link w:val="BodyText"/>
    <w:uiPriority w:val="1"/>
    <w:rsid w:val="00F61E74"/>
    <w:rPr>
      <w:rFonts w:ascii="Palatino Linotype" w:eastAsia="Palatino Linotype" w:hAnsi="Palatino Linotype" w:cs="Palatino Linotype"/>
      <w:kern w:val="0"/>
      <w:sz w:val="20"/>
      <w:szCs w:val="20"/>
      <w14:ligatures w14:val="none"/>
    </w:rPr>
  </w:style>
  <w:style w:type="paragraph" w:styleId="Title">
    <w:name w:val="Title"/>
    <w:basedOn w:val="Normal"/>
    <w:link w:val="TitleChar"/>
    <w:qFormat/>
    <w:rsid w:val="00F61E74"/>
    <w:pPr>
      <w:ind w:left="140"/>
    </w:pPr>
    <w:rPr>
      <w:b/>
      <w:bCs/>
      <w:sz w:val="28"/>
      <w:szCs w:val="28"/>
    </w:rPr>
  </w:style>
  <w:style w:type="character" w:customStyle="1" w:styleId="TitleChar">
    <w:name w:val="Title Char"/>
    <w:basedOn w:val="DefaultParagraphFont"/>
    <w:link w:val="Title"/>
    <w:rsid w:val="00F61E74"/>
    <w:rPr>
      <w:rFonts w:ascii="Palatino Linotype" w:eastAsia="Palatino Linotype" w:hAnsi="Palatino Linotype" w:cs="Palatino Linotype"/>
      <w:b/>
      <w:bCs/>
      <w:kern w:val="0"/>
      <w:sz w:val="28"/>
      <w:szCs w:val="28"/>
      <w14:ligatures w14:val="none"/>
    </w:rPr>
  </w:style>
  <w:style w:type="paragraph" w:styleId="ListParagraph">
    <w:name w:val="List Paragraph"/>
    <w:basedOn w:val="Normal"/>
    <w:uiPriority w:val="34"/>
    <w:qFormat/>
    <w:rsid w:val="00F61E74"/>
    <w:pPr>
      <w:ind w:left="568" w:hanging="428"/>
    </w:pPr>
  </w:style>
  <w:style w:type="paragraph" w:customStyle="1" w:styleId="TableParagraph">
    <w:name w:val="Table Paragraph"/>
    <w:basedOn w:val="Normal"/>
    <w:uiPriority w:val="1"/>
    <w:qFormat/>
    <w:rsid w:val="00F61E74"/>
    <w:pPr>
      <w:spacing w:before="1"/>
      <w:jc w:val="center"/>
    </w:pPr>
  </w:style>
  <w:style w:type="paragraph" w:styleId="Header">
    <w:name w:val="header"/>
    <w:basedOn w:val="Normal"/>
    <w:link w:val="HeaderChar"/>
    <w:uiPriority w:val="99"/>
    <w:unhideWhenUsed/>
    <w:qFormat/>
    <w:rsid w:val="00F61E74"/>
    <w:pPr>
      <w:widowControl/>
      <w:tabs>
        <w:tab w:val="center" w:pos="4513"/>
        <w:tab w:val="right" w:pos="9026"/>
      </w:tabs>
      <w:autoSpaceDE/>
      <w:autoSpaceDN/>
    </w:pPr>
    <w:rPr>
      <w:rFonts w:asciiTheme="minorHAnsi" w:eastAsia="SimSun" w:hAnsiTheme="minorHAnsi" w:cstheme="minorBidi"/>
      <w:lang w:val="en-ID"/>
    </w:rPr>
  </w:style>
  <w:style w:type="character" w:customStyle="1" w:styleId="HeaderChar">
    <w:name w:val="Header Char"/>
    <w:basedOn w:val="DefaultParagraphFont"/>
    <w:link w:val="Header"/>
    <w:uiPriority w:val="99"/>
    <w:qFormat/>
    <w:rsid w:val="00F61E74"/>
    <w:rPr>
      <w:rFonts w:eastAsia="SimSun"/>
      <w:kern w:val="0"/>
      <w:lang w:val="en-ID"/>
      <w14:ligatures w14:val="none"/>
    </w:rPr>
  </w:style>
  <w:style w:type="character" w:styleId="Hyperlink">
    <w:name w:val="Hyperlink"/>
    <w:basedOn w:val="DefaultParagraphFont"/>
    <w:rsid w:val="00F61E74"/>
    <w:rPr>
      <w:color w:val="0000FF"/>
      <w:u w:val="single"/>
    </w:rPr>
  </w:style>
  <w:style w:type="table" w:customStyle="1" w:styleId="TableGrid2">
    <w:name w:val="Table Grid2"/>
    <w:basedOn w:val="TableNormal"/>
    <w:next w:val="TableGrid"/>
    <w:uiPriority w:val="39"/>
    <w:rsid w:val="00F61E74"/>
    <w:pPr>
      <w:spacing w:after="0" w:line="240" w:lineRule="auto"/>
    </w:pPr>
    <w:rPr>
      <w:rFonts w:ascii="Calibri" w:eastAsia="Calibri" w:hAnsi="Calibri" w:cs="Arial"/>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1E74"/>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61E74"/>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6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7B97"/>
    <w:rPr>
      <w:color w:val="605E5C"/>
      <w:shd w:val="clear" w:color="auto" w:fill="E1DFDD"/>
    </w:rPr>
  </w:style>
  <w:style w:type="character" w:styleId="PlaceholderText">
    <w:name w:val="Placeholder Text"/>
    <w:basedOn w:val="DefaultParagraphFont"/>
    <w:uiPriority w:val="99"/>
    <w:semiHidden/>
    <w:rsid w:val="007F0E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luthfiyah.2022@student.uny.ac.id"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urnal.staihubbulwathan.id/index.php/alishla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triluthfiyah.2022@student.uny.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reativecommons.org/licenses/by-nc-sa/4.0/"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Pretest </a:t>
            </a:r>
            <a:r>
              <a:rPr lang="id-ID"/>
              <a:t>and</a:t>
            </a:r>
            <a:r>
              <a:rPr lang="en-ID"/>
              <a:t> Post test Eksperimen</a:t>
            </a:r>
            <a:r>
              <a:rPr lang="id-ID"/>
              <a:t>tal Group</a:t>
            </a:r>
            <a:endParaRPr lang="en-ID"/>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Pretest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Sheet1!$A$2:$A$7</c:f>
              <c:strCache>
                <c:ptCount val="6"/>
                <c:pt idx="0">
                  <c:v>EJMD</c:v>
                </c:pt>
                <c:pt idx="1">
                  <c:v>SA</c:v>
                </c:pt>
                <c:pt idx="2">
                  <c:v>SMA</c:v>
                </c:pt>
                <c:pt idx="3">
                  <c:v>KPZ</c:v>
                </c:pt>
                <c:pt idx="4">
                  <c:v>AS</c:v>
                </c:pt>
                <c:pt idx="5">
                  <c:v>FA</c:v>
                </c:pt>
              </c:strCache>
            </c:strRef>
          </c:cat>
          <c:val>
            <c:numRef>
              <c:f>Sheet1!$B$2:$B$7</c:f>
              <c:numCache>
                <c:formatCode>General</c:formatCode>
                <c:ptCount val="6"/>
                <c:pt idx="0">
                  <c:v>42</c:v>
                </c:pt>
                <c:pt idx="1">
                  <c:v>41</c:v>
                </c:pt>
                <c:pt idx="2">
                  <c:v>42</c:v>
                </c:pt>
                <c:pt idx="3">
                  <c:v>38</c:v>
                </c:pt>
                <c:pt idx="4">
                  <c:v>39</c:v>
                </c:pt>
                <c:pt idx="5">
                  <c:v>40</c:v>
                </c:pt>
              </c:numCache>
            </c:numRef>
          </c:val>
          <c:extLst>
            <c:ext xmlns:c16="http://schemas.microsoft.com/office/drawing/2014/chart" uri="{C3380CC4-5D6E-409C-BE32-E72D297353CC}">
              <c16:uniqueId val="{00000000-C204-4AC6-91FC-00AC6AE007BF}"/>
            </c:ext>
          </c:extLst>
        </c:ser>
        <c:ser>
          <c:idx val="1"/>
          <c:order val="1"/>
          <c:tx>
            <c:strRef>
              <c:f>Sheet1!$C$1</c:f>
              <c:strCache>
                <c:ptCount val="1"/>
                <c:pt idx="0">
                  <c:v>Postest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Sheet1!$A$2:$A$7</c:f>
              <c:strCache>
                <c:ptCount val="6"/>
                <c:pt idx="0">
                  <c:v>EJMD</c:v>
                </c:pt>
                <c:pt idx="1">
                  <c:v>SA</c:v>
                </c:pt>
                <c:pt idx="2">
                  <c:v>SMA</c:v>
                </c:pt>
                <c:pt idx="3">
                  <c:v>KPZ</c:v>
                </c:pt>
                <c:pt idx="4">
                  <c:v>AS</c:v>
                </c:pt>
                <c:pt idx="5">
                  <c:v>FA</c:v>
                </c:pt>
              </c:strCache>
            </c:strRef>
          </c:cat>
          <c:val>
            <c:numRef>
              <c:f>Sheet1!$C$2:$C$7</c:f>
              <c:numCache>
                <c:formatCode>General</c:formatCode>
                <c:ptCount val="6"/>
                <c:pt idx="0">
                  <c:v>84</c:v>
                </c:pt>
                <c:pt idx="1">
                  <c:v>86</c:v>
                </c:pt>
                <c:pt idx="2">
                  <c:v>86</c:v>
                </c:pt>
                <c:pt idx="3">
                  <c:v>85</c:v>
                </c:pt>
                <c:pt idx="4">
                  <c:v>84</c:v>
                </c:pt>
                <c:pt idx="5">
                  <c:v>85</c:v>
                </c:pt>
              </c:numCache>
            </c:numRef>
          </c:val>
          <c:extLst>
            <c:ext xmlns:c16="http://schemas.microsoft.com/office/drawing/2014/chart" uri="{C3380CC4-5D6E-409C-BE32-E72D297353CC}">
              <c16:uniqueId val="{00000001-C204-4AC6-91FC-00AC6AE007BF}"/>
            </c:ext>
          </c:extLst>
        </c:ser>
        <c:ser>
          <c:idx val="2"/>
          <c:order val="2"/>
          <c:tx>
            <c:strRef>
              <c:f>Sheet1!$D$1</c:f>
              <c:strCache>
                <c:ptCount val="1"/>
                <c:pt idx="0">
                  <c:v>Column1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Sheet1!$A$2:$A$7</c:f>
              <c:strCache>
                <c:ptCount val="6"/>
                <c:pt idx="0">
                  <c:v>EJMD</c:v>
                </c:pt>
                <c:pt idx="1">
                  <c:v>SA</c:v>
                </c:pt>
                <c:pt idx="2">
                  <c:v>SMA</c:v>
                </c:pt>
                <c:pt idx="3">
                  <c:v>KPZ</c:v>
                </c:pt>
                <c:pt idx="4">
                  <c:v>AS</c:v>
                </c:pt>
                <c:pt idx="5">
                  <c:v>FA</c:v>
                </c:pt>
              </c:strCache>
            </c:strRef>
          </c:cat>
          <c:val>
            <c:numRef>
              <c:f>Sheet1!$D$2:$D$7</c:f>
              <c:numCache>
                <c:formatCode>General</c:formatCode>
                <c:ptCount val="6"/>
              </c:numCache>
            </c:numRef>
          </c:val>
          <c:extLst>
            <c:ext xmlns:c16="http://schemas.microsoft.com/office/drawing/2014/chart" uri="{C3380CC4-5D6E-409C-BE32-E72D297353CC}">
              <c16:uniqueId val="{00000002-C204-4AC6-91FC-00AC6AE007BF}"/>
            </c:ext>
          </c:extLst>
        </c:ser>
        <c:dLbls>
          <c:showLegendKey val="0"/>
          <c:showVal val="0"/>
          <c:showCatName val="0"/>
          <c:showSerName val="0"/>
          <c:showPercent val="0"/>
          <c:showBubbleSize val="0"/>
        </c:dLbls>
        <c:gapWidth val="100"/>
        <c:overlap val="-24"/>
        <c:axId val="1962362688"/>
        <c:axId val="1962385728"/>
      </c:barChart>
      <c:catAx>
        <c:axId val="19623626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62385728"/>
        <c:crosses val="autoZero"/>
        <c:auto val="1"/>
        <c:lblAlgn val="ctr"/>
        <c:lblOffset val="100"/>
        <c:noMultiLvlLbl val="0"/>
      </c:catAx>
      <c:valAx>
        <c:axId val="196238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6236268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Pretest </a:t>
            </a:r>
            <a:r>
              <a:rPr lang="id-ID"/>
              <a:t>and</a:t>
            </a:r>
            <a:r>
              <a:rPr lang="en-ID"/>
              <a:t> Post Test </a:t>
            </a:r>
            <a:r>
              <a:rPr lang="id-ID"/>
              <a:t>Control Group</a:t>
            </a:r>
            <a:endParaRPr lang="en-ID"/>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Pretest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NSF</c:v>
                </c:pt>
                <c:pt idx="1">
                  <c:v>MNS</c:v>
                </c:pt>
                <c:pt idx="2">
                  <c:v>RAA</c:v>
                </c:pt>
                <c:pt idx="3">
                  <c:v>NAS</c:v>
                </c:pt>
                <c:pt idx="4">
                  <c:v>QL</c:v>
                </c:pt>
                <c:pt idx="5">
                  <c:v>CAA</c:v>
                </c:pt>
              </c:strCache>
            </c:strRef>
          </c:cat>
          <c:val>
            <c:numRef>
              <c:f>Sheet1!$B$2:$B$7</c:f>
              <c:numCache>
                <c:formatCode>General</c:formatCode>
                <c:ptCount val="6"/>
                <c:pt idx="0">
                  <c:v>40</c:v>
                </c:pt>
                <c:pt idx="1">
                  <c:v>41</c:v>
                </c:pt>
                <c:pt idx="2">
                  <c:v>39</c:v>
                </c:pt>
                <c:pt idx="3">
                  <c:v>38</c:v>
                </c:pt>
                <c:pt idx="4">
                  <c:v>37</c:v>
                </c:pt>
                <c:pt idx="5">
                  <c:v>39</c:v>
                </c:pt>
              </c:numCache>
            </c:numRef>
          </c:val>
          <c:extLst>
            <c:ext xmlns:c16="http://schemas.microsoft.com/office/drawing/2014/chart" uri="{C3380CC4-5D6E-409C-BE32-E72D297353CC}">
              <c16:uniqueId val="{00000000-E5ED-41E0-9B72-EFEFB0FAA739}"/>
            </c:ext>
          </c:extLst>
        </c:ser>
        <c:ser>
          <c:idx val="1"/>
          <c:order val="1"/>
          <c:tx>
            <c:strRef>
              <c:f>Sheet1!$C$1</c:f>
              <c:strCache>
                <c:ptCount val="1"/>
                <c:pt idx="0">
                  <c:v>Postest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NSF</c:v>
                </c:pt>
                <c:pt idx="1">
                  <c:v>MNS</c:v>
                </c:pt>
                <c:pt idx="2">
                  <c:v>RAA</c:v>
                </c:pt>
                <c:pt idx="3">
                  <c:v>NAS</c:v>
                </c:pt>
                <c:pt idx="4">
                  <c:v>QL</c:v>
                </c:pt>
                <c:pt idx="5">
                  <c:v>CAA</c:v>
                </c:pt>
              </c:strCache>
            </c:strRef>
          </c:cat>
          <c:val>
            <c:numRef>
              <c:f>Sheet1!$C$2:$C$7</c:f>
              <c:numCache>
                <c:formatCode>General</c:formatCode>
                <c:ptCount val="6"/>
                <c:pt idx="0">
                  <c:v>41</c:v>
                </c:pt>
                <c:pt idx="1">
                  <c:v>41</c:v>
                </c:pt>
                <c:pt idx="2">
                  <c:v>40</c:v>
                </c:pt>
                <c:pt idx="3">
                  <c:v>38</c:v>
                </c:pt>
                <c:pt idx="4">
                  <c:v>41</c:v>
                </c:pt>
                <c:pt idx="5">
                  <c:v>40</c:v>
                </c:pt>
              </c:numCache>
            </c:numRef>
          </c:val>
          <c:extLst>
            <c:ext xmlns:c16="http://schemas.microsoft.com/office/drawing/2014/chart" uri="{C3380CC4-5D6E-409C-BE32-E72D297353CC}">
              <c16:uniqueId val="{00000001-E5ED-41E0-9B72-EFEFB0FAA739}"/>
            </c:ext>
          </c:extLst>
        </c:ser>
        <c:ser>
          <c:idx val="2"/>
          <c:order val="2"/>
          <c:tx>
            <c:strRef>
              <c:f>Sheet1!$D$1</c:f>
              <c:strCache>
                <c:ptCount val="1"/>
                <c:pt idx="0">
                  <c:v>Column1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NSF</c:v>
                </c:pt>
                <c:pt idx="1">
                  <c:v>MNS</c:v>
                </c:pt>
                <c:pt idx="2">
                  <c:v>RAA</c:v>
                </c:pt>
                <c:pt idx="3">
                  <c:v>NAS</c:v>
                </c:pt>
                <c:pt idx="4">
                  <c:v>QL</c:v>
                </c:pt>
                <c:pt idx="5">
                  <c:v>CAA</c:v>
                </c:pt>
              </c:strCache>
            </c:strRef>
          </c:cat>
          <c:val>
            <c:numRef>
              <c:f>Sheet1!$D$2:$D$7</c:f>
              <c:numCache>
                <c:formatCode>General</c:formatCode>
                <c:ptCount val="6"/>
              </c:numCache>
            </c:numRef>
          </c:val>
          <c:extLst>
            <c:ext xmlns:c16="http://schemas.microsoft.com/office/drawing/2014/chart" uri="{C3380CC4-5D6E-409C-BE32-E72D297353CC}">
              <c16:uniqueId val="{00000002-E5ED-41E0-9B72-EFEFB0FAA739}"/>
            </c:ext>
          </c:extLst>
        </c:ser>
        <c:dLbls>
          <c:dLblPos val="outEnd"/>
          <c:showLegendKey val="0"/>
          <c:showVal val="1"/>
          <c:showCatName val="0"/>
          <c:showSerName val="0"/>
          <c:showPercent val="0"/>
          <c:showBubbleSize val="0"/>
        </c:dLbls>
        <c:gapWidth val="100"/>
        <c:overlap val="-24"/>
        <c:axId val="2009358496"/>
        <c:axId val="2009357056"/>
      </c:barChart>
      <c:catAx>
        <c:axId val="20093584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09357056"/>
        <c:crosses val="autoZero"/>
        <c:auto val="1"/>
        <c:lblAlgn val="ctr"/>
        <c:lblOffset val="100"/>
        <c:noMultiLvlLbl val="0"/>
      </c:catAx>
      <c:valAx>
        <c:axId val="2009357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0935849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4D16A-5E30-42F0-A468-FAE5F175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10</Pages>
  <Words>12747</Words>
  <Characters>72664</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 Wahyuningtyas</dc:creator>
  <cp:keywords/>
  <dc:description/>
  <cp:lastModifiedBy>Yopi Malagola</cp:lastModifiedBy>
  <cp:revision>15</cp:revision>
  <dcterms:created xsi:type="dcterms:W3CDTF">2024-08-19T13:24:00Z</dcterms:created>
  <dcterms:modified xsi:type="dcterms:W3CDTF">2024-08-29T01:49:00Z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17dbfd68-5b38-32d7-a6f8-677bb3197d91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