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58888" w14:textId="77777777" w:rsidR="008E64A2" w:rsidRPr="00A75CB1" w:rsidRDefault="00DF76E6" w:rsidP="00727D5A">
      <w:pPr>
        <w:pStyle w:val="Alishlah12title"/>
      </w:pPr>
      <w:r w:rsidRPr="00DF76E6">
        <w:t xml:space="preserve">The Effect </w:t>
      </w:r>
      <w:r>
        <w:t>o</w:t>
      </w:r>
      <w:r w:rsidRPr="00DF76E6">
        <w:t xml:space="preserve">f Value Clarification </w:t>
      </w:r>
      <w:r>
        <w:t>a</w:t>
      </w:r>
      <w:r w:rsidRPr="00DF76E6">
        <w:t xml:space="preserve">nd Locus </w:t>
      </w:r>
      <w:r>
        <w:t>o</w:t>
      </w:r>
      <w:r w:rsidRPr="00DF76E6">
        <w:t xml:space="preserve">f Control Learning </w:t>
      </w:r>
      <w:r>
        <w:t>o</w:t>
      </w:r>
      <w:r w:rsidRPr="00DF76E6">
        <w:t>n Students' Moral Development Level</w:t>
      </w:r>
    </w:p>
    <w:p w14:paraId="31F3B0A9" w14:textId="77777777" w:rsidR="00BE398A" w:rsidRPr="007E6AA6" w:rsidRDefault="00DF76E6" w:rsidP="002C57D4">
      <w:pPr>
        <w:pStyle w:val="Alishlah13authornames"/>
        <w:rPr>
          <w:vertAlign w:val="superscript"/>
          <w:lang w:val="en-GB"/>
        </w:rPr>
      </w:pPr>
      <w:r>
        <w:rPr>
          <w:lang w:val="en-GB"/>
        </w:rPr>
        <w:t>Sukisno</w:t>
      </w:r>
      <w:r w:rsidR="007E6AA6">
        <w:rPr>
          <w:vertAlign w:val="superscript"/>
          <w:lang w:val="en-GB"/>
        </w:rPr>
        <w:t>1</w:t>
      </w:r>
      <w:r w:rsidR="007E6AA6" w:rsidRPr="007E6AA6">
        <w:rPr>
          <w:lang w:val="en-GB"/>
        </w:rPr>
        <w:t xml:space="preserve">, </w:t>
      </w:r>
      <w:proofErr w:type="spellStart"/>
      <w:r>
        <w:rPr>
          <w:lang w:val="en-GB"/>
        </w:rPr>
        <w:t>Supiana</w:t>
      </w:r>
      <w:proofErr w:type="spellEnd"/>
      <w:r>
        <w:rPr>
          <w:lang w:val="en-GB"/>
        </w:rPr>
        <w:t xml:space="preserve"> Dian Nurtjahyani</w:t>
      </w:r>
      <w:r>
        <w:rPr>
          <w:vertAlign w:val="superscript"/>
          <w:lang w:val="en-GB"/>
        </w:rPr>
        <w:t>2</w:t>
      </w:r>
    </w:p>
    <w:p w14:paraId="6CCD0268" w14:textId="77777777" w:rsidR="008E64A2" w:rsidRPr="00DF76E6" w:rsidRDefault="00DF76E6" w:rsidP="00566B68">
      <w:pPr>
        <w:pStyle w:val="Alishlah16affiliation"/>
        <w:numPr>
          <w:ilvl w:val="0"/>
          <w:numId w:val="19"/>
        </w:numPr>
        <w:ind w:hanging="331"/>
        <w:rPr>
          <w:color w:val="auto"/>
          <w:lang w:val="en-GB"/>
        </w:rPr>
      </w:pPr>
      <w:r w:rsidRPr="00DF76E6">
        <w:rPr>
          <w:color w:val="auto"/>
          <w:lang w:val="en-GB"/>
        </w:rPr>
        <w:t xml:space="preserve">Faculty of Teaching and Education Science, University of PGRI </w:t>
      </w:r>
      <w:proofErr w:type="spellStart"/>
      <w:r w:rsidRPr="00DF76E6">
        <w:rPr>
          <w:color w:val="auto"/>
          <w:lang w:val="en-GB"/>
        </w:rPr>
        <w:t>Ronggolawe</w:t>
      </w:r>
      <w:proofErr w:type="spellEnd"/>
      <w:r w:rsidRPr="00DF76E6">
        <w:rPr>
          <w:color w:val="auto"/>
          <w:lang w:val="en-GB"/>
        </w:rPr>
        <w:t xml:space="preserve">, </w:t>
      </w:r>
      <w:proofErr w:type="spellStart"/>
      <w:r w:rsidRPr="00DF76E6">
        <w:rPr>
          <w:color w:val="auto"/>
          <w:lang w:val="en-GB"/>
        </w:rPr>
        <w:t>Tuban</w:t>
      </w:r>
      <w:proofErr w:type="spellEnd"/>
      <w:r w:rsidRPr="00DF76E6">
        <w:rPr>
          <w:color w:val="auto"/>
          <w:lang w:val="en-GB"/>
        </w:rPr>
        <w:t xml:space="preserve">, East Java, Indonesia; </w:t>
      </w:r>
      <w:hyperlink r:id="rId8" w:history="1">
        <w:r w:rsidRPr="00D65987">
          <w:rPr>
            <w:rStyle w:val="Hyperlink"/>
          </w:rPr>
          <w:t>john_kisno@yahoo.com</w:t>
        </w:r>
      </w:hyperlink>
      <w:r w:rsidRPr="00DF76E6">
        <w:rPr>
          <w:color w:val="auto"/>
          <w:lang w:val="en-GB"/>
        </w:rPr>
        <w:t xml:space="preserve"> </w:t>
      </w:r>
    </w:p>
    <w:p w14:paraId="0FE246C5" w14:textId="77777777" w:rsidR="00DF76E6" w:rsidRPr="00DF76E6" w:rsidRDefault="00DF76E6" w:rsidP="00DE2FC6">
      <w:pPr>
        <w:pStyle w:val="ListParagraph"/>
        <w:numPr>
          <w:ilvl w:val="0"/>
          <w:numId w:val="19"/>
        </w:numPr>
        <w:rPr>
          <w:rFonts w:ascii="Palatino Linotype" w:eastAsia="Times New Roman" w:hAnsi="Palatino Linotype" w:cs="Times New Roman"/>
          <w:color w:val="000000"/>
          <w:sz w:val="18"/>
          <w:szCs w:val="18"/>
          <w:lang w:val="en-US" w:eastAsia="de-DE" w:bidi="en-US"/>
        </w:rPr>
      </w:pPr>
      <w:r w:rsidRPr="00DF76E6">
        <w:rPr>
          <w:rFonts w:ascii="Palatino Linotype" w:eastAsia="Times New Roman" w:hAnsi="Palatino Linotype" w:cs="Times New Roman"/>
          <w:color w:val="000000"/>
          <w:sz w:val="18"/>
          <w:szCs w:val="18"/>
          <w:lang w:val="en-US" w:eastAsia="de-DE" w:bidi="en-US"/>
        </w:rPr>
        <w:t xml:space="preserve">Faculty of Teaching and Education Science, University of PGRI </w:t>
      </w:r>
      <w:proofErr w:type="spellStart"/>
      <w:r w:rsidRPr="00DF76E6">
        <w:rPr>
          <w:rFonts w:ascii="Palatino Linotype" w:eastAsia="Times New Roman" w:hAnsi="Palatino Linotype" w:cs="Times New Roman"/>
          <w:color w:val="000000"/>
          <w:sz w:val="18"/>
          <w:szCs w:val="18"/>
          <w:lang w:val="en-US" w:eastAsia="de-DE" w:bidi="en-US"/>
        </w:rPr>
        <w:t>Ronggolawe</w:t>
      </w:r>
      <w:proofErr w:type="spellEnd"/>
      <w:r w:rsidRPr="00DF76E6">
        <w:rPr>
          <w:rFonts w:ascii="Palatino Linotype" w:eastAsia="Times New Roman" w:hAnsi="Palatino Linotype" w:cs="Times New Roman"/>
          <w:color w:val="000000"/>
          <w:sz w:val="18"/>
          <w:szCs w:val="18"/>
          <w:lang w:val="en-US" w:eastAsia="de-DE" w:bidi="en-US"/>
        </w:rPr>
        <w:t xml:space="preserve">, </w:t>
      </w:r>
      <w:proofErr w:type="spellStart"/>
      <w:r w:rsidRPr="00DF76E6">
        <w:rPr>
          <w:rFonts w:ascii="Palatino Linotype" w:eastAsia="Times New Roman" w:hAnsi="Palatino Linotype" w:cs="Times New Roman"/>
          <w:color w:val="000000"/>
          <w:sz w:val="18"/>
          <w:szCs w:val="18"/>
          <w:lang w:val="en-US" w:eastAsia="de-DE" w:bidi="en-US"/>
        </w:rPr>
        <w:t>Tuban</w:t>
      </w:r>
      <w:proofErr w:type="spellEnd"/>
      <w:r w:rsidRPr="00DF76E6">
        <w:rPr>
          <w:rFonts w:ascii="Palatino Linotype" w:eastAsia="Times New Roman" w:hAnsi="Palatino Linotype" w:cs="Times New Roman"/>
          <w:color w:val="000000"/>
          <w:sz w:val="18"/>
          <w:szCs w:val="18"/>
          <w:lang w:val="en-US" w:eastAsia="de-DE" w:bidi="en-US"/>
        </w:rPr>
        <w:t>, East Java, Indonesia</w:t>
      </w:r>
      <w:r>
        <w:rPr>
          <w:rFonts w:ascii="Palatino Linotype" w:eastAsia="Times New Roman" w:hAnsi="Palatino Linotype" w:cs="Times New Roman"/>
          <w:color w:val="000000"/>
          <w:sz w:val="18"/>
          <w:szCs w:val="18"/>
          <w:lang w:val="en-US" w:eastAsia="de-DE" w:bidi="en-US"/>
        </w:rPr>
        <w:t xml:space="preserve">; </w:t>
      </w:r>
      <w:hyperlink r:id="rId9" w:history="1">
        <w:r w:rsidRPr="00D65987">
          <w:rPr>
            <w:rStyle w:val="Hyperlink"/>
            <w:rFonts w:ascii="Palatino Linotype" w:hAnsi="Palatino Linotype"/>
            <w:sz w:val="18"/>
            <w:szCs w:val="18"/>
          </w:rPr>
          <w:t>diananin39@gmail.com</w:t>
        </w:r>
      </w:hyperlink>
    </w:p>
    <w:p w14:paraId="76C1B81F"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314FCB18" w14:textId="77777777" w:rsidTr="0048254D">
        <w:trPr>
          <w:jc w:val="center"/>
        </w:trPr>
        <w:tc>
          <w:tcPr>
            <w:tcW w:w="2787" w:type="dxa"/>
            <w:tcBorders>
              <w:top w:val="double" w:sz="4" w:space="0" w:color="auto"/>
              <w:left w:val="nil"/>
              <w:bottom w:val="single" w:sz="4" w:space="0" w:color="auto"/>
              <w:right w:val="nil"/>
            </w:tcBorders>
          </w:tcPr>
          <w:p w14:paraId="00C18530"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1B1F22BC"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148444CB"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432625F8" w14:textId="77777777" w:rsidTr="0048254D">
        <w:trPr>
          <w:trHeight w:val="1268"/>
          <w:jc w:val="center"/>
        </w:trPr>
        <w:tc>
          <w:tcPr>
            <w:tcW w:w="2787" w:type="dxa"/>
            <w:tcBorders>
              <w:top w:val="single" w:sz="4" w:space="0" w:color="auto"/>
              <w:left w:val="nil"/>
              <w:bottom w:val="single" w:sz="4" w:space="0" w:color="auto"/>
              <w:right w:val="nil"/>
            </w:tcBorders>
          </w:tcPr>
          <w:p w14:paraId="5D2F2169"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7421987D" w14:textId="6CC4323B" w:rsidR="002B31FD" w:rsidRDefault="0037591E" w:rsidP="00290481">
            <w:pPr>
              <w:pStyle w:val="Alishlah18keywords"/>
            </w:pPr>
            <w:r w:rsidRPr="0037591E">
              <w:t>Value Clarification</w:t>
            </w:r>
            <w:r w:rsidR="002B31FD" w:rsidRPr="002B31FD">
              <w:t xml:space="preserve">; </w:t>
            </w:r>
          </w:p>
          <w:p w14:paraId="47E3E5C0" w14:textId="568F64DB" w:rsidR="002B31FD" w:rsidRDefault="0037591E" w:rsidP="00290481">
            <w:pPr>
              <w:pStyle w:val="Alishlah18keywords"/>
            </w:pPr>
            <w:r w:rsidRPr="0037591E">
              <w:t>Locus of Control Learning</w:t>
            </w:r>
            <w:r w:rsidR="002B31FD" w:rsidRPr="002B31FD">
              <w:t xml:space="preserve">; </w:t>
            </w:r>
          </w:p>
          <w:p w14:paraId="34EFF61D" w14:textId="7EF9438F" w:rsidR="002B31FD" w:rsidRDefault="0037591E" w:rsidP="00290481">
            <w:pPr>
              <w:pStyle w:val="Alishlah18keywords"/>
            </w:pPr>
            <w:r w:rsidRPr="0037591E">
              <w:t xml:space="preserve">Students' Moral Development </w:t>
            </w:r>
          </w:p>
          <w:p w14:paraId="3EEF5A04" w14:textId="77777777" w:rsidR="0048254D" w:rsidRPr="0048254D" w:rsidRDefault="0048254D" w:rsidP="0037591E">
            <w:pPr>
              <w:pStyle w:val="Alishlah18keywords"/>
            </w:pPr>
          </w:p>
        </w:tc>
        <w:tc>
          <w:tcPr>
            <w:tcW w:w="282" w:type="dxa"/>
            <w:vMerge w:val="restart"/>
            <w:tcBorders>
              <w:top w:val="nil"/>
              <w:left w:val="nil"/>
              <w:bottom w:val="nil"/>
              <w:right w:val="nil"/>
            </w:tcBorders>
          </w:tcPr>
          <w:p w14:paraId="7F5D1E65"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5477959" w14:textId="78EA6659" w:rsidR="001C70D5" w:rsidRPr="001C70D5" w:rsidRDefault="001C70D5" w:rsidP="001C70D5">
            <w:pPr>
              <w:pStyle w:val="Alishlah17abstract"/>
            </w:pPr>
            <w:r w:rsidRPr="001C70D5">
              <w:t>The aim of moral education is to increase the capacity to think morally and make moral decisions, revealing that the aim of moral education emphasizes the method of moral consideration and to help children to recognize what is the basis for accepting a value.</w:t>
            </w:r>
            <w:r>
              <w:t xml:space="preserve"> </w:t>
            </w:r>
            <w:r w:rsidRPr="001C70D5">
              <w:t>The purpose of this study is to analyze the influence of value clarification and locus of control on students' moral development.</w:t>
            </w:r>
            <w:r>
              <w:t xml:space="preserve"> </w:t>
            </w:r>
            <w:r w:rsidRPr="001C70D5">
              <w:t xml:space="preserve">This type of research is experimental research using a questionnaire treatment. The data source used is subject data from respondents. The subjects of the study were students of </w:t>
            </w:r>
            <w:proofErr w:type="spellStart"/>
            <w:r w:rsidRPr="001C70D5">
              <w:t>Poltekes</w:t>
            </w:r>
            <w:proofErr w:type="spellEnd"/>
            <w:r w:rsidRPr="001C70D5">
              <w:t xml:space="preserve"> Surabaya and PGRI </w:t>
            </w:r>
            <w:proofErr w:type="spellStart"/>
            <w:r w:rsidRPr="001C70D5">
              <w:t>Ronggolawe</w:t>
            </w:r>
            <w:proofErr w:type="spellEnd"/>
            <w:r w:rsidRPr="001C70D5">
              <w:t xml:space="preserve"> University students totaling 150 students. The type of research data is primary data obtained directly from the original source.</w:t>
            </w:r>
            <w:r>
              <w:t xml:space="preserve"> </w:t>
            </w:r>
            <w:r w:rsidRPr="001C70D5">
              <w:t>Value Clarification Learning has a positive effect on students' moral development, as evidenced by a significance value of more than 0.05. This method increases students' enthusiasm for active learning and helps them instill values ​​in their daily lives, motivates them to explore information and dare to voice their opinions. Research shows that this approach is effective in developing self-values, moral judgment, decision-making, and respect for others.</w:t>
            </w:r>
          </w:p>
          <w:p w14:paraId="0BCF2C7D" w14:textId="77777777" w:rsidR="001C70D5" w:rsidRDefault="001C70D5" w:rsidP="001C70D5">
            <w:pPr>
              <w:pStyle w:val="Alishlah17abstract"/>
            </w:pPr>
          </w:p>
          <w:p w14:paraId="32640BD1" w14:textId="61F62D3D" w:rsidR="0048254D" w:rsidRPr="00E45249" w:rsidRDefault="0048254D" w:rsidP="001C70D5">
            <w:pPr>
              <w:pStyle w:val="Alishlah17abstract"/>
            </w:pPr>
          </w:p>
        </w:tc>
      </w:tr>
      <w:tr w:rsidR="0048254D" w:rsidRPr="0048254D" w14:paraId="2558F068"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98B7B27"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7005BC3" w14:textId="77777777" w:rsidR="0048254D" w:rsidRPr="006A6719" w:rsidRDefault="0048254D" w:rsidP="00E45249">
            <w:pPr>
              <w:pStyle w:val="Alishlah14history"/>
            </w:pPr>
            <w:r w:rsidRPr="006A6719">
              <w:t xml:space="preserve">Received </w:t>
            </w:r>
            <w:r w:rsidR="00FA43FF" w:rsidRPr="00FA43FF">
              <w:t>2021-08-14</w:t>
            </w:r>
          </w:p>
          <w:p w14:paraId="13CD2474"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3FFC3D19"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4AC0C272"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5FF06B80"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4705A43A" w14:textId="77777777" w:rsidTr="0048254D">
        <w:trPr>
          <w:trHeight w:val="70"/>
          <w:jc w:val="center"/>
        </w:trPr>
        <w:tc>
          <w:tcPr>
            <w:tcW w:w="2787" w:type="dxa"/>
            <w:vMerge/>
            <w:tcBorders>
              <w:top w:val="single" w:sz="4" w:space="0" w:color="auto"/>
              <w:left w:val="nil"/>
              <w:bottom w:val="single" w:sz="4" w:space="0" w:color="auto"/>
              <w:right w:val="nil"/>
            </w:tcBorders>
          </w:tcPr>
          <w:p w14:paraId="600B96A1"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379E77F4"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556CA0D5"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0"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362F960"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4DC0236E" wp14:editId="5F1C1976">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7C397AE" w14:textId="77777777" w:rsidTr="0048254D">
        <w:trPr>
          <w:jc w:val="center"/>
        </w:trPr>
        <w:tc>
          <w:tcPr>
            <w:tcW w:w="8845" w:type="dxa"/>
            <w:gridSpan w:val="3"/>
            <w:tcBorders>
              <w:top w:val="nil"/>
              <w:left w:val="nil"/>
              <w:bottom w:val="double" w:sz="4" w:space="0" w:color="auto"/>
              <w:right w:val="nil"/>
            </w:tcBorders>
          </w:tcPr>
          <w:p w14:paraId="3E7A226E"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B63B627" w14:textId="77777777" w:rsidR="0037591E" w:rsidRDefault="0037591E" w:rsidP="00E45249">
            <w:pPr>
              <w:pStyle w:val="Alishlah2authorcorrespondence"/>
            </w:pPr>
            <w:proofErr w:type="spellStart"/>
            <w:r w:rsidRPr="0037591E">
              <w:t>Sukisno</w:t>
            </w:r>
            <w:proofErr w:type="spellEnd"/>
            <w:r w:rsidRPr="0037591E">
              <w:t xml:space="preserve"> </w:t>
            </w:r>
          </w:p>
          <w:p w14:paraId="684D47AD" w14:textId="4B45C7C5" w:rsidR="0048254D" w:rsidRPr="0048254D" w:rsidRDefault="0037591E" w:rsidP="0037591E">
            <w:pPr>
              <w:pStyle w:val="Alishlah2authorcorrespondence"/>
              <w:tabs>
                <w:tab w:val="left" w:pos="1373"/>
              </w:tabs>
              <w:ind w:left="173" w:firstLine="0"/>
            </w:pPr>
            <w:r w:rsidRPr="0037591E">
              <w:rPr>
                <w:color w:val="auto"/>
                <w:lang w:val="en-GB"/>
              </w:rPr>
              <w:t xml:space="preserve">Faculty of Teaching and Education Science, University of PGRI </w:t>
            </w:r>
            <w:proofErr w:type="spellStart"/>
            <w:r w:rsidRPr="0037591E">
              <w:rPr>
                <w:color w:val="auto"/>
                <w:lang w:val="en-GB"/>
              </w:rPr>
              <w:t>Ronggolawe</w:t>
            </w:r>
            <w:proofErr w:type="spellEnd"/>
            <w:r w:rsidRPr="0037591E">
              <w:rPr>
                <w:color w:val="auto"/>
                <w:lang w:val="en-GB"/>
              </w:rPr>
              <w:t xml:space="preserve">, </w:t>
            </w:r>
            <w:proofErr w:type="spellStart"/>
            <w:r w:rsidRPr="0037591E">
              <w:rPr>
                <w:color w:val="auto"/>
                <w:lang w:val="en-GB"/>
              </w:rPr>
              <w:t>Tuban</w:t>
            </w:r>
            <w:proofErr w:type="spellEnd"/>
            <w:r w:rsidRPr="0037591E">
              <w:rPr>
                <w:color w:val="auto"/>
                <w:lang w:val="en-GB"/>
              </w:rPr>
              <w:t>, East Java, Indonesia; john_kisno@yahoo.com</w:t>
            </w:r>
          </w:p>
        </w:tc>
      </w:tr>
    </w:tbl>
    <w:p w14:paraId="259ED444" w14:textId="77777777" w:rsidR="008E64A2" w:rsidRPr="00A75CB1" w:rsidRDefault="0048254D" w:rsidP="00A10E86">
      <w:pPr>
        <w:pStyle w:val="Alishlah21heading1"/>
        <w:rPr>
          <w:lang w:val="en-GB"/>
        </w:rPr>
      </w:pPr>
      <w:r w:rsidRPr="00A75CB1">
        <w:rPr>
          <w:lang w:val="en-GB"/>
        </w:rPr>
        <w:t>INTRODUCTION</w:t>
      </w:r>
    </w:p>
    <w:p w14:paraId="7596AFFF" w14:textId="51F5A850" w:rsidR="001167AB" w:rsidRDefault="0032768B" w:rsidP="007B19F0">
      <w:pPr>
        <w:pStyle w:val="Alishlah31text"/>
        <w:rPr>
          <w:spacing w:val="-2"/>
        </w:rPr>
      </w:pPr>
      <w:r w:rsidRPr="0032768B">
        <w:rPr>
          <w:spacing w:val="-2"/>
        </w:rPr>
        <w:t>Moral values ​​provide direction and become a reference for actions taken, and help individuals or communities in maintaining harmony and social justice. Without morals, humans cannot carry out the process of socialization</w:t>
      </w:r>
      <w:r w:rsidR="004124A8">
        <w:rPr>
          <w:spacing w:val="-2"/>
        </w:rPr>
        <w:t xml:space="preserve"> </w:t>
      </w:r>
      <w:r w:rsidR="004124A8">
        <w:rPr>
          <w:rFonts w:ascii="Times New Roman" w:hAnsi="Times New Roman"/>
        </w:rPr>
        <w:fldChar w:fldCharType="begin"/>
      </w:r>
      <w:r w:rsidR="004124A8">
        <w:rPr>
          <w:rFonts w:ascii="Times New Roman" w:hAnsi="Times New Roman"/>
        </w:rPr>
        <w:instrText xml:space="preserve"> ADDIN ZOTERO_ITEM CSL_CITATION {"citationID":"pt31hx5w","properties":{"formattedCitation":"(Azmi et al., 2018; Dabdoub, 2021)","plainCitation":"(Azmi et al., 2018; Dabdoub, 2021)","noteIndex":0},"citationItems":[{"id":1196,"uris":["http://zotero.org/users/5885965/items/CMPCF5NI"],"itemData":{"id":1196,"type":"article-journal","container-title":"International Journal of Civil Engineering and Technology (IJCIET)","issue":"11","language":"en","source":"Zotero","title":"THE EFFECT OF VALUE CLARIFICATION LEARNING STRATEGIES AND SOCIAL INQUIRY ON CONCEPT COMPREHENSION AND STUDENT TOLERANCE ATTITUDES WITH DIFFERENT COGNITIVE STYLE","volume":"9","author":[{"family":"Azmi","given":"Shofiyatul"},{"family":"Degeng","given":"I Nyoman Sudana"},{"family":"Kamdi","given":"Waras"},{"family":"Setyosari","given":"Punaji"},{"family":"Wiyono","given":"Suko"}],"issued":{"date-parts":[["2018"]]}}},{"id":1200,"uris":["http://zotero.org/users/5885965/items/C62ICJUY"],"itemData":{"id":1200,"type":"article-journal","abstract":"La educación en valores morales es un ámbito que ha generado polémica en los siglos XX y XXI, especialmente por un rechazo social hacia el posible adoctrinamiento de los estudiantes. La metodología de Clarificación de valores de Louis Raths fue una de las propuestas más representativas que intentaron plantear una educación moral libre de adoctrinamiento. Sin profundizar en argumentos filosóficos que ya han sido tratados en numerosas publicaciones, el artículo estudia la historia de este planteamiento, para aprender de los esfuerzos, retos, victorias y fracasos de aquellos que nos han antecedido en la tarea de educar ciudadanos con convicciones morales. El artículo comienza exponiendo los puntos principales del pensamiento del psicólogo Carl Rogers que más influyeron en el origen de esta metodología. Después, se introduce el contexto social en el que surge el programa de la Clarificación de valores, una descripción detallada de sus notas esenciales, la buena acogida que recibió y, por último, las críticas y evaluaciones que condujeron a su vertiginoso declive. A modo de conclusión, se presentan tres breves reflexiones sobre la educación moral que, aunque no son novedosas, se ven reforzadas por el estudio realizado en este artículo.","container-title":"Revista Española de Pedagogía","DOI":"10.22550/REP79-2-2021-06","ISSN":"00349461, 21740909","issue":"279","journalAbbreviation":"REP","language":"es","source":"DOI.org (Crossref)","title":"Apuntes para una historia de la Clarificación de valores: origen, desarrollo, declive y reflexiones","title-short":"Apuntes para una historia de la Clarificación de valores","URL":"https://www.revistadepedagogia.org/rep/vol79/iss279/12","volume":"79","author":[{"family":"Dabdoub","given":"Juan P."}],"accessed":{"date-parts":[["2024",5,24]]},"issued":{"date-parts":[["2021",5,1]]}}}],"schema":"https://github.com/citation-style-language/schema/raw/master/csl-citation.json"} </w:instrText>
      </w:r>
      <w:r w:rsidR="004124A8">
        <w:rPr>
          <w:rFonts w:ascii="Times New Roman" w:hAnsi="Times New Roman"/>
        </w:rPr>
        <w:fldChar w:fldCharType="separate"/>
      </w:r>
      <w:r w:rsidR="004124A8" w:rsidRPr="008D699D">
        <w:rPr>
          <w:rFonts w:ascii="Times New Roman" w:hAnsi="Times New Roman"/>
        </w:rPr>
        <w:t>(</w:t>
      </w:r>
      <w:r w:rsidR="004124A8">
        <w:rPr>
          <w:rFonts w:ascii="Times New Roman" w:hAnsi="Times New Roman"/>
        </w:rPr>
        <w:t>Devereux et al., 2021</w:t>
      </w:r>
      <w:r w:rsidR="004124A8" w:rsidRPr="008D699D">
        <w:rPr>
          <w:rFonts w:ascii="Times New Roman" w:hAnsi="Times New Roman"/>
        </w:rPr>
        <w:t>)</w:t>
      </w:r>
      <w:r w:rsidR="004124A8">
        <w:rPr>
          <w:rFonts w:ascii="Times New Roman" w:hAnsi="Times New Roman"/>
        </w:rPr>
        <w:fldChar w:fldCharType="end"/>
      </w:r>
      <w:r>
        <w:rPr>
          <w:spacing w:val="-2"/>
        </w:rPr>
        <w:t>.</w:t>
      </w:r>
      <w:r w:rsidR="004124A8" w:rsidRPr="004124A8">
        <w:t xml:space="preserve"> </w:t>
      </w:r>
      <w:r w:rsidR="004124A8" w:rsidRPr="004124A8">
        <w:rPr>
          <w:spacing w:val="-2"/>
        </w:rPr>
        <w:t xml:space="preserve">Morals are a person's actions/behavior/words when </w:t>
      </w:r>
      <w:r w:rsidR="004124A8" w:rsidRPr="004124A8">
        <w:rPr>
          <w:spacing w:val="-2"/>
        </w:rPr>
        <w:lastRenderedPageBreak/>
        <w:t>interacting with other people. If what a person does is in accordance with the values ​​that apply in society, then that person is considered to have good morals, and vice versa</w:t>
      </w:r>
      <w:r w:rsidR="004124A8">
        <w:rPr>
          <w:spacing w:val="-2"/>
        </w:rPr>
        <w:t xml:space="preserve"> </w:t>
      </w:r>
      <w:r w:rsidR="004124A8">
        <w:rPr>
          <w:rFonts w:ascii="Times New Roman" w:hAnsi="Times New Roman"/>
        </w:rPr>
        <w:fldChar w:fldCharType="begin"/>
      </w:r>
      <w:r w:rsidR="004124A8">
        <w:rPr>
          <w:rFonts w:ascii="Times New Roman" w:hAnsi="Times New Roman"/>
        </w:rPr>
        <w:instrText xml:space="preserve"> ADDIN ZOTERO_ITEM CSL_CITATION {"citationID":"pt31hx5w","properties":{"formattedCitation":"(Azmi et al., 2018; Dabdoub, 2021)","plainCitation":"(Azmi et al., 2018; Dabdoub, 2021)","noteIndex":0},"citationItems":[{"id":1196,"uris":["http://zotero.org/users/5885965/items/CMPCF5NI"],"itemData":{"id":1196,"type":"article-journal","container-title":"International Journal of Civil Engineering and Technology (IJCIET)","issue":"11","language":"en","source":"Zotero","title":"THE EFFECT OF VALUE CLARIFICATION LEARNING STRATEGIES AND SOCIAL INQUIRY ON CONCEPT COMPREHENSION AND STUDENT TOLERANCE ATTITUDES WITH DIFFERENT COGNITIVE STYLE","volume":"9","author":[{"family":"Azmi","given":"Shofiyatul"},{"family":"Degeng","given":"I Nyoman Sudana"},{"family":"Kamdi","given":"Waras"},{"family":"Setyosari","given":"Punaji"},{"family":"Wiyono","given":"Suko"}],"issued":{"date-parts":[["2018"]]}}},{"id":1200,"uris":["http://zotero.org/users/5885965/items/C62ICJUY"],"itemData":{"id":1200,"type":"article-journal","abstract":"La educación en valores morales es un ámbito que ha generado polémica en los siglos XX y XXI, especialmente por un rechazo social hacia el posible adoctrinamiento de los estudiantes. La metodología de Clarificación de valores de Louis Raths fue una de las propuestas más representativas que intentaron plantear una educación moral libre de adoctrinamiento. Sin profundizar en argumentos filosóficos que ya han sido tratados en numerosas publicaciones, el artículo estudia la historia de este planteamiento, para aprender de los esfuerzos, retos, victorias y fracasos de aquellos que nos han antecedido en la tarea de educar ciudadanos con convicciones morales. El artículo comienza exponiendo los puntos principales del pensamiento del psicólogo Carl Rogers que más influyeron en el origen de esta metodología. Después, se introduce el contexto social en el que surge el programa de la Clarificación de valores, una descripción detallada de sus notas esenciales, la buena acogida que recibió y, por último, las críticas y evaluaciones que condujeron a su vertiginoso declive. A modo de conclusión, se presentan tres breves reflexiones sobre la educación moral que, aunque no son novedosas, se ven reforzadas por el estudio realizado en este artículo.","container-title":"Revista Española de Pedagogía","DOI":"10.22550/REP79-2-2021-06","ISSN":"00349461, 21740909","issue":"279","journalAbbreviation":"REP","language":"es","source":"DOI.org (Crossref)","title":"Apuntes para una historia de la Clarificación de valores: origen, desarrollo, declive y reflexiones","title-short":"Apuntes para una historia de la Clarificación de valores","URL":"https://www.revistadepedagogia.org/rep/vol79/iss279/12","volume":"79","author":[{"family":"Dabdoub","given":"Juan P."}],"accessed":{"date-parts":[["2024",5,24]]},"issued":{"date-parts":[["2021",5,1]]}}}],"schema":"https://github.com/citation-style-language/schema/raw/master/csl-citation.json"} </w:instrText>
      </w:r>
      <w:r w:rsidR="004124A8">
        <w:rPr>
          <w:rFonts w:ascii="Times New Roman" w:hAnsi="Times New Roman"/>
        </w:rPr>
        <w:fldChar w:fldCharType="separate"/>
      </w:r>
      <w:r w:rsidR="004124A8" w:rsidRPr="008D699D">
        <w:rPr>
          <w:rFonts w:ascii="Times New Roman" w:hAnsi="Times New Roman"/>
        </w:rPr>
        <w:t>(Azmi et al., 2018; Dabdoub, 2021)</w:t>
      </w:r>
      <w:r w:rsidR="004124A8">
        <w:rPr>
          <w:rFonts w:ascii="Times New Roman" w:hAnsi="Times New Roman"/>
        </w:rPr>
        <w:fldChar w:fldCharType="end"/>
      </w:r>
      <w:r w:rsidR="004124A8" w:rsidRPr="004124A8">
        <w:rPr>
          <w:spacing w:val="-2"/>
        </w:rPr>
        <w:t>.</w:t>
      </w:r>
      <w:r w:rsidR="004124A8">
        <w:rPr>
          <w:spacing w:val="-2"/>
        </w:rPr>
        <w:t xml:space="preserve"> </w:t>
      </w:r>
      <w:r w:rsidR="004124A8" w:rsidRPr="004124A8">
        <w:rPr>
          <w:spacing w:val="-2"/>
        </w:rPr>
        <w:t>Creating and directing someone to become more moral is education which is intended for humans to learn to become moral humans</w:t>
      </w:r>
      <w:r w:rsidR="004124A8">
        <w:rPr>
          <w:spacing w:val="-2"/>
        </w:rPr>
        <w:t xml:space="preserve"> </w:t>
      </w:r>
      <w:r w:rsidR="0019168A">
        <w:rPr>
          <w:rFonts w:ascii="Times New Roman" w:hAnsi="Times New Roman"/>
        </w:rPr>
        <w:fldChar w:fldCharType="begin"/>
      </w:r>
      <w:r w:rsidR="0019168A">
        <w:rPr>
          <w:rFonts w:ascii="Times New Roman" w:hAnsi="Times New Roman"/>
        </w:rPr>
        <w:instrText xml:space="preserve"> ADDIN ZOTERO_ITEM CSL_CITATION {"citationID":"pt31hx5w","properties":{"formattedCitation":"(Azmi et al., 2018; Dabdoub, 2021)","plainCitation":"(Azmi et al., 2018; Dabdoub, 2021)","noteIndex":0},"citationItems":[{"id":1196,"uris":["http://zotero.org/users/5885965/items/CMPCF5NI"],"itemData":{"id":1196,"type":"article-journal","container-title":"International Journal of Civil Engineering and Technology (IJCIET)","issue":"11","language":"en","source":"Zotero","title":"THE EFFECT OF VALUE CLARIFICATION LEARNING STRATEGIES AND SOCIAL INQUIRY ON CONCEPT COMPREHENSION AND STUDENT TOLERANCE ATTITUDES WITH DIFFERENT COGNITIVE STYLE","volume":"9","author":[{"family":"Azmi","given":"Shofiyatul"},{"family":"Degeng","given":"I Nyoman Sudana"},{"family":"Kamdi","given":"Waras"},{"family":"Setyosari","given":"Punaji"},{"family":"Wiyono","given":"Suko"}],"issued":{"date-parts":[["2018"]]}}},{"id":1200,"uris":["http://zotero.org/users/5885965/items/C62ICJUY"],"itemData":{"id":1200,"type":"article-journal","abstract":"La educación en valores morales es un ámbito que ha generado polémica en los siglos XX y XXI, especialmente por un rechazo social hacia el posible adoctrinamiento de los estudiantes. La metodología de Clarificación de valores de Louis Raths fue una de las propuestas más representativas que intentaron plantear una educación moral libre de adoctrinamiento. Sin profundizar en argumentos filosóficos que ya han sido tratados en numerosas publicaciones, el artículo estudia la historia de este planteamiento, para aprender de los esfuerzos, retos, victorias y fracasos de aquellos que nos han antecedido en la tarea de educar ciudadanos con convicciones morales. El artículo comienza exponiendo los puntos principales del pensamiento del psicólogo Carl Rogers que más influyeron en el origen de esta metodología. Después, se introduce el contexto social en el que surge el programa de la Clarificación de valores, una descripción detallada de sus notas esenciales, la buena acogida que recibió y, por último, las críticas y evaluaciones que condujeron a su vertiginoso declive. A modo de conclusión, se presentan tres breves reflexiones sobre la educación moral que, aunque no son novedosas, se ven reforzadas por el estudio realizado en este artículo.","container-title":"Revista Española de Pedagogía","DOI":"10.22550/REP79-2-2021-06","ISSN":"00349461, 21740909","issue":"279","journalAbbreviation":"REP","language":"es","source":"DOI.org (Crossref)","title":"Apuntes para una historia de la Clarificación de valores: origen, desarrollo, declive y reflexiones","title-short":"Apuntes para una historia de la Clarificación de valores","URL":"https://www.revistadepedagogia.org/rep/vol79/iss279/12","volume":"79","author":[{"family":"Dabdoub","given":"Juan P."}],"accessed":{"date-parts":[["2024",5,24]]},"issued":{"date-parts":[["2021",5,1]]}}}],"schema":"https://github.com/citation-style-language/schema/raw/master/csl-citation.json"} </w:instrText>
      </w:r>
      <w:r w:rsidR="0019168A">
        <w:rPr>
          <w:rFonts w:ascii="Times New Roman" w:hAnsi="Times New Roman"/>
        </w:rPr>
        <w:fldChar w:fldCharType="separate"/>
      </w:r>
      <w:r w:rsidR="0019168A" w:rsidRPr="008D699D">
        <w:rPr>
          <w:rFonts w:ascii="Times New Roman" w:hAnsi="Times New Roman"/>
        </w:rPr>
        <w:t>(</w:t>
      </w:r>
      <w:r w:rsidR="0019168A">
        <w:rPr>
          <w:rFonts w:ascii="Times New Roman" w:hAnsi="Times New Roman"/>
        </w:rPr>
        <w:t>Azmi et al., 2018</w:t>
      </w:r>
      <w:r w:rsidR="0019168A" w:rsidRPr="008D699D">
        <w:rPr>
          <w:rFonts w:ascii="Times New Roman" w:hAnsi="Times New Roman"/>
        </w:rPr>
        <w:t>)</w:t>
      </w:r>
      <w:r w:rsidR="0019168A">
        <w:rPr>
          <w:rFonts w:ascii="Times New Roman" w:hAnsi="Times New Roman"/>
        </w:rPr>
        <w:fldChar w:fldCharType="end"/>
      </w:r>
      <w:r w:rsidR="004124A8" w:rsidRPr="004124A8">
        <w:rPr>
          <w:spacing w:val="-2"/>
        </w:rPr>
        <w:t>.</w:t>
      </w:r>
      <w:r w:rsidR="004124A8">
        <w:rPr>
          <w:spacing w:val="-2"/>
        </w:rPr>
        <w:t xml:space="preserve"> </w:t>
      </w:r>
      <w:r w:rsidR="004124A8" w:rsidRPr="004124A8">
        <w:rPr>
          <w:spacing w:val="-2"/>
        </w:rPr>
        <w:t>At least, there are many factors that contribute to influencing moral quality among students, one of which is the role model of teachers, parents, and society.</w:t>
      </w:r>
      <w:r w:rsidR="004124A8">
        <w:rPr>
          <w:spacing w:val="-2"/>
        </w:rPr>
        <w:t xml:space="preserve"> </w:t>
      </w:r>
      <w:r w:rsidR="004124A8" w:rsidRPr="004124A8">
        <w:rPr>
          <w:spacing w:val="-2"/>
        </w:rPr>
        <w:t>However, this role model in Indonesia is considered rare. The occurrence of various negative behaviors carried out by the nation's children, one of which is caused by the crisis of role models among the nation's leaders. This condition makes children no longer care about teacher advice because examples of negative behavior displayed by political elites that children obtain outside the classroom through mass media have a much greater influence on the formation of their personality. As a result, schools, especially teachers, are no longer able to stem this negative culture</w:t>
      </w:r>
      <w:r w:rsidR="0019168A">
        <w:rPr>
          <w:spacing w:val="-2"/>
        </w:rPr>
        <w:t xml:space="preserve"> </w:t>
      </w:r>
      <w:r w:rsidR="0019168A">
        <w:rPr>
          <w:rFonts w:ascii="Times New Roman" w:hAnsi="Times New Roman"/>
        </w:rPr>
        <w:fldChar w:fldCharType="begin"/>
      </w:r>
      <w:r w:rsidR="0019168A">
        <w:rPr>
          <w:rFonts w:ascii="Times New Roman" w:hAnsi="Times New Roman"/>
        </w:rPr>
        <w:instrText xml:space="preserve"> ADDIN ZOTERO_ITEM CSL_CITATION {"citationID":"pt31hx5w","properties":{"formattedCitation":"(Azmi et al., 2018; Dabdoub, 2021)","plainCitation":"(Azmi et al., 2018; Dabdoub, 2021)","noteIndex":0},"citationItems":[{"id":1196,"uris":["http://zotero.org/users/5885965/items/CMPCF5NI"],"itemData":{"id":1196,"type":"article-journal","container-title":"International Journal of Civil Engineering and Technology (IJCIET)","issue":"11","language":"en","source":"Zotero","title":"THE EFFECT OF VALUE CLARIFICATION LEARNING STRATEGIES AND SOCIAL INQUIRY ON CONCEPT COMPREHENSION AND STUDENT TOLERANCE ATTITUDES WITH DIFFERENT COGNITIVE STYLE","volume":"9","author":[{"family":"Azmi","given":"Shofiyatul"},{"family":"Degeng","given":"I Nyoman Sudana"},{"family":"Kamdi","given":"Waras"},{"family":"Setyosari","given":"Punaji"},{"family":"Wiyono","given":"Suko"}],"issued":{"date-parts":[["2018"]]}}},{"id":1200,"uris":["http://zotero.org/users/5885965/items/C62ICJUY"],"itemData":{"id":1200,"type":"article-journal","abstract":"La educación en valores morales es un ámbito que ha generado polémica en los siglos XX y XXI, especialmente por un rechazo social hacia el posible adoctrinamiento de los estudiantes. La metodología de Clarificación de valores de Louis Raths fue una de las propuestas más representativas que intentaron plantear una educación moral libre de adoctrinamiento. Sin profundizar en argumentos filosóficos que ya han sido tratados en numerosas publicaciones, el artículo estudia la historia de este planteamiento, para aprender de los esfuerzos, retos, victorias y fracasos de aquellos que nos han antecedido en la tarea de educar ciudadanos con convicciones morales. El artículo comienza exponiendo los puntos principales del pensamiento del psicólogo Carl Rogers que más influyeron en el origen de esta metodología. Después, se introduce el contexto social en el que surge el programa de la Clarificación de valores, una descripción detallada de sus notas esenciales, la buena acogida que recibió y, por último, las críticas y evaluaciones que condujeron a su vertiginoso declive. A modo de conclusión, se presentan tres breves reflexiones sobre la educación moral que, aunque no son novedosas, se ven reforzadas por el estudio realizado en este artículo.","container-title":"Revista Española de Pedagogía","DOI":"10.22550/REP79-2-2021-06","ISSN":"00349461, 21740909","issue":"279","journalAbbreviation":"REP","language":"es","source":"DOI.org (Crossref)","title":"Apuntes para una historia de la Clarificación de valores: origen, desarrollo, declive y reflexiones","title-short":"Apuntes para una historia de la Clarificación de valores","URL":"https://www.revistadepedagogia.org/rep/vol79/iss279/12","volume":"79","author":[{"family":"Dabdoub","given":"Juan P."}],"accessed":{"date-parts":[["2024",5,24]]},"issued":{"date-parts":[["2021",5,1]]}}}],"schema":"https://github.com/citation-style-language/schema/raw/master/csl-citation.json"} </w:instrText>
      </w:r>
      <w:r w:rsidR="0019168A">
        <w:rPr>
          <w:rFonts w:ascii="Times New Roman" w:hAnsi="Times New Roman"/>
        </w:rPr>
        <w:fldChar w:fldCharType="separate"/>
      </w:r>
      <w:r w:rsidR="0019168A" w:rsidRPr="008D699D">
        <w:rPr>
          <w:rFonts w:ascii="Times New Roman" w:hAnsi="Times New Roman"/>
        </w:rPr>
        <w:t>(</w:t>
      </w:r>
      <w:proofErr w:type="spellStart"/>
      <w:r w:rsidR="0019168A">
        <w:rPr>
          <w:rFonts w:ascii="Times New Roman" w:hAnsi="Times New Roman"/>
        </w:rPr>
        <w:t>Agus</w:t>
      </w:r>
      <w:proofErr w:type="spellEnd"/>
      <w:r w:rsidR="0019168A">
        <w:rPr>
          <w:rFonts w:ascii="Times New Roman" w:hAnsi="Times New Roman"/>
        </w:rPr>
        <w:t>, 2012</w:t>
      </w:r>
      <w:r w:rsidR="0019168A" w:rsidRPr="008D699D">
        <w:rPr>
          <w:rFonts w:ascii="Times New Roman" w:hAnsi="Times New Roman"/>
        </w:rPr>
        <w:t>)</w:t>
      </w:r>
      <w:r w:rsidR="0019168A">
        <w:rPr>
          <w:rFonts w:ascii="Times New Roman" w:hAnsi="Times New Roman"/>
        </w:rPr>
        <w:fldChar w:fldCharType="end"/>
      </w:r>
      <w:r w:rsidR="0019168A">
        <w:rPr>
          <w:spacing w:val="-2"/>
        </w:rPr>
        <w:t>.</w:t>
      </w:r>
    </w:p>
    <w:p w14:paraId="52BF6400" w14:textId="77777777" w:rsidR="00F76B02" w:rsidRDefault="00F76B02" w:rsidP="005B5AEC">
      <w:pPr>
        <w:pStyle w:val="Alishlah31text"/>
        <w:rPr>
          <w:spacing w:val="-2"/>
        </w:rPr>
      </w:pPr>
      <w:r w:rsidRPr="00F76B02">
        <w:rPr>
          <w:spacing w:val="-2"/>
        </w:rPr>
        <w:t>Moral education is an awareness that can help students through knowledge, skills, attitudes and values ​​that contribute to personal satisfaction and social life</w:t>
      </w:r>
      <w:r>
        <w:rPr>
          <w:spacing w:val="-2"/>
        </w:rPr>
        <w:t xml:space="preserve"> </w:t>
      </w:r>
      <w:r>
        <w:rPr>
          <w:rFonts w:ascii="Times New Roman" w:hAnsi="Times New Roman"/>
        </w:rPr>
        <w:fldChar w:fldCharType="begin"/>
      </w:r>
      <w:r>
        <w:rPr>
          <w:rFonts w:ascii="Times New Roman" w:hAnsi="Times New Roman"/>
        </w:rPr>
        <w:instrText xml:space="preserve"> ADDIN ZOTERO_ITEM CSL_CITATION {"citationID":"pt31hx5w","properties":{"formattedCitation":"(Azmi et al., 2018; Dabdoub, 2021)","plainCitation":"(Azmi et al., 2018; Dabdoub, 2021)","noteIndex":0},"citationItems":[{"id":1196,"uris":["http://zotero.org/users/5885965/items/CMPCF5NI"],"itemData":{"id":1196,"type":"article-journal","container-title":"International Journal of Civil Engineering and Technology (IJCIET)","issue":"11","language":"en","source":"Zotero","title":"THE EFFECT OF VALUE CLARIFICATION LEARNING STRATEGIES AND SOCIAL INQUIRY ON CONCEPT COMPREHENSION AND STUDENT TOLERANCE ATTITUDES WITH DIFFERENT COGNITIVE STYLE","volume":"9","author":[{"family":"Azmi","given":"Shofiyatul"},{"family":"Degeng","given":"I Nyoman Sudana"},{"family":"Kamdi","given":"Waras"},{"family":"Setyosari","given":"Punaji"},{"family":"Wiyono","given":"Suko"}],"issued":{"date-parts":[["2018"]]}}},{"id":1200,"uris":["http://zotero.org/users/5885965/items/C62ICJUY"],"itemData":{"id":1200,"type":"article-journal","abstract":"La educación en valores morales es un ámbito que ha generado polémica en los siglos XX y XXI, especialmente por un rechazo social hacia el posible adoctrinamiento de los estudiantes. La metodología de Clarificación de valores de Louis Raths fue una de las propuestas más representativas que intentaron plantear una educación moral libre de adoctrinamiento. Sin profundizar en argumentos filosóficos que ya han sido tratados en numerosas publicaciones, el artículo estudia la historia de este planteamiento, para aprender de los esfuerzos, retos, victorias y fracasos de aquellos que nos han antecedido en la tarea de educar ciudadanos con convicciones morales. El artículo comienza exponiendo los puntos principales del pensamiento del psicólogo Carl Rogers que más influyeron en el origen de esta metodología. Después, se introduce el contexto social en el que surge el programa de la Clarificación de valores, una descripción detallada de sus notas esenciales, la buena acogida que recibió y, por último, las críticas y evaluaciones que condujeron a su vertiginoso declive. A modo de conclusión, se presentan tres breves reflexiones sobre la educación moral que, aunque no son novedosas, se ven reforzadas por el estudio realizado en este artículo.","container-title":"Revista Española de Pedagogía","DOI":"10.22550/REP79-2-2021-06","ISSN":"00349461, 21740909","issue":"279","journalAbbreviation":"REP","language":"es","source":"DOI.org (Crossref)","title":"Apuntes para una historia de la Clarificación de valores: origen, desarrollo, declive y reflexiones","title-short":"Apuntes para una historia de la Clarificación de valores","URL":"https://www.revistadepedagogia.org/rep/vol79/iss279/12","volume":"79","author":[{"family":"Dabdoub","given":"Juan P."}],"accessed":{"date-parts":[["2024",5,24]]},"issued":{"date-parts":[["2021",5,1]]}}}],"schema":"https://github.com/citation-style-language/schema/raw/master/csl-citation.json"} </w:instrText>
      </w:r>
      <w:r>
        <w:rPr>
          <w:rFonts w:ascii="Times New Roman" w:hAnsi="Times New Roman"/>
        </w:rPr>
        <w:fldChar w:fldCharType="separate"/>
      </w:r>
      <w:r w:rsidRPr="008D699D">
        <w:rPr>
          <w:rFonts w:ascii="Times New Roman" w:hAnsi="Times New Roman"/>
        </w:rPr>
        <w:t>(</w:t>
      </w:r>
      <w:r>
        <w:rPr>
          <w:rFonts w:ascii="Times New Roman" w:hAnsi="Times New Roman"/>
        </w:rPr>
        <w:t>Dewi et al., 2022</w:t>
      </w:r>
      <w:r w:rsidRPr="008D699D">
        <w:rPr>
          <w:rFonts w:ascii="Times New Roman" w:hAnsi="Times New Roman"/>
        </w:rPr>
        <w:t>)</w:t>
      </w:r>
      <w:r>
        <w:rPr>
          <w:rFonts w:ascii="Times New Roman" w:hAnsi="Times New Roman"/>
        </w:rPr>
        <w:fldChar w:fldCharType="end"/>
      </w:r>
      <w:r w:rsidRPr="004124A8">
        <w:rPr>
          <w:spacing w:val="-2"/>
        </w:rPr>
        <w:t>.</w:t>
      </w:r>
      <w:r w:rsidR="000A3243">
        <w:rPr>
          <w:spacing w:val="-2"/>
        </w:rPr>
        <w:t xml:space="preserve"> </w:t>
      </w:r>
      <w:r w:rsidR="000A3243" w:rsidRPr="000A3243">
        <w:rPr>
          <w:spacing w:val="-2"/>
        </w:rPr>
        <w:t>The definition shows that moral education has two goals. First, to help the younger generation acquire knowledge, skills, attitudes, and values ​​to increase life satisfaction. Second, to help individuals realize their social life, while contributing to the formation of a better society based on concern and love for humans and creatures, without interfering with the rights of others to realize their legal values. Morals are very important for civilized humans. Morals are formed through education and there are human character factors.</w:t>
      </w:r>
    </w:p>
    <w:p w14:paraId="0FD57241" w14:textId="77777777" w:rsidR="00F34AA1" w:rsidRDefault="0016441B" w:rsidP="005B5AEC">
      <w:pPr>
        <w:pStyle w:val="Alishlah31text"/>
        <w:rPr>
          <w:spacing w:val="-2"/>
        </w:rPr>
      </w:pPr>
      <w:r w:rsidRPr="0016441B">
        <w:rPr>
          <w:spacing w:val="-2"/>
        </w:rPr>
        <w:t xml:space="preserve">Several factors that influence moral behavior, namely cognitive factors, emotional factors, personality factors, and situational factors "while Kohlberg stated that the moral stage is not the only determinant of moral behavior. Meanwhile, there are other factors such as social agreement, perception of risk, and interest in equality but Kohlberg believes that the moral stage is a "good predictor of behavior". According to Piaget, children think about morality in 2 ways, namely the </w:t>
      </w:r>
      <w:r w:rsidRPr="0016441B">
        <w:rPr>
          <w:i/>
          <w:iCs/>
          <w:spacing w:val="-2"/>
        </w:rPr>
        <w:t>heteronomous</w:t>
      </w:r>
      <w:r w:rsidRPr="0016441B">
        <w:rPr>
          <w:spacing w:val="-2"/>
        </w:rPr>
        <w:t xml:space="preserve"> way (ages 4-7 years), where children consider justice and rules as properties of the world (environment) that are unchanging and beyond human control and the </w:t>
      </w:r>
      <w:r w:rsidRPr="0016441B">
        <w:rPr>
          <w:i/>
          <w:iCs/>
          <w:spacing w:val="-2"/>
        </w:rPr>
        <w:t xml:space="preserve">autonomous </w:t>
      </w:r>
      <w:r w:rsidRPr="0016441B">
        <w:rPr>
          <w:spacing w:val="-2"/>
        </w:rPr>
        <w:t xml:space="preserve">way (ages 10 years and above) where children are already aware of something. Piaget then divided the stages of children's moral development into two stages, namely the </w:t>
      </w:r>
      <w:r w:rsidRPr="0016441B">
        <w:rPr>
          <w:i/>
          <w:iCs/>
          <w:spacing w:val="-2"/>
        </w:rPr>
        <w:t>heteronomous</w:t>
      </w:r>
      <w:r w:rsidRPr="0016441B">
        <w:rPr>
          <w:spacing w:val="-2"/>
        </w:rPr>
        <w:t xml:space="preserve"> stage and the </w:t>
      </w:r>
      <w:r w:rsidRPr="0016441B">
        <w:rPr>
          <w:i/>
          <w:iCs/>
          <w:spacing w:val="-2"/>
        </w:rPr>
        <w:t>autonomous</w:t>
      </w:r>
      <w:r w:rsidRPr="0016441B">
        <w:rPr>
          <w:spacing w:val="-2"/>
        </w:rPr>
        <w:t xml:space="preserve"> stage. develops through three different levels although not all children are able to master it. Kohlberg and Piaget view humans more from an empirical perspective. Moral development is influenced by the learning process, especially learning about values ​​that have been taught, although it is not the only one that determines moral development.</w:t>
      </w:r>
    </w:p>
    <w:p w14:paraId="136C30B0" w14:textId="61B456B8" w:rsidR="0016441B" w:rsidRDefault="00F34AA1" w:rsidP="005B5AEC">
      <w:pPr>
        <w:pStyle w:val="Alishlah31text"/>
        <w:rPr>
          <w:spacing w:val="-2"/>
        </w:rPr>
      </w:pPr>
      <w:r w:rsidRPr="00F34AA1">
        <w:rPr>
          <w:spacing w:val="-2"/>
        </w:rPr>
        <w:t>Despite the potential benefits of value clarification and locus of control in enhancing moral development, there is a scarcity of empirical studies examining the combined effect of these approaches in educational settings.</w:t>
      </w:r>
      <w:r>
        <w:rPr>
          <w:spacing w:val="-2"/>
        </w:rPr>
        <w:t xml:space="preserve"> </w:t>
      </w:r>
      <w:r w:rsidRPr="00F34AA1">
        <w:rPr>
          <w:spacing w:val="-2"/>
        </w:rPr>
        <w:t>The novelty of this study lies in its combined approach, providing a more holistic understanding of moral education.</w:t>
      </w:r>
    </w:p>
    <w:p w14:paraId="38949DDD" w14:textId="77777777" w:rsidR="0016441B" w:rsidRDefault="0016441B" w:rsidP="005B5AEC">
      <w:pPr>
        <w:pStyle w:val="Alishlah31text"/>
        <w:rPr>
          <w:spacing w:val="-2"/>
        </w:rPr>
      </w:pPr>
      <w:r w:rsidRPr="0016441B">
        <w:rPr>
          <w:spacing w:val="-2"/>
        </w:rPr>
        <w:t>The learning process in Higher Education where students are the subjects of learning, moral development is not only influenced by learning about values ​​but also locus of control which will have an impact on students' moral development. The purpose of this study is to analyze the influence of value clarification and locus of control on students' moral development.</w:t>
      </w:r>
    </w:p>
    <w:p w14:paraId="3878FD87" w14:textId="77777777" w:rsidR="0016441B" w:rsidRDefault="0016441B" w:rsidP="005B5AEC">
      <w:pPr>
        <w:pStyle w:val="Alishlah31text"/>
        <w:rPr>
          <w:spacing w:val="-2"/>
        </w:rPr>
      </w:pPr>
    </w:p>
    <w:p w14:paraId="14A30082" w14:textId="77777777" w:rsidR="005B5AEC" w:rsidRPr="00723B12" w:rsidRDefault="005B5AEC" w:rsidP="005B5AEC">
      <w:pPr>
        <w:pStyle w:val="Alishlah21heading1"/>
        <w:rPr>
          <w:rFonts w:eastAsia="Arial"/>
        </w:rPr>
      </w:pPr>
      <w:r w:rsidRPr="00723B12">
        <w:rPr>
          <w:rFonts w:eastAsia="Arial"/>
        </w:rPr>
        <w:t xml:space="preserve">METHODS </w:t>
      </w:r>
    </w:p>
    <w:p w14:paraId="38659329" w14:textId="26839EDE" w:rsidR="008A36D6" w:rsidRDefault="008A36D6" w:rsidP="002B31FD">
      <w:pPr>
        <w:pStyle w:val="Alishlah31text"/>
        <w:rPr>
          <w:rFonts w:eastAsia="SimSun"/>
          <w:spacing w:val="-2"/>
          <w:lang w:val="en-ID" w:eastAsia="zh-CN"/>
        </w:rPr>
      </w:pPr>
      <w:r>
        <w:rPr>
          <w:rFonts w:eastAsia="SimSun"/>
          <w:spacing w:val="-2"/>
          <w:lang w:val="en-ID" w:eastAsia="zh-CN"/>
        </w:rPr>
        <w:t>T</w:t>
      </w:r>
      <w:r w:rsidRPr="008A36D6">
        <w:rPr>
          <w:rFonts w:eastAsia="SimSun"/>
          <w:spacing w:val="-2"/>
          <w:lang w:val="en-ID" w:eastAsia="zh-CN"/>
        </w:rPr>
        <w:t>his study</w:t>
      </w:r>
      <w:r>
        <w:rPr>
          <w:rFonts w:eastAsia="SimSun"/>
          <w:spacing w:val="-2"/>
          <w:lang w:val="en-ID" w:eastAsia="zh-CN"/>
        </w:rPr>
        <w:t xml:space="preserve"> </w:t>
      </w:r>
      <w:r w:rsidRPr="008A36D6">
        <w:rPr>
          <w:rFonts w:eastAsia="SimSun"/>
          <w:spacing w:val="-2"/>
          <w:lang w:val="en-ID" w:eastAsia="zh-CN"/>
        </w:rPr>
        <w:t>applies</w:t>
      </w:r>
      <w:r w:rsidR="00043443">
        <w:rPr>
          <w:rFonts w:eastAsia="SimSun"/>
          <w:spacing w:val="-2"/>
          <w:lang w:val="en-ID" w:eastAsia="zh-CN"/>
        </w:rPr>
        <w:t xml:space="preserve"> </w:t>
      </w:r>
      <w:proofErr w:type="spellStart"/>
      <w:proofErr w:type="gramStart"/>
      <w:r w:rsidRPr="008A36D6">
        <w:rPr>
          <w:rFonts w:eastAsia="SimSun"/>
          <w:spacing w:val="-2"/>
          <w:lang w:val="en-ID" w:eastAsia="zh-CN"/>
        </w:rPr>
        <w:t>a</w:t>
      </w:r>
      <w:proofErr w:type="spellEnd"/>
      <w:proofErr w:type="gramEnd"/>
      <w:r>
        <w:rPr>
          <w:rFonts w:eastAsia="SimSun"/>
          <w:spacing w:val="-2"/>
          <w:lang w:val="en-ID" w:eastAsia="zh-CN"/>
        </w:rPr>
        <w:t xml:space="preserve"> </w:t>
      </w:r>
      <w:r w:rsidRPr="008A36D6">
        <w:rPr>
          <w:rFonts w:eastAsia="SimSun"/>
          <w:spacing w:val="-2"/>
          <w:lang w:val="en-ID" w:eastAsia="zh-CN"/>
        </w:rPr>
        <w:t>experimental</w:t>
      </w:r>
      <w:r>
        <w:rPr>
          <w:rFonts w:eastAsia="SimSun"/>
          <w:spacing w:val="-2"/>
          <w:lang w:val="en-ID" w:eastAsia="zh-CN"/>
        </w:rPr>
        <w:t xml:space="preserve"> </w:t>
      </w:r>
      <w:r w:rsidRPr="008A36D6">
        <w:rPr>
          <w:rFonts w:eastAsia="SimSun"/>
          <w:spacing w:val="-2"/>
          <w:lang w:val="en-ID" w:eastAsia="zh-CN"/>
        </w:rPr>
        <w:t>approach</w:t>
      </w:r>
      <w:r>
        <w:rPr>
          <w:rFonts w:eastAsia="SimSun"/>
          <w:spacing w:val="-2"/>
          <w:lang w:val="en-ID" w:eastAsia="zh-CN"/>
        </w:rPr>
        <w:t xml:space="preserve"> </w:t>
      </w:r>
      <w:r w:rsidRPr="008A36D6">
        <w:rPr>
          <w:rFonts w:eastAsia="SimSun"/>
          <w:spacing w:val="-2"/>
          <w:lang w:val="en-ID" w:eastAsia="zh-CN"/>
        </w:rPr>
        <w:t>using the questionnaire treatment</w:t>
      </w:r>
      <w:r>
        <w:rPr>
          <w:rFonts w:eastAsia="SimSun"/>
          <w:spacing w:val="-2"/>
          <w:lang w:val="en-ID" w:eastAsia="zh-CN"/>
        </w:rPr>
        <w:t>.</w:t>
      </w:r>
      <w:r w:rsidR="00043443">
        <w:rPr>
          <w:rFonts w:eastAsia="SimSun"/>
          <w:spacing w:val="-2"/>
          <w:lang w:val="en-ID" w:eastAsia="zh-CN"/>
        </w:rPr>
        <w:t xml:space="preserve"> </w:t>
      </w:r>
      <w:r w:rsidR="00043443" w:rsidRPr="00043443">
        <w:rPr>
          <w:rFonts w:eastAsia="SimSun"/>
          <w:spacing w:val="-2"/>
          <w:lang w:val="en-ID" w:eastAsia="zh-CN"/>
        </w:rPr>
        <w:t xml:space="preserve">The data source used is subject data from respondents. The subjects of the study were students of </w:t>
      </w:r>
      <w:proofErr w:type="spellStart"/>
      <w:r w:rsidR="00043443" w:rsidRPr="00043443">
        <w:rPr>
          <w:rFonts w:eastAsia="SimSun"/>
          <w:spacing w:val="-2"/>
          <w:lang w:val="en-ID" w:eastAsia="zh-CN"/>
        </w:rPr>
        <w:t>Poltekes</w:t>
      </w:r>
      <w:proofErr w:type="spellEnd"/>
      <w:r w:rsidR="00043443" w:rsidRPr="00043443">
        <w:rPr>
          <w:rFonts w:eastAsia="SimSun"/>
          <w:spacing w:val="-2"/>
          <w:lang w:val="en-ID" w:eastAsia="zh-CN"/>
        </w:rPr>
        <w:t xml:space="preserve"> Surabaya and PGRI </w:t>
      </w:r>
      <w:proofErr w:type="spellStart"/>
      <w:r w:rsidR="00043443" w:rsidRPr="00043443">
        <w:rPr>
          <w:rFonts w:eastAsia="SimSun"/>
          <w:spacing w:val="-2"/>
          <w:lang w:val="en-ID" w:eastAsia="zh-CN"/>
        </w:rPr>
        <w:t>Ronggolawe</w:t>
      </w:r>
      <w:proofErr w:type="spellEnd"/>
      <w:r w:rsidR="00043443" w:rsidRPr="00043443">
        <w:rPr>
          <w:rFonts w:eastAsia="SimSun"/>
          <w:spacing w:val="-2"/>
          <w:lang w:val="en-ID" w:eastAsia="zh-CN"/>
        </w:rPr>
        <w:t xml:space="preserve"> University students </w:t>
      </w:r>
      <w:proofErr w:type="spellStart"/>
      <w:r w:rsidR="00043443" w:rsidRPr="00043443">
        <w:rPr>
          <w:rFonts w:eastAsia="SimSun"/>
          <w:spacing w:val="-2"/>
          <w:lang w:val="en-ID" w:eastAsia="zh-CN"/>
        </w:rPr>
        <w:t>totaling</w:t>
      </w:r>
      <w:proofErr w:type="spellEnd"/>
      <w:r w:rsidR="00043443" w:rsidRPr="00043443">
        <w:rPr>
          <w:rFonts w:eastAsia="SimSun"/>
          <w:spacing w:val="-2"/>
          <w:lang w:val="en-ID" w:eastAsia="zh-CN"/>
        </w:rPr>
        <w:t xml:space="preserve"> 150 students. The type of research data is primary data obtained directly from the original source</w:t>
      </w:r>
      <w:r w:rsidR="00043443">
        <w:rPr>
          <w:rFonts w:eastAsia="SimSun"/>
          <w:spacing w:val="-2"/>
          <w:lang w:val="en-ID" w:eastAsia="zh-CN"/>
        </w:rPr>
        <w:t>.</w:t>
      </w:r>
    </w:p>
    <w:p w14:paraId="22726C10" w14:textId="02F93A5C" w:rsidR="00043443" w:rsidRDefault="00043443" w:rsidP="002B31FD">
      <w:pPr>
        <w:pStyle w:val="Alishlah31text"/>
        <w:rPr>
          <w:rFonts w:eastAsia="SimSun"/>
          <w:spacing w:val="-2"/>
          <w:lang w:val="en-ID" w:eastAsia="zh-CN"/>
        </w:rPr>
      </w:pPr>
      <w:r w:rsidRPr="00043443">
        <w:rPr>
          <w:rFonts w:eastAsia="SimSun"/>
          <w:spacing w:val="-2"/>
          <w:lang w:val="en-ID" w:eastAsia="zh-CN"/>
        </w:rPr>
        <w:t xml:space="preserve">The sampling technique was proportional random sampling from 75 </w:t>
      </w:r>
      <w:proofErr w:type="spellStart"/>
      <w:r w:rsidRPr="00043443">
        <w:rPr>
          <w:rFonts w:eastAsia="SimSun"/>
          <w:spacing w:val="-2"/>
          <w:lang w:val="en-ID" w:eastAsia="zh-CN"/>
        </w:rPr>
        <w:t>Poltekes</w:t>
      </w:r>
      <w:proofErr w:type="spellEnd"/>
      <w:r w:rsidRPr="00043443">
        <w:rPr>
          <w:rFonts w:eastAsia="SimSun"/>
          <w:spacing w:val="-2"/>
          <w:lang w:val="en-ID" w:eastAsia="zh-CN"/>
        </w:rPr>
        <w:t xml:space="preserve"> students and 75 PGRI </w:t>
      </w:r>
      <w:proofErr w:type="spellStart"/>
      <w:r w:rsidRPr="00043443">
        <w:rPr>
          <w:rFonts w:eastAsia="SimSun"/>
          <w:spacing w:val="-2"/>
          <w:lang w:val="en-ID" w:eastAsia="zh-CN"/>
        </w:rPr>
        <w:t>Ronggolawe</w:t>
      </w:r>
      <w:proofErr w:type="spellEnd"/>
      <w:r w:rsidRPr="00043443">
        <w:rPr>
          <w:rFonts w:eastAsia="SimSun"/>
          <w:spacing w:val="-2"/>
          <w:lang w:val="en-ID" w:eastAsia="zh-CN"/>
        </w:rPr>
        <w:t xml:space="preserve"> University students. The variables in this study include independent variables, namely value clarification learning and lectures, and locus of control and the dependent variable is the development of student morals.</w:t>
      </w:r>
    </w:p>
    <w:p w14:paraId="2E4099EA" w14:textId="644595EE" w:rsidR="00043443" w:rsidRDefault="00043443" w:rsidP="002B31FD">
      <w:pPr>
        <w:pStyle w:val="Alishlah31text"/>
        <w:rPr>
          <w:rFonts w:eastAsia="SimSun"/>
          <w:spacing w:val="-2"/>
          <w:lang w:val="en-ID" w:eastAsia="zh-CN"/>
        </w:rPr>
      </w:pPr>
      <w:r w:rsidRPr="00043443">
        <w:rPr>
          <w:rFonts w:eastAsia="SimSun"/>
          <w:spacing w:val="-2"/>
          <w:lang w:val="en-ID" w:eastAsia="zh-CN"/>
        </w:rPr>
        <w:lastRenderedPageBreak/>
        <w:t>There are two statistical tests used in this study, namely the t-test and the F-test using the SPSS Ver.13 program. The hypothesis is tested at a significance level (α = 5%). The t-test is used to determine whether or not there is an influence of Classification Learning (X1) and Locus of Control (X2) partially on Student Moral Development (Y). The F-test is used to determine whether or not there is an influence of Classification Learning (X1) and Locus of Control (X2) simultaneously on Student Moral Development (Y).</w:t>
      </w:r>
    </w:p>
    <w:p w14:paraId="487C377E"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3F7137C2" w14:textId="2CB38EC1" w:rsidR="00D866F5" w:rsidRDefault="00D866F5" w:rsidP="00D866F5">
      <w:pPr>
        <w:pStyle w:val="Alishlah31text"/>
      </w:pPr>
      <w:r w:rsidRPr="00D866F5">
        <w:t xml:space="preserve">The results of the study on the influence of value clarification and locus of control on the moral development of students through the results of questionnaires distributed as many as 150 pieces which were divided equally from </w:t>
      </w:r>
      <w:proofErr w:type="spellStart"/>
      <w:r w:rsidRPr="00D866F5">
        <w:t>Poltekes</w:t>
      </w:r>
      <w:proofErr w:type="spellEnd"/>
      <w:r w:rsidRPr="00D866F5">
        <w:t xml:space="preserve"> as many as 75 students and PGRI </w:t>
      </w:r>
      <w:proofErr w:type="spellStart"/>
      <w:r w:rsidRPr="00D866F5">
        <w:t>Ronggolawe</w:t>
      </w:r>
      <w:proofErr w:type="spellEnd"/>
      <w:r w:rsidRPr="00D866F5">
        <w:t xml:space="preserve"> University Students as many as 75 students with the time to fill out the questionnaire carried out by students for 1 (one) week. Students were asked to first understand the scenario of the questions in the questionnaire, then asked to fill in with the complete instructions listed in the questionnaire. The way to fill out the questionnaire was by not working together between fellow students. The frequency of the general description of respondents can be seen in the following table:</w:t>
      </w:r>
    </w:p>
    <w:p w14:paraId="7F78580E" w14:textId="77777777" w:rsidR="00BB4538" w:rsidRDefault="00BB4538" w:rsidP="00D866F5">
      <w:pPr>
        <w:pStyle w:val="Alishlah31text"/>
      </w:pPr>
    </w:p>
    <w:p w14:paraId="69E8E1D7" w14:textId="4D307D5A" w:rsidR="00D866F5" w:rsidRDefault="00D866F5" w:rsidP="00D866F5">
      <w:pPr>
        <w:pStyle w:val="Alishlah31text"/>
        <w:jc w:val="center"/>
      </w:pPr>
      <w:r w:rsidRPr="00D866F5">
        <w:t>Table 1. Distribution of Research Questionnaires</w:t>
      </w:r>
    </w:p>
    <w:tbl>
      <w:tblPr>
        <w:tblStyle w:val="TableGrid"/>
        <w:tblW w:w="9351" w:type="dxa"/>
        <w:tblLook w:val="04A0" w:firstRow="1" w:lastRow="0" w:firstColumn="1" w:lastColumn="0" w:noHBand="0" w:noVBand="1"/>
      </w:tblPr>
      <w:tblGrid>
        <w:gridCol w:w="988"/>
        <w:gridCol w:w="2976"/>
        <w:gridCol w:w="1276"/>
        <w:gridCol w:w="2835"/>
        <w:gridCol w:w="1276"/>
      </w:tblGrid>
      <w:tr w:rsidR="00D866F5" w:rsidRPr="00D5615E" w14:paraId="02E9BB14" w14:textId="77777777" w:rsidTr="001A5DEE">
        <w:tc>
          <w:tcPr>
            <w:tcW w:w="988" w:type="dxa"/>
            <w:vAlign w:val="center"/>
          </w:tcPr>
          <w:p w14:paraId="7574F506" w14:textId="17D2F740" w:rsidR="00D866F5" w:rsidRPr="00BB4538" w:rsidRDefault="00BB4538" w:rsidP="00966C73">
            <w:pPr>
              <w:spacing w:line="360" w:lineRule="auto"/>
              <w:jc w:val="center"/>
              <w:rPr>
                <w:rFonts w:ascii="Palatino Linotype" w:hAnsi="Palatino Linotype" w:cs="Times New Roman"/>
              </w:rPr>
            </w:pPr>
            <w:r w:rsidRPr="00BB4538">
              <w:rPr>
                <w:rFonts w:ascii="Palatino Linotype" w:hAnsi="Palatino Linotype" w:cs="Times New Roman"/>
              </w:rPr>
              <w:t>Gender</w:t>
            </w:r>
          </w:p>
        </w:tc>
        <w:tc>
          <w:tcPr>
            <w:tcW w:w="2976" w:type="dxa"/>
            <w:vAlign w:val="center"/>
          </w:tcPr>
          <w:p w14:paraId="22E8E86F" w14:textId="46E18F4F" w:rsidR="00D866F5" w:rsidRPr="00BB4538" w:rsidRDefault="00BB4538" w:rsidP="00966C73">
            <w:pPr>
              <w:spacing w:line="360" w:lineRule="auto"/>
              <w:jc w:val="center"/>
              <w:rPr>
                <w:rFonts w:ascii="Palatino Linotype" w:hAnsi="Palatino Linotype" w:cs="Times New Roman"/>
              </w:rPr>
            </w:pPr>
            <w:r w:rsidRPr="00BB4538">
              <w:rPr>
                <w:rFonts w:ascii="Palatino Linotype" w:hAnsi="Palatino Linotype"/>
              </w:rPr>
              <w:t xml:space="preserve">Student of </w:t>
            </w:r>
            <w:proofErr w:type="spellStart"/>
            <w:r w:rsidR="00D866F5" w:rsidRPr="00BB4538">
              <w:rPr>
                <w:rStyle w:val="hgkelc"/>
                <w:rFonts w:ascii="Palatino Linotype" w:hAnsi="Palatino Linotype" w:cs="Times New Roman"/>
              </w:rPr>
              <w:t>Poltekes</w:t>
            </w:r>
            <w:proofErr w:type="spellEnd"/>
            <w:r w:rsidR="00D866F5" w:rsidRPr="00BB4538">
              <w:rPr>
                <w:rStyle w:val="hgkelc"/>
                <w:rFonts w:ascii="Palatino Linotype" w:hAnsi="Palatino Linotype" w:cs="Times New Roman"/>
              </w:rPr>
              <w:t xml:space="preserve"> Surabaya</w:t>
            </w:r>
          </w:p>
        </w:tc>
        <w:tc>
          <w:tcPr>
            <w:tcW w:w="1276" w:type="dxa"/>
            <w:vAlign w:val="center"/>
          </w:tcPr>
          <w:p w14:paraId="5C29AA89" w14:textId="6CA403CE" w:rsidR="00D866F5" w:rsidRPr="00BB4538" w:rsidRDefault="00BB4538" w:rsidP="00966C73">
            <w:pPr>
              <w:spacing w:line="360" w:lineRule="auto"/>
              <w:jc w:val="center"/>
              <w:rPr>
                <w:rStyle w:val="hgkelc"/>
                <w:rFonts w:ascii="Palatino Linotype" w:hAnsi="Palatino Linotype" w:cs="Times New Roman"/>
              </w:rPr>
            </w:pPr>
            <w:r w:rsidRPr="00BB4538">
              <w:rPr>
                <w:rStyle w:val="hgkelc"/>
                <w:rFonts w:ascii="Palatino Linotype" w:hAnsi="Palatino Linotype" w:cs="Times New Roman"/>
              </w:rPr>
              <w:t>Percentage</w:t>
            </w:r>
          </w:p>
        </w:tc>
        <w:tc>
          <w:tcPr>
            <w:tcW w:w="2835" w:type="dxa"/>
            <w:vAlign w:val="center"/>
          </w:tcPr>
          <w:p w14:paraId="45803D29" w14:textId="013752AC" w:rsidR="00D866F5" w:rsidRPr="00BB4538" w:rsidRDefault="00BB4538" w:rsidP="00BB4538">
            <w:pPr>
              <w:spacing w:line="276" w:lineRule="auto"/>
              <w:jc w:val="center"/>
              <w:rPr>
                <w:rFonts w:ascii="Palatino Linotype" w:hAnsi="Palatino Linotype" w:cs="Times New Roman"/>
              </w:rPr>
            </w:pPr>
            <w:r>
              <w:rPr>
                <w:rStyle w:val="hgkelc"/>
                <w:rFonts w:ascii="Palatino Linotype" w:hAnsi="Palatino Linotype" w:cs="Times New Roman"/>
              </w:rPr>
              <w:t>Student of</w:t>
            </w:r>
            <w:r w:rsidR="00D866F5" w:rsidRPr="00BB4538">
              <w:rPr>
                <w:rStyle w:val="hgkelc"/>
                <w:rFonts w:ascii="Palatino Linotype" w:hAnsi="Palatino Linotype" w:cs="Times New Roman"/>
              </w:rPr>
              <w:t xml:space="preserve"> </w:t>
            </w:r>
            <w:proofErr w:type="spellStart"/>
            <w:r w:rsidR="00D866F5" w:rsidRPr="00BB4538">
              <w:rPr>
                <w:rStyle w:val="hgkelc"/>
                <w:rFonts w:ascii="Palatino Linotype" w:hAnsi="Palatino Linotype" w:cs="Times New Roman"/>
              </w:rPr>
              <w:t>Universitas</w:t>
            </w:r>
            <w:proofErr w:type="spellEnd"/>
            <w:r w:rsidR="00D866F5" w:rsidRPr="00BB4538">
              <w:rPr>
                <w:rStyle w:val="hgkelc"/>
                <w:rFonts w:ascii="Palatino Linotype" w:hAnsi="Palatino Linotype" w:cs="Times New Roman"/>
              </w:rPr>
              <w:t xml:space="preserve"> PGRI </w:t>
            </w:r>
            <w:proofErr w:type="spellStart"/>
            <w:r w:rsidR="00D866F5" w:rsidRPr="00BB4538">
              <w:rPr>
                <w:rStyle w:val="hgkelc"/>
                <w:rFonts w:ascii="Palatino Linotype" w:hAnsi="Palatino Linotype" w:cs="Times New Roman"/>
              </w:rPr>
              <w:t>Ronggolawe</w:t>
            </w:r>
            <w:proofErr w:type="spellEnd"/>
          </w:p>
        </w:tc>
        <w:tc>
          <w:tcPr>
            <w:tcW w:w="1276" w:type="dxa"/>
            <w:vAlign w:val="center"/>
          </w:tcPr>
          <w:p w14:paraId="63B71D3E" w14:textId="52D7F818" w:rsidR="00D866F5" w:rsidRPr="00BB4538" w:rsidRDefault="00BB4538" w:rsidP="00966C73">
            <w:pPr>
              <w:spacing w:line="360" w:lineRule="auto"/>
              <w:jc w:val="center"/>
              <w:rPr>
                <w:rStyle w:val="hgkelc"/>
                <w:rFonts w:ascii="Palatino Linotype" w:hAnsi="Palatino Linotype" w:cs="Times New Roman"/>
              </w:rPr>
            </w:pPr>
            <w:r w:rsidRPr="00BB4538">
              <w:rPr>
                <w:rStyle w:val="hgkelc"/>
                <w:rFonts w:ascii="Palatino Linotype" w:hAnsi="Palatino Linotype" w:cs="Times New Roman"/>
              </w:rPr>
              <w:t>Percentage</w:t>
            </w:r>
          </w:p>
        </w:tc>
      </w:tr>
      <w:tr w:rsidR="00D866F5" w:rsidRPr="00D5615E" w14:paraId="6F2B10D7" w14:textId="77777777" w:rsidTr="001A5DEE">
        <w:tc>
          <w:tcPr>
            <w:tcW w:w="988" w:type="dxa"/>
            <w:vAlign w:val="center"/>
          </w:tcPr>
          <w:p w14:paraId="5BBAA2CA" w14:textId="77777777" w:rsidR="00D866F5" w:rsidRPr="002F4178" w:rsidRDefault="00D866F5" w:rsidP="00966C73">
            <w:pPr>
              <w:spacing w:line="360" w:lineRule="auto"/>
              <w:jc w:val="center"/>
              <w:rPr>
                <w:rFonts w:ascii="Palatino Linotype" w:hAnsi="Palatino Linotype" w:cs="Times New Roman"/>
              </w:rPr>
            </w:pPr>
            <w:proofErr w:type="spellStart"/>
            <w:r w:rsidRPr="002F4178">
              <w:rPr>
                <w:rFonts w:ascii="Palatino Linotype" w:hAnsi="Palatino Linotype" w:cs="Times New Roman"/>
              </w:rPr>
              <w:t>Pria</w:t>
            </w:r>
            <w:proofErr w:type="spellEnd"/>
          </w:p>
        </w:tc>
        <w:tc>
          <w:tcPr>
            <w:tcW w:w="2976" w:type="dxa"/>
            <w:vAlign w:val="center"/>
          </w:tcPr>
          <w:p w14:paraId="220405E4"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25</w:t>
            </w:r>
          </w:p>
        </w:tc>
        <w:tc>
          <w:tcPr>
            <w:tcW w:w="1276" w:type="dxa"/>
          </w:tcPr>
          <w:p w14:paraId="0F62B287"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42,8</w:t>
            </w:r>
          </w:p>
        </w:tc>
        <w:tc>
          <w:tcPr>
            <w:tcW w:w="2835" w:type="dxa"/>
            <w:vAlign w:val="center"/>
          </w:tcPr>
          <w:p w14:paraId="5867AF72"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30</w:t>
            </w:r>
          </w:p>
        </w:tc>
        <w:tc>
          <w:tcPr>
            <w:tcW w:w="1276" w:type="dxa"/>
          </w:tcPr>
          <w:p w14:paraId="1CC2906B"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40</w:t>
            </w:r>
          </w:p>
        </w:tc>
      </w:tr>
      <w:tr w:rsidR="00D866F5" w:rsidRPr="00D5615E" w14:paraId="3D6B44F1" w14:textId="77777777" w:rsidTr="001A5DEE">
        <w:tc>
          <w:tcPr>
            <w:tcW w:w="988" w:type="dxa"/>
            <w:vAlign w:val="center"/>
          </w:tcPr>
          <w:p w14:paraId="6231FC3E"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Wanita</w:t>
            </w:r>
          </w:p>
        </w:tc>
        <w:tc>
          <w:tcPr>
            <w:tcW w:w="2976" w:type="dxa"/>
            <w:vAlign w:val="center"/>
          </w:tcPr>
          <w:p w14:paraId="32A6C558"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50</w:t>
            </w:r>
          </w:p>
        </w:tc>
        <w:tc>
          <w:tcPr>
            <w:tcW w:w="1276" w:type="dxa"/>
          </w:tcPr>
          <w:p w14:paraId="42ED8D3F"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57,2</w:t>
            </w:r>
          </w:p>
        </w:tc>
        <w:tc>
          <w:tcPr>
            <w:tcW w:w="2835" w:type="dxa"/>
            <w:vAlign w:val="center"/>
          </w:tcPr>
          <w:p w14:paraId="2E508048"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45</w:t>
            </w:r>
          </w:p>
        </w:tc>
        <w:tc>
          <w:tcPr>
            <w:tcW w:w="1276" w:type="dxa"/>
          </w:tcPr>
          <w:p w14:paraId="61560E30" w14:textId="77777777" w:rsidR="00D866F5" w:rsidRPr="002F4178" w:rsidRDefault="00D866F5" w:rsidP="00966C73">
            <w:pPr>
              <w:spacing w:line="360" w:lineRule="auto"/>
              <w:jc w:val="center"/>
              <w:rPr>
                <w:rFonts w:ascii="Palatino Linotype" w:hAnsi="Palatino Linotype" w:cs="Times New Roman"/>
              </w:rPr>
            </w:pPr>
            <w:r w:rsidRPr="002F4178">
              <w:rPr>
                <w:rFonts w:ascii="Palatino Linotype" w:hAnsi="Palatino Linotype" w:cs="Times New Roman"/>
              </w:rPr>
              <w:t>60</w:t>
            </w:r>
          </w:p>
        </w:tc>
      </w:tr>
      <w:tr w:rsidR="00D866F5" w:rsidRPr="00D5615E" w14:paraId="6ECB41B3" w14:textId="77777777" w:rsidTr="001A5DEE">
        <w:tc>
          <w:tcPr>
            <w:tcW w:w="988" w:type="dxa"/>
            <w:vAlign w:val="center"/>
          </w:tcPr>
          <w:p w14:paraId="5740B4E8" w14:textId="77777777" w:rsidR="00D866F5" w:rsidRPr="002F4178" w:rsidRDefault="00D866F5" w:rsidP="00966C73">
            <w:pPr>
              <w:spacing w:line="360" w:lineRule="auto"/>
              <w:jc w:val="center"/>
              <w:rPr>
                <w:rFonts w:ascii="Palatino Linotype" w:hAnsi="Palatino Linotype" w:cs="Times New Roman"/>
                <w:b/>
                <w:bCs/>
              </w:rPr>
            </w:pPr>
            <w:r w:rsidRPr="002F4178">
              <w:rPr>
                <w:rFonts w:ascii="Palatino Linotype" w:hAnsi="Palatino Linotype" w:cs="Times New Roman"/>
                <w:b/>
                <w:bCs/>
              </w:rPr>
              <w:t xml:space="preserve">Total </w:t>
            </w:r>
          </w:p>
        </w:tc>
        <w:tc>
          <w:tcPr>
            <w:tcW w:w="2976" w:type="dxa"/>
            <w:vAlign w:val="center"/>
          </w:tcPr>
          <w:p w14:paraId="6868FC93" w14:textId="77777777" w:rsidR="00D866F5" w:rsidRPr="002F4178" w:rsidRDefault="00D866F5" w:rsidP="00966C73">
            <w:pPr>
              <w:spacing w:line="360" w:lineRule="auto"/>
              <w:jc w:val="center"/>
              <w:rPr>
                <w:rFonts w:ascii="Palatino Linotype" w:hAnsi="Palatino Linotype" w:cs="Times New Roman"/>
                <w:b/>
                <w:bCs/>
              </w:rPr>
            </w:pPr>
            <w:r w:rsidRPr="002F4178">
              <w:rPr>
                <w:rFonts w:ascii="Palatino Linotype" w:hAnsi="Palatino Linotype" w:cs="Times New Roman"/>
                <w:b/>
                <w:bCs/>
              </w:rPr>
              <w:t>75</w:t>
            </w:r>
          </w:p>
        </w:tc>
        <w:tc>
          <w:tcPr>
            <w:tcW w:w="1276" w:type="dxa"/>
          </w:tcPr>
          <w:p w14:paraId="1EAE7A82" w14:textId="77777777" w:rsidR="00D866F5" w:rsidRPr="002F4178" w:rsidRDefault="00D866F5" w:rsidP="00966C73">
            <w:pPr>
              <w:spacing w:line="360" w:lineRule="auto"/>
              <w:jc w:val="center"/>
              <w:rPr>
                <w:rFonts w:ascii="Palatino Linotype" w:hAnsi="Palatino Linotype" w:cs="Times New Roman"/>
                <w:b/>
                <w:bCs/>
              </w:rPr>
            </w:pPr>
            <w:r w:rsidRPr="002F4178">
              <w:rPr>
                <w:rFonts w:ascii="Palatino Linotype" w:hAnsi="Palatino Linotype" w:cs="Times New Roman"/>
                <w:b/>
                <w:bCs/>
              </w:rPr>
              <w:t>100</w:t>
            </w:r>
          </w:p>
        </w:tc>
        <w:tc>
          <w:tcPr>
            <w:tcW w:w="2835" w:type="dxa"/>
            <w:vAlign w:val="center"/>
          </w:tcPr>
          <w:p w14:paraId="269E7E4E" w14:textId="77777777" w:rsidR="00D866F5" w:rsidRPr="002F4178" w:rsidRDefault="00D866F5" w:rsidP="00966C73">
            <w:pPr>
              <w:spacing w:line="360" w:lineRule="auto"/>
              <w:jc w:val="center"/>
              <w:rPr>
                <w:rFonts w:ascii="Palatino Linotype" w:hAnsi="Palatino Linotype" w:cs="Times New Roman"/>
                <w:b/>
                <w:bCs/>
              </w:rPr>
            </w:pPr>
            <w:r w:rsidRPr="002F4178">
              <w:rPr>
                <w:rFonts w:ascii="Palatino Linotype" w:hAnsi="Palatino Linotype" w:cs="Times New Roman"/>
                <w:b/>
                <w:bCs/>
              </w:rPr>
              <w:t>75</w:t>
            </w:r>
          </w:p>
        </w:tc>
        <w:tc>
          <w:tcPr>
            <w:tcW w:w="1276" w:type="dxa"/>
          </w:tcPr>
          <w:p w14:paraId="29604F34" w14:textId="77777777" w:rsidR="00D866F5" w:rsidRPr="002F4178" w:rsidRDefault="00D866F5" w:rsidP="00966C73">
            <w:pPr>
              <w:spacing w:line="360" w:lineRule="auto"/>
              <w:jc w:val="center"/>
              <w:rPr>
                <w:rFonts w:ascii="Palatino Linotype" w:hAnsi="Palatino Linotype" w:cs="Times New Roman"/>
                <w:b/>
                <w:bCs/>
              </w:rPr>
            </w:pPr>
            <w:r w:rsidRPr="002F4178">
              <w:rPr>
                <w:rFonts w:ascii="Palatino Linotype" w:hAnsi="Palatino Linotype" w:cs="Times New Roman"/>
                <w:b/>
                <w:bCs/>
              </w:rPr>
              <w:t>100</w:t>
            </w:r>
          </w:p>
        </w:tc>
      </w:tr>
    </w:tbl>
    <w:p w14:paraId="6069B81C" w14:textId="47A360F7" w:rsidR="002B31FD" w:rsidRDefault="002B31FD" w:rsidP="00D866F5">
      <w:pPr>
        <w:pStyle w:val="Alishlah31text"/>
      </w:pPr>
      <w:r>
        <w:t xml:space="preserve"> </w:t>
      </w:r>
      <w:r w:rsidR="00BB4538" w:rsidRPr="00BB4538">
        <w:t>The total number of questionnaires distributed was 150 questionnaires, the number of questionnaires returned was 150 questionnaires (response rate of 100%), and the number of questionnaires not returned was 0 questionnaires (0%).</w:t>
      </w:r>
    </w:p>
    <w:p w14:paraId="61CBC450" w14:textId="221677A9" w:rsidR="002F4178" w:rsidRDefault="002F4178" w:rsidP="00D866F5">
      <w:pPr>
        <w:pStyle w:val="Alishlah31text"/>
      </w:pPr>
      <w:r w:rsidRPr="002F4178">
        <w:t>Furthermore, the validity test was conducted on the value clarification learning scale, locus of control towards students' moral development using Pearson Moment correlation analysis. The validity criteria were set at a significance of &lt;0.05. After the validity test, all items were tested for reliability with a test value of &gt;0.05</w:t>
      </w:r>
      <w:r>
        <w:t xml:space="preserve"> (Table 2)</w:t>
      </w:r>
      <w:r w:rsidRPr="002F4178">
        <w:t>.</w:t>
      </w:r>
    </w:p>
    <w:p w14:paraId="52F94B03" w14:textId="77777777" w:rsidR="002F4178" w:rsidRDefault="002F4178" w:rsidP="00D866F5">
      <w:pPr>
        <w:pStyle w:val="Alishlah31text"/>
      </w:pPr>
    </w:p>
    <w:p w14:paraId="5965B193" w14:textId="3BFADDA9" w:rsidR="002F4178" w:rsidRDefault="002F4178" w:rsidP="002F4178">
      <w:pPr>
        <w:pStyle w:val="Alishlah31text"/>
        <w:jc w:val="center"/>
      </w:pPr>
      <w:r w:rsidRPr="002F4178">
        <w:t>Table 2: Results of Validity Test of Value Clarification Variables</w:t>
      </w:r>
    </w:p>
    <w:tbl>
      <w:tblPr>
        <w:tblStyle w:val="TableGrid"/>
        <w:tblW w:w="0" w:type="auto"/>
        <w:tblInd w:w="108" w:type="dxa"/>
        <w:tblLook w:val="04A0" w:firstRow="1" w:lastRow="0" w:firstColumn="1" w:lastColumn="0" w:noHBand="0" w:noVBand="1"/>
      </w:tblPr>
      <w:tblGrid>
        <w:gridCol w:w="1593"/>
        <w:gridCol w:w="829"/>
        <w:gridCol w:w="886"/>
        <w:gridCol w:w="1102"/>
        <w:gridCol w:w="1593"/>
        <w:gridCol w:w="828"/>
        <w:gridCol w:w="975"/>
        <w:gridCol w:w="1102"/>
      </w:tblGrid>
      <w:tr w:rsidR="002F4178" w:rsidRPr="002F4178" w14:paraId="7EF6AA8F" w14:textId="77777777" w:rsidTr="005371AF">
        <w:tc>
          <w:tcPr>
            <w:tcW w:w="1659" w:type="dxa"/>
            <w:vAlign w:val="center"/>
          </w:tcPr>
          <w:p w14:paraId="76713C16" w14:textId="3F1DB3C2"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Statement Items</w:t>
            </w:r>
          </w:p>
        </w:tc>
        <w:tc>
          <w:tcPr>
            <w:tcW w:w="841" w:type="dxa"/>
            <w:vAlign w:val="center"/>
          </w:tcPr>
          <w:p w14:paraId="711B0A8E" w14:textId="462E6100"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P</w:t>
            </w:r>
            <w:r>
              <w:rPr>
                <w:rFonts w:ascii="Palatino Linotype" w:hAnsi="Palatino Linotype" w:cs="Times New Roman"/>
              </w:rPr>
              <w:t xml:space="preserve"> Value</w:t>
            </w:r>
          </w:p>
        </w:tc>
        <w:tc>
          <w:tcPr>
            <w:tcW w:w="915" w:type="dxa"/>
            <w:vAlign w:val="center"/>
          </w:tcPr>
          <w:p w14:paraId="3570DF73"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Sig.</w:t>
            </w:r>
          </w:p>
        </w:tc>
        <w:tc>
          <w:tcPr>
            <w:tcW w:w="1156" w:type="dxa"/>
            <w:vAlign w:val="center"/>
          </w:tcPr>
          <w:p w14:paraId="46390DFA" w14:textId="11348454" w:rsidR="002F4178" w:rsidRPr="002F4178" w:rsidRDefault="002F4178" w:rsidP="005371AF">
            <w:pPr>
              <w:autoSpaceDE w:val="0"/>
              <w:autoSpaceDN w:val="0"/>
              <w:adjustRightInd w:val="0"/>
              <w:jc w:val="center"/>
              <w:rPr>
                <w:rFonts w:ascii="Palatino Linotype" w:hAnsi="Palatino Linotype" w:cs="Times New Roman"/>
              </w:rPr>
            </w:pPr>
            <w:r>
              <w:rPr>
                <w:rFonts w:ascii="Palatino Linotype" w:hAnsi="Palatino Linotype" w:cs="Times New Roman"/>
              </w:rPr>
              <w:t>note</w:t>
            </w:r>
          </w:p>
        </w:tc>
        <w:tc>
          <w:tcPr>
            <w:tcW w:w="1659" w:type="dxa"/>
            <w:vAlign w:val="center"/>
          </w:tcPr>
          <w:p w14:paraId="15DA0970" w14:textId="6AAD7EB1"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Statement Items</w:t>
            </w:r>
          </w:p>
        </w:tc>
        <w:tc>
          <w:tcPr>
            <w:tcW w:w="840" w:type="dxa"/>
            <w:vAlign w:val="center"/>
          </w:tcPr>
          <w:p w14:paraId="68A8CA74" w14:textId="617E3FB4" w:rsidR="002F4178" w:rsidRPr="002F4178" w:rsidRDefault="002F4178" w:rsidP="005371AF">
            <w:pPr>
              <w:autoSpaceDE w:val="0"/>
              <w:autoSpaceDN w:val="0"/>
              <w:adjustRightInd w:val="0"/>
              <w:jc w:val="center"/>
              <w:rPr>
                <w:rFonts w:ascii="Palatino Linotype" w:hAnsi="Palatino Linotype" w:cs="Times New Roman"/>
              </w:rPr>
            </w:pPr>
            <w:r>
              <w:rPr>
                <w:rFonts w:ascii="Palatino Linotype" w:hAnsi="Palatino Linotype" w:cs="Times New Roman"/>
              </w:rPr>
              <w:t>P Value</w:t>
            </w:r>
          </w:p>
        </w:tc>
        <w:tc>
          <w:tcPr>
            <w:tcW w:w="1016" w:type="dxa"/>
            <w:vAlign w:val="center"/>
          </w:tcPr>
          <w:p w14:paraId="2E6BA9E5"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Sig.</w:t>
            </w:r>
          </w:p>
        </w:tc>
        <w:tc>
          <w:tcPr>
            <w:tcW w:w="1156" w:type="dxa"/>
            <w:vAlign w:val="center"/>
          </w:tcPr>
          <w:p w14:paraId="7361834A" w14:textId="70DB95C8" w:rsidR="002F4178" w:rsidRPr="002F4178" w:rsidRDefault="002F4178" w:rsidP="002F4178">
            <w:pPr>
              <w:autoSpaceDE w:val="0"/>
              <w:autoSpaceDN w:val="0"/>
              <w:adjustRightInd w:val="0"/>
              <w:jc w:val="center"/>
              <w:rPr>
                <w:rFonts w:ascii="Palatino Linotype" w:hAnsi="Palatino Linotype" w:cs="Times New Roman"/>
              </w:rPr>
            </w:pPr>
            <w:r>
              <w:rPr>
                <w:rFonts w:ascii="Palatino Linotype" w:hAnsi="Palatino Linotype" w:cs="Times New Roman"/>
              </w:rPr>
              <w:t>note</w:t>
            </w:r>
          </w:p>
        </w:tc>
      </w:tr>
      <w:tr w:rsidR="002F4178" w:rsidRPr="002F4178" w14:paraId="51B65F5D" w14:textId="77777777" w:rsidTr="005371AF">
        <w:tc>
          <w:tcPr>
            <w:tcW w:w="1659" w:type="dxa"/>
            <w:vAlign w:val="center"/>
          </w:tcPr>
          <w:p w14:paraId="57FA39BE"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w:t>
            </w:r>
          </w:p>
        </w:tc>
        <w:tc>
          <w:tcPr>
            <w:tcW w:w="841" w:type="dxa"/>
            <w:vAlign w:val="center"/>
          </w:tcPr>
          <w:p w14:paraId="3586095D"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7221F85E"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1C422836"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310D4F0C"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11</w:t>
            </w:r>
          </w:p>
        </w:tc>
        <w:tc>
          <w:tcPr>
            <w:tcW w:w="840" w:type="dxa"/>
            <w:vAlign w:val="center"/>
          </w:tcPr>
          <w:p w14:paraId="669E585F"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1016" w:type="dxa"/>
            <w:vAlign w:val="center"/>
          </w:tcPr>
          <w:p w14:paraId="63B12C9F"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1F09B01F"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r>
      <w:tr w:rsidR="002F4178" w:rsidRPr="002F4178" w14:paraId="5F7A489C" w14:textId="77777777" w:rsidTr="005371AF">
        <w:tc>
          <w:tcPr>
            <w:tcW w:w="1659" w:type="dxa"/>
            <w:vAlign w:val="center"/>
          </w:tcPr>
          <w:p w14:paraId="5C756546"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2</w:t>
            </w:r>
          </w:p>
        </w:tc>
        <w:tc>
          <w:tcPr>
            <w:tcW w:w="841" w:type="dxa"/>
            <w:vAlign w:val="center"/>
          </w:tcPr>
          <w:p w14:paraId="1EBB1D40"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0B5DEC88"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2D47CD70"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36A105B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12</w:t>
            </w:r>
          </w:p>
        </w:tc>
        <w:tc>
          <w:tcPr>
            <w:tcW w:w="840" w:type="dxa"/>
            <w:vAlign w:val="center"/>
          </w:tcPr>
          <w:p w14:paraId="5A65615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1016" w:type="dxa"/>
            <w:vAlign w:val="center"/>
          </w:tcPr>
          <w:p w14:paraId="7E5476AF"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095A123C"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r>
      <w:tr w:rsidR="002F4178" w:rsidRPr="002F4178" w14:paraId="63B612E9" w14:textId="77777777" w:rsidTr="005371AF">
        <w:tc>
          <w:tcPr>
            <w:tcW w:w="1659" w:type="dxa"/>
            <w:vAlign w:val="center"/>
          </w:tcPr>
          <w:p w14:paraId="71406714"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3</w:t>
            </w:r>
          </w:p>
        </w:tc>
        <w:tc>
          <w:tcPr>
            <w:tcW w:w="841" w:type="dxa"/>
            <w:vAlign w:val="center"/>
          </w:tcPr>
          <w:p w14:paraId="4EBF655F"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1FA0D823"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78907C65"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5A012C0C"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13</w:t>
            </w:r>
          </w:p>
        </w:tc>
        <w:tc>
          <w:tcPr>
            <w:tcW w:w="840" w:type="dxa"/>
            <w:vAlign w:val="center"/>
          </w:tcPr>
          <w:p w14:paraId="7A039DD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1016" w:type="dxa"/>
            <w:vAlign w:val="center"/>
          </w:tcPr>
          <w:p w14:paraId="77CB97B2"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58879042"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r>
      <w:tr w:rsidR="002F4178" w:rsidRPr="002F4178" w14:paraId="7A547C0D" w14:textId="77777777" w:rsidTr="005371AF">
        <w:tc>
          <w:tcPr>
            <w:tcW w:w="1659" w:type="dxa"/>
            <w:vAlign w:val="center"/>
          </w:tcPr>
          <w:p w14:paraId="5B0053CD"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4</w:t>
            </w:r>
          </w:p>
        </w:tc>
        <w:tc>
          <w:tcPr>
            <w:tcW w:w="841" w:type="dxa"/>
            <w:vAlign w:val="center"/>
          </w:tcPr>
          <w:p w14:paraId="369BD38A"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130F167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44DDE26B"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0F440122"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14</w:t>
            </w:r>
          </w:p>
        </w:tc>
        <w:tc>
          <w:tcPr>
            <w:tcW w:w="840" w:type="dxa"/>
            <w:vAlign w:val="center"/>
          </w:tcPr>
          <w:p w14:paraId="3EEC3C2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1016" w:type="dxa"/>
            <w:vAlign w:val="center"/>
          </w:tcPr>
          <w:p w14:paraId="07CCBD53"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5487D71E"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r>
      <w:tr w:rsidR="002F4178" w:rsidRPr="002F4178" w14:paraId="414F65A8" w14:textId="77777777" w:rsidTr="005371AF">
        <w:tc>
          <w:tcPr>
            <w:tcW w:w="1659" w:type="dxa"/>
            <w:vAlign w:val="center"/>
          </w:tcPr>
          <w:p w14:paraId="1627FCFB"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5</w:t>
            </w:r>
          </w:p>
        </w:tc>
        <w:tc>
          <w:tcPr>
            <w:tcW w:w="841" w:type="dxa"/>
            <w:vAlign w:val="center"/>
          </w:tcPr>
          <w:p w14:paraId="1720DF36"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631FCCAB"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55FBA2D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31A339CC"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15</w:t>
            </w:r>
          </w:p>
        </w:tc>
        <w:tc>
          <w:tcPr>
            <w:tcW w:w="840" w:type="dxa"/>
            <w:vAlign w:val="center"/>
          </w:tcPr>
          <w:p w14:paraId="5DED0E37"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1016" w:type="dxa"/>
            <w:vAlign w:val="center"/>
          </w:tcPr>
          <w:p w14:paraId="6A473C47"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49E06A00"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r>
      <w:tr w:rsidR="002F4178" w:rsidRPr="002F4178" w14:paraId="3C5C7716" w14:textId="77777777" w:rsidTr="005371AF">
        <w:tc>
          <w:tcPr>
            <w:tcW w:w="1659" w:type="dxa"/>
            <w:vAlign w:val="center"/>
          </w:tcPr>
          <w:p w14:paraId="1DFBA7D7"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6</w:t>
            </w:r>
          </w:p>
        </w:tc>
        <w:tc>
          <w:tcPr>
            <w:tcW w:w="841" w:type="dxa"/>
            <w:vAlign w:val="center"/>
          </w:tcPr>
          <w:p w14:paraId="5A62935C"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12BC095D"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52BFFF90"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2ABC1BCB"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840" w:type="dxa"/>
            <w:vAlign w:val="center"/>
          </w:tcPr>
          <w:p w14:paraId="0D83047B"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016" w:type="dxa"/>
            <w:vAlign w:val="center"/>
          </w:tcPr>
          <w:p w14:paraId="764F8BF7"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156" w:type="dxa"/>
            <w:vAlign w:val="center"/>
          </w:tcPr>
          <w:p w14:paraId="64B98627" w14:textId="77777777" w:rsidR="002F4178" w:rsidRPr="002F4178" w:rsidRDefault="002F4178" w:rsidP="005371AF">
            <w:pPr>
              <w:autoSpaceDE w:val="0"/>
              <w:autoSpaceDN w:val="0"/>
              <w:adjustRightInd w:val="0"/>
              <w:jc w:val="center"/>
              <w:rPr>
                <w:rFonts w:ascii="Palatino Linotype" w:hAnsi="Palatino Linotype" w:cs="Times New Roman"/>
              </w:rPr>
            </w:pPr>
          </w:p>
        </w:tc>
      </w:tr>
      <w:tr w:rsidR="002F4178" w:rsidRPr="002F4178" w14:paraId="2688D1F9" w14:textId="77777777" w:rsidTr="005371AF">
        <w:tc>
          <w:tcPr>
            <w:tcW w:w="1659" w:type="dxa"/>
            <w:vAlign w:val="center"/>
          </w:tcPr>
          <w:p w14:paraId="42515691"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7</w:t>
            </w:r>
          </w:p>
        </w:tc>
        <w:tc>
          <w:tcPr>
            <w:tcW w:w="841" w:type="dxa"/>
            <w:vAlign w:val="center"/>
          </w:tcPr>
          <w:p w14:paraId="4572CEC5"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60732A17"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3D229BFB"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73C6CE09"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840" w:type="dxa"/>
            <w:vAlign w:val="center"/>
          </w:tcPr>
          <w:p w14:paraId="2CDB3804"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016" w:type="dxa"/>
            <w:vAlign w:val="center"/>
          </w:tcPr>
          <w:p w14:paraId="7100B7F5"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156" w:type="dxa"/>
            <w:vAlign w:val="center"/>
          </w:tcPr>
          <w:p w14:paraId="439E2F49" w14:textId="77777777" w:rsidR="002F4178" w:rsidRPr="002F4178" w:rsidRDefault="002F4178" w:rsidP="005371AF">
            <w:pPr>
              <w:autoSpaceDE w:val="0"/>
              <w:autoSpaceDN w:val="0"/>
              <w:adjustRightInd w:val="0"/>
              <w:jc w:val="center"/>
              <w:rPr>
                <w:rFonts w:ascii="Palatino Linotype" w:hAnsi="Palatino Linotype" w:cs="Times New Roman"/>
              </w:rPr>
            </w:pPr>
          </w:p>
        </w:tc>
      </w:tr>
      <w:tr w:rsidR="002F4178" w:rsidRPr="002F4178" w14:paraId="7BD3A255" w14:textId="77777777" w:rsidTr="005371AF">
        <w:tc>
          <w:tcPr>
            <w:tcW w:w="1659" w:type="dxa"/>
            <w:vAlign w:val="center"/>
          </w:tcPr>
          <w:p w14:paraId="69EBF7C0"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8</w:t>
            </w:r>
          </w:p>
        </w:tc>
        <w:tc>
          <w:tcPr>
            <w:tcW w:w="841" w:type="dxa"/>
            <w:vAlign w:val="center"/>
          </w:tcPr>
          <w:p w14:paraId="1C8C66BB"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514DCF93"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31212AB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6070B965"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840" w:type="dxa"/>
            <w:vAlign w:val="center"/>
          </w:tcPr>
          <w:p w14:paraId="5F854EC0"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016" w:type="dxa"/>
            <w:vAlign w:val="center"/>
          </w:tcPr>
          <w:p w14:paraId="182B0DA5"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156" w:type="dxa"/>
            <w:vAlign w:val="center"/>
          </w:tcPr>
          <w:p w14:paraId="46B72A03" w14:textId="77777777" w:rsidR="002F4178" w:rsidRPr="002F4178" w:rsidRDefault="002F4178" w:rsidP="005371AF">
            <w:pPr>
              <w:autoSpaceDE w:val="0"/>
              <w:autoSpaceDN w:val="0"/>
              <w:adjustRightInd w:val="0"/>
              <w:jc w:val="center"/>
              <w:rPr>
                <w:rFonts w:ascii="Palatino Linotype" w:hAnsi="Palatino Linotype" w:cs="Times New Roman"/>
              </w:rPr>
            </w:pPr>
          </w:p>
        </w:tc>
      </w:tr>
      <w:tr w:rsidR="002F4178" w:rsidRPr="002F4178" w14:paraId="151384C4" w14:textId="77777777" w:rsidTr="005371AF">
        <w:tc>
          <w:tcPr>
            <w:tcW w:w="1659" w:type="dxa"/>
            <w:vAlign w:val="center"/>
          </w:tcPr>
          <w:p w14:paraId="010790A4"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9</w:t>
            </w:r>
          </w:p>
        </w:tc>
        <w:tc>
          <w:tcPr>
            <w:tcW w:w="841" w:type="dxa"/>
            <w:vAlign w:val="center"/>
          </w:tcPr>
          <w:p w14:paraId="1A449D80"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555AFAA3"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1E4E1AF8"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356D4C80"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840" w:type="dxa"/>
            <w:vAlign w:val="center"/>
          </w:tcPr>
          <w:p w14:paraId="3D1C8B04"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016" w:type="dxa"/>
            <w:vAlign w:val="center"/>
          </w:tcPr>
          <w:p w14:paraId="0B0DDAFE"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156" w:type="dxa"/>
            <w:vAlign w:val="center"/>
          </w:tcPr>
          <w:p w14:paraId="2D970124" w14:textId="77777777" w:rsidR="002F4178" w:rsidRPr="002F4178" w:rsidRDefault="002F4178" w:rsidP="005371AF">
            <w:pPr>
              <w:autoSpaceDE w:val="0"/>
              <w:autoSpaceDN w:val="0"/>
              <w:adjustRightInd w:val="0"/>
              <w:jc w:val="center"/>
              <w:rPr>
                <w:rFonts w:ascii="Palatino Linotype" w:hAnsi="Palatino Linotype" w:cs="Times New Roman"/>
              </w:rPr>
            </w:pPr>
          </w:p>
        </w:tc>
      </w:tr>
      <w:tr w:rsidR="002F4178" w:rsidRPr="002F4178" w14:paraId="4B502F85" w14:textId="77777777" w:rsidTr="005371AF">
        <w:tc>
          <w:tcPr>
            <w:tcW w:w="1659" w:type="dxa"/>
            <w:vAlign w:val="center"/>
          </w:tcPr>
          <w:p w14:paraId="28D92002"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10</w:t>
            </w:r>
          </w:p>
        </w:tc>
        <w:tc>
          <w:tcPr>
            <w:tcW w:w="841" w:type="dxa"/>
            <w:vAlign w:val="center"/>
          </w:tcPr>
          <w:p w14:paraId="2CADA72C"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0.000</w:t>
            </w:r>
          </w:p>
        </w:tc>
        <w:tc>
          <w:tcPr>
            <w:tcW w:w="915" w:type="dxa"/>
            <w:vAlign w:val="center"/>
          </w:tcPr>
          <w:p w14:paraId="1CF3108A"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&lt;0,05</w:t>
            </w:r>
          </w:p>
        </w:tc>
        <w:tc>
          <w:tcPr>
            <w:tcW w:w="1156" w:type="dxa"/>
            <w:vAlign w:val="center"/>
          </w:tcPr>
          <w:p w14:paraId="33CE3189" w14:textId="77777777" w:rsidR="002F4178" w:rsidRPr="002F4178" w:rsidRDefault="002F4178" w:rsidP="005371AF">
            <w:pPr>
              <w:autoSpaceDE w:val="0"/>
              <w:autoSpaceDN w:val="0"/>
              <w:adjustRightInd w:val="0"/>
              <w:jc w:val="center"/>
              <w:rPr>
                <w:rFonts w:ascii="Palatino Linotype" w:hAnsi="Palatino Linotype" w:cs="Times New Roman"/>
              </w:rPr>
            </w:pPr>
            <w:r w:rsidRPr="002F4178">
              <w:rPr>
                <w:rFonts w:ascii="Palatino Linotype" w:hAnsi="Palatino Linotype" w:cs="Times New Roman"/>
              </w:rPr>
              <w:t>Valid</w:t>
            </w:r>
          </w:p>
        </w:tc>
        <w:tc>
          <w:tcPr>
            <w:tcW w:w="1659" w:type="dxa"/>
            <w:vAlign w:val="center"/>
          </w:tcPr>
          <w:p w14:paraId="084F1F7A"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840" w:type="dxa"/>
            <w:vAlign w:val="center"/>
          </w:tcPr>
          <w:p w14:paraId="5E774277"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016" w:type="dxa"/>
            <w:vAlign w:val="center"/>
          </w:tcPr>
          <w:p w14:paraId="203DC372" w14:textId="77777777" w:rsidR="002F4178" w:rsidRPr="002F4178" w:rsidRDefault="002F4178" w:rsidP="005371AF">
            <w:pPr>
              <w:autoSpaceDE w:val="0"/>
              <w:autoSpaceDN w:val="0"/>
              <w:adjustRightInd w:val="0"/>
              <w:jc w:val="center"/>
              <w:rPr>
                <w:rFonts w:ascii="Palatino Linotype" w:hAnsi="Palatino Linotype" w:cs="Times New Roman"/>
              </w:rPr>
            </w:pPr>
          </w:p>
        </w:tc>
        <w:tc>
          <w:tcPr>
            <w:tcW w:w="1156" w:type="dxa"/>
            <w:vAlign w:val="center"/>
          </w:tcPr>
          <w:p w14:paraId="7C7FBBAF" w14:textId="77777777" w:rsidR="002F4178" w:rsidRPr="002F4178" w:rsidRDefault="002F4178" w:rsidP="005371AF">
            <w:pPr>
              <w:autoSpaceDE w:val="0"/>
              <w:autoSpaceDN w:val="0"/>
              <w:adjustRightInd w:val="0"/>
              <w:jc w:val="center"/>
              <w:rPr>
                <w:rFonts w:ascii="Palatino Linotype" w:hAnsi="Palatino Linotype" w:cs="Times New Roman"/>
              </w:rPr>
            </w:pPr>
          </w:p>
        </w:tc>
      </w:tr>
    </w:tbl>
    <w:p w14:paraId="332D931B" w14:textId="2800EADD" w:rsidR="002F4178" w:rsidRDefault="002F4178" w:rsidP="00D866F5">
      <w:pPr>
        <w:pStyle w:val="Alishlah31text"/>
      </w:pPr>
    </w:p>
    <w:p w14:paraId="463EEF09" w14:textId="5277E81D" w:rsidR="002F4178" w:rsidRDefault="002F4178" w:rsidP="002F4178">
      <w:pPr>
        <w:pStyle w:val="Alishlah31text"/>
      </w:pPr>
      <w:r>
        <w:t xml:space="preserve">Based on the results above, the questionnaire on Value Clarification consisting of 15 items is declared valid because the calculation results are &lt;0.05. Validity testing is carried out to measure the </w:t>
      </w:r>
      <w:r>
        <w:lastRenderedPageBreak/>
        <w:t>variables to be studied. This is in accordance with Nabil's opinion (2022) that validity shows that an instrument is valid so that the variables to be studied can be carried out.</w:t>
      </w:r>
    </w:p>
    <w:p w14:paraId="5D1081B7" w14:textId="7D2E3B9F" w:rsidR="002F4178" w:rsidRDefault="002F4178" w:rsidP="002F4178">
      <w:pPr>
        <w:pStyle w:val="Alishlah31text"/>
      </w:pPr>
      <w:r w:rsidRPr="002F4178">
        <w:t>Meanwhile, based on the results above, the questionnaire on Locus of Control consisting of 20 items is declared valid because the calculation results are &lt;0.05</w:t>
      </w:r>
      <w:r>
        <w:t xml:space="preserve"> (Table 3)</w:t>
      </w:r>
      <w:r w:rsidRPr="002F4178">
        <w:t>.</w:t>
      </w:r>
    </w:p>
    <w:p w14:paraId="71B2334D" w14:textId="780DC879" w:rsidR="002F4178" w:rsidRDefault="002F4178" w:rsidP="002F4178">
      <w:pPr>
        <w:pStyle w:val="Alishlah31text"/>
        <w:jc w:val="center"/>
      </w:pPr>
      <w:r w:rsidRPr="002F4178">
        <w:t>Table 3: Results of Validity Test of Locus of Control Variable</w:t>
      </w:r>
    </w:p>
    <w:tbl>
      <w:tblPr>
        <w:tblStyle w:val="TableGrid"/>
        <w:tblW w:w="8675" w:type="dxa"/>
        <w:tblInd w:w="108" w:type="dxa"/>
        <w:tblLook w:val="04A0" w:firstRow="1" w:lastRow="0" w:firstColumn="1" w:lastColumn="0" w:noHBand="0" w:noVBand="1"/>
      </w:tblPr>
      <w:tblGrid>
        <w:gridCol w:w="1588"/>
        <w:gridCol w:w="850"/>
        <w:gridCol w:w="994"/>
        <w:gridCol w:w="1134"/>
        <w:gridCol w:w="1417"/>
        <w:gridCol w:w="851"/>
        <w:gridCol w:w="992"/>
        <w:gridCol w:w="849"/>
      </w:tblGrid>
      <w:tr w:rsidR="002F4178" w:rsidRPr="00924168" w14:paraId="47CD4198" w14:textId="77777777" w:rsidTr="00924168">
        <w:tc>
          <w:tcPr>
            <w:tcW w:w="1588" w:type="dxa"/>
            <w:vAlign w:val="center"/>
          </w:tcPr>
          <w:p w14:paraId="2197D1B8" w14:textId="02DA7D31" w:rsidR="002F4178" w:rsidRPr="00924168" w:rsidRDefault="0092416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Statement Items</w:t>
            </w:r>
          </w:p>
        </w:tc>
        <w:tc>
          <w:tcPr>
            <w:tcW w:w="850" w:type="dxa"/>
            <w:vAlign w:val="center"/>
          </w:tcPr>
          <w:p w14:paraId="58554E71" w14:textId="0190A8D3" w:rsidR="002F4178" w:rsidRPr="00924168" w:rsidRDefault="0092416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P Value</w:t>
            </w:r>
          </w:p>
        </w:tc>
        <w:tc>
          <w:tcPr>
            <w:tcW w:w="994" w:type="dxa"/>
            <w:vAlign w:val="center"/>
          </w:tcPr>
          <w:p w14:paraId="5BAF33A5"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Sig</w:t>
            </w:r>
          </w:p>
        </w:tc>
        <w:tc>
          <w:tcPr>
            <w:tcW w:w="1134" w:type="dxa"/>
            <w:vAlign w:val="center"/>
          </w:tcPr>
          <w:p w14:paraId="6B5D1EAD" w14:textId="22F06513" w:rsidR="002F4178" w:rsidRPr="00924168" w:rsidRDefault="0092416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Note</w:t>
            </w:r>
          </w:p>
        </w:tc>
        <w:tc>
          <w:tcPr>
            <w:tcW w:w="1417" w:type="dxa"/>
            <w:vAlign w:val="center"/>
          </w:tcPr>
          <w:p w14:paraId="6E6EB59A" w14:textId="04DC0CC4" w:rsidR="002F4178" w:rsidRPr="00924168" w:rsidRDefault="0092416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Statement Items</w:t>
            </w:r>
          </w:p>
        </w:tc>
        <w:tc>
          <w:tcPr>
            <w:tcW w:w="851" w:type="dxa"/>
            <w:vAlign w:val="center"/>
          </w:tcPr>
          <w:p w14:paraId="2839BE5F" w14:textId="6AD3626D" w:rsidR="002F4178" w:rsidRPr="00924168" w:rsidRDefault="0092416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P value</w:t>
            </w:r>
          </w:p>
        </w:tc>
        <w:tc>
          <w:tcPr>
            <w:tcW w:w="992" w:type="dxa"/>
            <w:vAlign w:val="center"/>
          </w:tcPr>
          <w:p w14:paraId="4A490BDE"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Sig</w:t>
            </w:r>
          </w:p>
        </w:tc>
        <w:tc>
          <w:tcPr>
            <w:tcW w:w="849" w:type="dxa"/>
            <w:vAlign w:val="center"/>
          </w:tcPr>
          <w:p w14:paraId="6F5916D1" w14:textId="0C0AFBA0" w:rsidR="002F4178" w:rsidRPr="00924168" w:rsidRDefault="0092416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Note</w:t>
            </w:r>
          </w:p>
        </w:tc>
      </w:tr>
      <w:tr w:rsidR="002F4178" w:rsidRPr="00924168" w14:paraId="73EBDE3A" w14:textId="77777777" w:rsidTr="00924168">
        <w:tc>
          <w:tcPr>
            <w:tcW w:w="1588" w:type="dxa"/>
            <w:vAlign w:val="center"/>
          </w:tcPr>
          <w:p w14:paraId="285A2CD3"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w:t>
            </w:r>
          </w:p>
        </w:tc>
        <w:tc>
          <w:tcPr>
            <w:tcW w:w="850" w:type="dxa"/>
            <w:vAlign w:val="center"/>
          </w:tcPr>
          <w:p w14:paraId="267674DE"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296E36CD"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04391B43"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1DD78314"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11</w:t>
            </w:r>
          </w:p>
        </w:tc>
        <w:tc>
          <w:tcPr>
            <w:tcW w:w="851" w:type="dxa"/>
            <w:vAlign w:val="center"/>
          </w:tcPr>
          <w:p w14:paraId="6FCC5068"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0C35A43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00E88967"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6991935C" w14:textId="77777777" w:rsidTr="00924168">
        <w:tc>
          <w:tcPr>
            <w:tcW w:w="1588" w:type="dxa"/>
            <w:vAlign w:val="center"/>
          </w:tcPr>
          <w:p w14:paraId="3AB93E8C"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2</w:t>
            </w:r>
          </w:p>
        </w:tc>
        <w:tc>
          <w:tcPr>
            <w:tcW w:w="850" w:type="dxa"/>
            <w:vAlign w:val="center"/>
          </w:tcPr>
          <w:p w14:paraId="6FA16064"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1CFBCCD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02EF5A43"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3366684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12</w:t>
            </w:r>
          </w:p>
        </w:tc>
        <w:tc>
          <w:tcPr>
            <w:tcW w:w="851" w:type="dxa"/>
            <w:vAlign w:val="center"/>
          </w:tcPr>
          <w:p w14:paraId="7ABA23A9"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51F6F504"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0A228694"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08074702" w14:textId="77777777" w:rsidTr="00924168">
        <w:tc>
          <w:tcPr>
            <w:tcW w:w="1588" w:type="dxa"/>
            <w:vAlign w:val="center"/>
          </w:tcPr>
          <w:p w14:paraId="10CF281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3</w:t>
            </w:r>
          </w:p>
        </w:tc>
        <w:tc>
          <w:tcPr>
            <w:tcW w:w="850" w:type="dxa"/>
            <w:vAlign w:val="center"/>
          </w:tcPr>
          <w:p w14:paraId="76418A89"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4B6CB2F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241A77B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266E592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13</w:t>
            </w:r>
          </w:p>
        </w:tc>
        <w:tc>
          <w:tcPr>
            <w:tcW w:w="851" w:type="dxa"/>
            <w:vAlign w:val="center"/>
          </w:tcPr>
          <w:p w14:paraId="725E17A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1EBF8678"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349660AB"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15DA83CC" w14:textId="77777777" w:rsidTr="00924168">
        <w:tc>
          <w:tcPr>
            <w:tcW w:w="1588" w:type="dxa"/>
            <w:vAlign w:val="center"/>
          </w:tcPr>
          <w:p w14:paraId="1A3BC4C3"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4</w:t>
            </w:r>
          </w:p>
        </w:tc>
        <w:tc>
          <w:tcPr>
            <w:tcW w:w="850" w:type="dxa"/>
            <w:vAlign w:val="center"/>
          </w:tcPr>
          <w:p w14:paraId="01F826B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27F0EA1B"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6051E22E"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405EDD6C"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14</w:t>
            </w:r>
          </w:p>
        </w:tc>
        <w:tc>
          <w:tcPr>
            <w:tcW w:w="851" w:type="dxa"/>
            <w:vAlign w:val="center"/>
          </w:tcPr>
          <w:p w14:paraId="1261427E"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38408F7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1FCCFB89"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0EC50841" w14:textId="77777777" w:rsidTr="00924168">
        <w:tc>
          <w:tcPr>
            <w:tcW w:w="1588" w:type="dxa"/>
            <w:vAlign w:val="center"/>
          </w:tcPr>
          <w:p w14:paraId="7AFEF875"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5</w:t>
            </w:r>
          </w:p>
        </w:tc>
        <w:tc>
          <w:tcPr>
            <w:tcW w:w="850" w:type="dxa"/>
            <w:vAlign w:val="center"/>
          </w:tcPr>
          <w:p w14:paraId="228E880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51065C2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7C0905B2"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012C883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15</w:t>
            </w:r>
          </w:p>
        </w:tc>
        <w:tc>
          <w:tcPr>
            <w:tcW w:w="851" w:type="dxa"/>
            <w:vAlign w:val="center"/>
          </w:tcPr>
          <w:p w14:paraId="24722D8D"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4B4A3AF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79C4D24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115590A8" w14:textId="77777777" w:rsidTr="00924168">
        <w:tc>
          <w:tcPr>
            <w:tcW w:w="1588" w:type="dxa"/>
            <w:vAlign w:val="center"/>
          </w:tcPr>
          <w:p w14:paraId="37DA5A4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6</w:t>
            </w:r>
          </w:p>
        </w:tc>
        <w:tc>
          <w:tcPr>
            <w:tcW w:w="850" w:type="dxa"/>
            <w:vAlign w:val="center"/>
          </w:tcPr>
          <w:p w14:paraId="4EC696F5"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339A192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39C4F44B"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53DCC16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16</w:t>
            </w:r>
          </w:p>
        </w:tc>
        <w:tc>
          <w:tcPr>
            <w:tcW w:w="851" w:type="dxa"/>
            <w:vAlign w:val="center"/>
          </w:tcPr>
          <w:p w14:paraId="56F381CD"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56C76DF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3BD2641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1EA7A234" w14:textId="77777777" w:rsidTr="00924168">
        <w:tc>
          <w:tcPr>
            <w:tcW w:w="1588" w:type="dxa"/>
            <w:vAlign w:val="center"/>
          </w:tcPr>
          <w:p w14:paraId="1A9B4484"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7</w:t>
            </w:r>
          </w:p>
        </w:tc>
        <w:tc>
          <w:tcPr>
            <w:tcW w:w="850" w:type="dxa"/>
            <w:vAlign w:val="center"/>
          </w:tcPr>
          <w:p w14:paraId="51A03A5E"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0AEC0DC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1CD86448"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348BD65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17</w:t>
            </w:r>
          </w:p>
        </w:tc>
        <w:tc>
          <w:tcPr>
            <w:tcW w:w="851" w:type="dxa"/>
            <w:vAlign w:val="center"/>
          </w:tcPr>
          <w:p w14:paraId="73AB1D5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0692CE2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48FCA08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7DA06ABE" w14:textId="77777777" w:rsidTr="00924168">
        <w:tc>
          <w:tcPr>
            <w:tcW w:w="1588" w:type="dxa"/>
            <w:vAlign w:val="center"/>
          </w:tcPr>
          <w:p w14:paraId="20067717"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8</w:t>
            </w:r>
          </w:p>
        </w:tc>
        <w:tc>
          <w:tcPr>
            <w:tcW w:w="850" w:type="dxa"/>
            <w:vAlign w:val="center"/>
          </w:tcPr>
          <w:p w14:paraId="33136ACC"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0AF4EBDB"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7108D89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7B6932B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18</w:t>
            </w:r>
          </w:p>
        </w:tc>
        <w:tc>
          <w:tcPr>
            <w:tcW w:w="851" w:type="dxa"/>
            <w:vAlign w:val="center"/>
          </w:tcPr>
          <w:p w14:paraId="0DCBF3B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6452A8B2"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521EAB5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58A6CFD9" w14:textId="77777777" w:rsidTr="00924168">
        <w:tc>
          <w:tcPr>
            <w:tcW w:w="1588" w:type="dxa"/>
            <w:vAlign w:val="center"/>
          </w:tcPr>
          <w:p w14:paraId="0E2BED1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9</w:t>
            </w:r>
          </w:p>
        </w:tc>
        <w:tc>
          <w:tcPr>
            <w:tcW w:w="850" w:type="dxa"/>
            <w:vAlign w:val="center"/>
          </w:tcPr>
          <w:p w14:paraId="46326A5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172631D2"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2F52113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7A6A5EB6"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19</w:t>
            </w:r>
          </w:p>
        </w:tc>
        <w:tc>
          <w:tcPr>
            <w:tcW w:w="851" w:type="dxa"/>
            <w:vAlign w:val="center"/>
          </w:tcPr>
          <w:p w14:paraId="5DC06B1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39DA599B"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08AC64E1"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r w:rsidR="002F4178" w:rsidRPr="00924168" w14:paraId="1081BA5B" w14:textId="77777777" w:rsidTr="00924168">
        <w:tc>
          <w:tcPr>
            <w:tcW w:w="1588" w:type="dxa"/>
            <w:vAlign w:val="center"/>
          </w:tcPr>
          <w:p w14:paraId="128095F2"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10</w:t>
            </w:r>
          </w:p>
        </w:tc>
        <w:tc>
          <w:tcPr>
            <w:tcW w:w="850" w:type="dxa"/>
            <w:vAlign w:val="center"/>
          </w:tcPr>
          <w:p w14:paraId="6A051DC8"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4" w:type="dxa"/>
            <w:vAlign w:val="center"/>
          </w:tcPr>
          <w:p w14:paraId="61547CB0"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1134" w:type="dxa"/>
            <w:vAlign w:val="center"/>
          </w:tcPr>
          <w:p w14:paraId="01404F85"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c>
          <w:tcPr>
            <w:tcW w:w="1417" w:type="dxa"/>
            <w:vAlign w:val="center"/>
          </w:tcPr>
          <w:p w14:paraId="1B376428"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20</w:t>
            </w:r>
          </w:p>
        </w:tc>
        <w:tc>
          <w:tcPr>
            <w:tcW w:w="851" w:type="dxa"/>
            <w:vAlign w:val="center"/>
          </w:tcPr>
          <w:p w14:paraId="370A06E8"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0.000</w:t>
            </w:r>
          </w:p>
        </w:tc>
        <w:tc>
          <w:tcPr>
            <w:tcW w:w="992" w:type="dxa"/>
            <w:vAlign w:val="center"/>
          </w:tcPr>
          <w:p w14:paraId="16B7D65A"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&lt;0,05</w:t>
            </w:r>
          </w:p>
        </w:tc>
        <w:tc>
          <w:tcPr>
            <w:tcW w:w="849" w:type="dxa"/>
            <w:vAlign w:val="center"/>
          </w:tcPr>
          <w:p w14:paraId="25A6F13F" w14:textId="77777777" w:rsidR="002F4178" w:rsidRPr="00924168" w:rsidRDefault="002F4178" w:rsidP="005371AF">
            <w:pPr>
              <w:autoSpaceDE w:val="0"/>
              <w:autoSpaceDN w:val="0"/>
              <w:adjustRightInd w:val="0"/>
              <w:jc w:val="center"/>
              <w:rPr>
                <w:rFonts w:ascii="Palatino Linotype" w:hAnsi="Palatino Linotype" w:cs="Times New Roman"/>
              </w:rPr>
            </w:pPr>
            <w:r w:rsidRPr="00924168">
              <w:rPr>
                <w:rFonts w:ascii="Palatino Linotype" w:hAnsi="Palatino Linotype" w:cs="Times New Roman"/>
              </w:rPr>
              <w:t>Valid</w:t>
            </w:r>
          </w:p>
        </w:tc>
      </w:tr>
    </w:tbl>
    <w:p w14:paraId="74965A45" w14:textId="77777777" w:rsidR="00924168" w:rsidRDefault="00924168" w:rsidP="002F4178">
      <w:pPr>
        <w:pStyle w:val="Alishlah31text"/>
      </w:pPr>
    </w:p>
    <w:p w14:paraId="6905E10E" w14:textId="40D30929" w:rsidR="002F4178" w:rsidRDefault="00924168" w:rsidP="002F4178">
      <w:pPr>
        <w:pStyle w:val="Alishlah31text"/>
      </w:pPr>
      <w:r w:rsidRPr="00924168">
        <w:t>The results of the normality test using Kolmogorov Smirnov, and carried out on both measured variables, the test results show that all data have a p value &gt; α (0.05). This shows that the data is normally distributed</w:t>
      </w:r>
      <w:r w:rsidR="00D07ED1">
        <w:t xml:space="preserve"> </w:t>
      </w:r>
      <w:r>
        <w:t>(Table 4)</w:t>
      </w:r>
      <w:r w:rsidRPr="00924168">
        <w:t>.</w:t>
      </w:r>
    </w:p>
    <w:p w14:paraId="7B133D5D" w14:textId="77777777" w:rsidR="00D07ED1" w:rsidRDefault="00D07ED1" w:rsidP="002F4178">
      <w:pPr>
        <w:pStyle w:val="Alishlah31text"/>
      </w:pPr>
    </w:p>
    <w:p w14:paraId="39344811" w14:textId="3685A9E2" w:rsidR="00924168" w:rsidRDefault="00D07ED1" w:rsidP="00D07ED1">
      <w:pPr>
        <w:pStyle w:val="Alishlah31text"/>
        <w:jc w:val="center"/>
      </w:pPr>
      <w:r>
        <w:t xml:space="preserve">Table 4. </w:t>
      </w:r>
      <w:r w:rsidRPr="00D07ED1">
        <w:t>Data Normality Test Results</w:t>
      </w:r>
    </w:p>
    <w:tbl>
      <w:tblPr>
        <w:tblStyle w:val="Tabel4"/>
        <w:tblW w:w="4795" w:type="pct"/>
        <w:tblInd w:w="137" w:type="dxa"/>
        <w:tblLook w:val="04A0" w:firstRow="1" w:lastRow="0" w:firstColumn="1" w:lastColumn="0" w:noHBand="0" w:noVBand="1"/>
      </w:tblPr>
      <w:tblGrid>
        <w:gridCol w:w="494"/>
        <w:gridCol w:w="4413"/>
        <w:gridCol w:w="949"/>
        <w:gridCol w:w="417"/>
        <w:gridCol w:w="896"/>
        <w:gridCol w:w="566"/>
        <w:gridCol w:w="911"/>
      </w:tblGrid>
      <w:tr w:rsidR="00924168" w:rsidRPr="00924168" w14:paraId="6D719361" w14:textId="77777777" w:rsidTr="00924168">
        <w:tc>
          <w:tcPr>
            <w:tcW w:w="286" w:type="pct"/>
            <w:vAlign w:val="center"/>
            <w:hideMark/>
          </w:tcPr>
          <w:p w14:paraId="01537DC9" w14:textId="77777777" w:rsidR="00924168" w:rsidRPr="00924168" w:rsidRDefault="00924168" w:rsidP="005371AF">
            <w:pPr>
              <w:jc w:val="center"/>
              <w:rPr>
                <w:rFonts w:ascii="Palatino Linotype" w:hAnsi="Palatino Linotype"/>
                <w:b/>
                <w:bCs/>
                <w:sz w:val="20"/>
                <w:szCs w:val="20"/>
                <w:lang w:val="en-ID"/>
              </w:rPr>
            </w:pPr>
            <w:bookmarkStart w:id="1" w:name="_Hlk171574889"/>
            <w:r w:rsidRPr="00924168">
              <w:rPr>
                <w:rFonts w:ascii="Palatino Linotype" w:hAnsi="Palatino Linotype"/>
                <w:b/>
                <w:bCs/>
                <w:sz w:val="20"/>
                <w:szCs w:val="20"/>
                <w:lang w:val="en-ID"/>
              </w:rPr>
              <w:t>No</w:t>
            </w:r>
          </w:p>
        </w:tc>
        <w:tc>
          <w:tcPr>
            <w:tcW w:w="2552" w:type="pct"/>
            <w:vAlign w:val="center"/>
            <w:hideMark/>
          </w:tcPr>
          <w:p w14:paraId="7B0D4994" w14:textId="5830EC2E" w:rsidR="00924168" w:rsidRPr="00924168" w:rsidRDefault="00924168" w:rsidP="005371AF">
            <w:pPr>
              <w:jc w:val="center"/>
              <w:rPr>
                <w:rFonts w:ascii="Palatino Linotype" w:hAnsi="Palatino Linotype"/>
                <w:b/>
                <w:bCs/>
                <w:sz w:val="20"/>
                <w:szCs w:val="20"/>
                <w:lang w:val="en-ID"/>
              </w:rPr>
            </w:pPr>
            <w:r w:rsidRPr="00924168">
              <w:rPr>
                <w:rFonts w:ascii="Palatino Linotype" w:hAnsi="Palatino Linotype"/>
                <w:b/>
                <w:bCs/>
                <w:sz w:val="20"/>
                <w:szCs w:val="20"/>
                <w:lang w:val="en-ID"/>
              </w:rPr>
              <w:t>Variable</w:t>
            </w:r>
          </w:p>
        </w:tc>
        <w:tc>
          <w:tcPr>
            <w:tcW w:w="549" w:type="pct"/>
            <w:vAlign w:val="center"/>
          </w:tcPr>
          <w:p w14:paraId="47CCB07F" w14:textId="77777777" w:rsidR="00924168" w:rsidRPr="00924168" w:rsidRDefault="00924168" w:rsidP="005371AF">
            <w:pPr>
              <w:jc w:val="center"/>
              <w:rPr>
                <w:rFonts w:ascii="Palatino Linotype" w:hAnsi="Palatino Linotype"/>
                <w:b/>
                <w:bCs/>
                <w:sz w:val="20"/>
                <w:szCs w:val="20"/>
                <w:lang w:val="en-ID"/>
              </w:rPr>
            </w:pPr>
            <w:r w:rsidRPr="00924168">
              <w:rPr>
                <w:rFonts w:ascii="Palatino Linotype" w:hAnsi="Palatino Linotype" w:cstheme="majorBidi"/>
                <w:b/>
                <w:bCs/>
                <w:sz w:val="20"/>
                <w:szCs w:val="20"/>
              </w:rPr>
              <w:t>Statistic</w:t>
            </w:r>
          </w:p>
        </w:tc>
        <w:tc>
          <w:tcPr>
            <w:tcW w:w="241" w:type="pct"/>
            <w:vAlign w:val="center"/>
            <w:hideMark/>
          </w:tcPr>
          <w:p w14:paraId="129BD593" w14:textId="77777777" w:rsidR="00924168" w:rsidRPr="00924168" w:rsidRDefault="00924168" w:rsidP="005371AF">
            <w:pPr>
              <w:jc w:val="center"/>
              <w:rPr>
                <w:rFonts w:ascii="Palatino Linotype" w:hAnsi="Palatino Linotype"/>
                <w:b/>
                <w:bCs/>
                <w:sz w:val="20"/>
                <w:szCs w:val="20"/>
                <w:lang w:val="en-ID"/>
              </w:rPr>
            </w:pPr>
            <w:r w:rsidRPr="00924168">
              <w:rPr>
                <w:rFonts w:ascii="Palatino Linotype" w:hAnsi="Palatino Linotype"/>
                <w:b/>
                <w:bCs/>
                <w:sz w:val="20"/>
                <w:szCs w:val="20"/>
                <w:lang w:val="en-ID"/>
              </w:rPr>
              <w:t>N</w:t>
            </w:r>
          </w:p>
        </w:tc>
        <w:tc>
          <w:tcPr>
            <w:tcW w:w="518" w:type="pct"/>
            <w:vAlign w:val="center"/>
            <w:hideMark/>
          </w:tcPr>
          <w:p w14:paraId="7F5D2F48" w14:textId="04F1357C" w:rsidR="00924168" w:rsidRPr="00924168" w:rsidRDefault="00924168" w:rsidP="005371AF">
            <w:pPr>
              <w:jc w:val="center"/>
              <w:rPr>
                <w:rFonts w:ascii="Palatino Linotype" w:hAnsi="Palatino Linotype"/>
                <w:b/>
                <w:bCs/>
                <w:sz w:val="20"/>
                <w:szCs w:val="20"/>
                <w:lang w:val="en-US"/>
              </w:rPr>
            </w:pPr>
            <w:r w:rsidRPr="00924168">
              <w:rPr>
                <w:rFonts w:ascii="Palatino Linotype" w:hAnsi="Palatino Linotype"/>
                <w:b/>
                <w:bCs/>
                <w:sz w:val="20"/>
                <w:szCs w:val="20"/>
                <w:lang w:val="en-US"/>
              </w:rPr>
              <w:t>P value</w:t>
            </w:r>
          </w:p>
        </w:tc>
        <w:tc>
          <w:tcPr>
            <w:tcW w:w="327" w:type="pct"/>
            <w:vAlign w:val="center"/>
            <w:hideMark/>
          </w:tcPr>
          <w:p w14:paraId="34EBD6EA" w14:textId="77777777" w:rsidR="00924168" w:rsidRPr="00924168" w:rsidRDefault="00924168" w:rsidP="005371AF">
            <w:pPr>
              <w:jc w:val="center"/>
              <w:rPr>
                <w:rFonts w:ascii="Palatino Linotype" w:hAnsi="Palatino Linotype"/>
                <w:b/>
                <w:bCs/>
                <w:sz w:val="20"/>
                <w:szCs w:val="20"/>
                <w:lang w:val="en-ID"/>
              </w:rPr>
            </w:pPr>
            <w:r w:rsidRPr="00924168">
              <w:rPr>
                <w:rFonts w:ascii="Palatino Linotype" w:hAnsi="Palatino Linotype"/>
                <w:b/>
                <w:bCs/>
                <w:sz w:val="20"/>
                <w:szCs w:val="20"/>
              </w:rPr>
              <w:t>&gt;</w:t>
            </w:r>
            <w:r w:rsidRPr="00924168">
              <w:rPr>
                <w:rFonts w:ascii="Palatino Linotype" w:hAnsi="Palatino Linotype"/>
                <w:b/>
                <w:bCs/>
                <w:sz w:val="20"/>
                <w:szCs w:val="20"/>
                <w:lang w:val="en-ID"/>
              </w:rPr>
              <w:t>α</w:t>
            </w:r>
          </w:p>
        </w:tc>
        <w:tc>
          <w:tcPr>
            <w:tcW w:w="527" w:type="pct"/>
            <w:vAlign w:val="center"/>
            <w:hideMark/>
          </w:tcPr>
          <w:p w14:paraId="56A0AF4A" w14:textId="288ACBE1" w:rsidR="00924168" w:rsidRPr="00924168" w:rsidRDefault="00924168" w:rsidP="005371AF">
            <w:pPr>
              <w:jc w:val="center"/>
              <w:rPr>
                <w:rFonts w:ascii="Palatino Linotype" w:hAnsi="Palatino Linotype"/>
                <w:b/>
                <w:bCs/>
                <w:sz w:val="20"/>
                <w:szCs w:val="20"/>
                <w:lang w:val="en-ID"/>
              </w:rPr>
            </w:pPr>
            <w:r w:rsidRPr="00924168">
              <w:rPr>
                <w:rFonts w:ascii="Palatino Linotype" w:hAnsi="Palatino Linotype"/>
                <w:b/>
                <w:bCs/>
                <w:sz w:val="20"/>
                <w:szCs w:val="20"/>
                <w:lang w:val="en-ID"/>
              </w:rPr>
              <w:t>Note</w:t>
            </w:r>
          </w:p>
        </w:tc>
      </w:tr>
      <w:tr w:rsidR="00924168" w:rsidRPr="00924168" w14:paraId="2811BE6A" w14:textId="77777777" w:rsidTr="00924168">
        <w:tc>
          <w:tcPr>
            <w:tcW w:w="286" w:type="pct"/>
            <w:vAlign w:val="center"/>
            <w:hideMark/>
          </w:tcPr>
          <w:p w14:paraId="392FE6DA" w14:textId="77777777" w:rsidR="00924168" w:rsidRPr="00924168" w:rsidRDefault="00924168" w:rsidP="005371AF">
            <w:pPr>
              <w:jc w:val="center"/>
              <w:rPr>
                <w:rFonts w:ascii="Palatino Linotype" w:hAnsi="Palatino Linotype"/>
                <w:sz w:val="20"/>
                <w:szCs w:val="20"/>
                <w:lang w:val="en-ID"/>
              </w:rPr>
            </w:pPr>
            <w:r w:rsidRPr="00924168">
              <w:rPr>
                <w:rFonts w:ascii="Palatino Linotype" w:hAnsi="Palatino Linotype"/>
                <w:sz w:val="20"/>
                <w:szCs w:val="20"/>
                <w:lang w:val="en-ID"/>
              </w:rPr>
              <w:t>1</w:t>
            </w:r>
          </w:p>
        </w:tc>
        <w:tc>
          <w:tcPr>
            <w:tcW w:w="2552" w:type="pct"/>
            <w:hideMark/>
          </w:tcPr>
          <w:p w14:paraId="7DB80159" w14:textId="36CD1330"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US"/>
              </w:rPr>
              <w:t>Polytechnic of Health Students' Value Questionnaire Test</w:t>
            </w:r>
          </w:p>
        </w:tc>
        <w:tc>
          <w:tcPr>
            <w:tcW w:w="549" w:type="pct"/>
          </w:tcPr>
          <w:p w14:paraId="1718B077"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ID"/>
              </w:rPr>
              <w:t>,</w:t>
            </w:r>
            <w:r w:rsidRPr="00924168">
              <w:rPr>
                <w:rFonts w:ascii="Palatino Linotype" w:hAnsi="Palatino Linotype" w:cs="Arial"/>
                <w:color w:val="010205"/>
                <w:sz w:val="20"/>
                <w:szCs w:val="20"/>
                <w:lang w:val="en-ID"/>
              </w:rPr>
              <w:t>074</w:t>
            </w:r>
          </w:p>
        </w:tc>
        <w:tc>
          <w:tcPr>
            <w:tcW w:w="241" w:type="pct"/>
            <w:hideMark/>
          </w:tcPr>
          <w:p w14:paraId="293685E5"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ID"/>
              </w:rPr>
              <w:t>75</w:t>
            </w:r>
          </w:p>
        </w:tc>
        <w:tc>
          <w:tcPr>
            <w:tcW w:w="518" w:type="pct"/>
            <w:hideMark/>
          </w:tcPr>
          <w:p w14:paraId="2BBB72AA" w14:textId="77777777" w:rsidR="00924168" w:rsidRPr="00924168" w:rsidRDefault="00924168" w:rsidP="005371AF">
            <w:pPr>
              <w:jc w:val="center"/>
              <w:rPr>
                <w:rFonts w:ascii="Palatino Linotype" w:hAnsi="Palatino Linotype" w:cstheme="majorBidi"/>
                <w:sz w:val="20"/>
                <w:szCs w:val="20"/>
              </w:rPr>
            </w:pPr>
            <w:r w:rsidRPr="00924168">
              <w:rPr>
                <w:rFonts w:ascii="Palatino Linotype" w:hAnsi="Palatino Linotype" w:cstheme="majorBidi"/>
                <w:b/>
                <w:bCs/>
                <w:sz w:val="20"/>
                <w:szCs w:val="20"/>
              </w:rPr>
              <w:t>,</w:t>
            </w:r>
            <w:r w:rsidRPr="00924168">
              <w:rPr>
                <w:rFonts w:ascii="Palatino Linotype" w:hAnsi="Palatino Linotype" w:cstheme="majorBidi"/>
                <w:b/>
                <w:bCs/>
                <w:sz w:val="20"/>
                <w:szCs w:val="20"/>
                <w:lang w:val="en-US"/>
              </w:rPr>
              <w:t>200</w:t>
            </w:r>
            <w:r w:rsidRPr="00924168">
              <w:rPr>
                <w:rFonts w:ascii="Palatino Linotype" w:hAnsi="Palatino Linotype" w:cstheme="majorBidi"/>
                <w:b/>
                <w:bCs/>
                <w:sz w:val="20"/>
                <w:szCs w:val="20"/>
                <w:vertAlign w:val="superscript"/>
              </w:rPr>
              <w:t>*</w:t>
            </w:r>
          </w:p>
        </w:tc>
        <w:tc>
          <w:tcPr>
            <w:tcW w:w="327" w:type="pct"/>
            <w:hideMark/>
          </w:tcPr>
          <w:p w14:paraId="512AC0BE" w14:textId="77777777" w:rsidR="00924168" w:rsidRPr="00924168" w:rsidRDefault="00924168" w:rsidP="005371AF">
            <w:pPr>
              <w:rPr>
                <w:rFonts w:ascii="Palatino Linotype" w:hAnsi="Palatino Linotype" w:cs="Times New Roman"/>
                <w:sz w:val="20"/>
                <w:szCs w:val="20"/>
                <w:lang w:val="en-ID"/>
              </w:rPr>
            </w:pPr>
            <w:r w:rsidRPr="00924168">
              <w:rPr>
                <w:rFonts w:ascii="Palatino Linotype" w:hAnsi="Palatino Linotype"/>
                <w:sz w:val="20"/>
                <w:szCs w:val="20"/>
                <w:lang w:val="en-ID"/>
              </w:rPr>
              <w:t>0,05</w:t>
            </w:r>
          </w:p>
        </w:tc>
        <w:tc>
          <w:tcPr>
            <w:tcW w:w="527" w:type="pct"/>
            <w:vMerge w:val="restart"/>
            <w:vAlign w:val="center"/>
            <w:hideMark/>
          </w:tcPr>
          <w:p w14:paraId="703122D2" w14:textId="77777777" w:rsidR="00924168" w:rsidRPr="00924168" w:rsidRDefault="00924168" w:rsidP="005371AF">
            <w:pPr>
              <w:jc w:val="center"/>
              <w:rPr>
                <w:rFonts w:ascii="Palatino Linotype" w:hAnsi="Palatino Linotype"/>
                <w:sz w:val="20"/>
                <w:szCs w:val="20"/>
                <w:lang w:val="en-ID"/>
              </w:rPr>
            </w:pPr>
            <w:r w:rsidRPr="00924168">
              <w:rPr>
                <w:rFonts w:ascii="Palatino Linotype" w:hAnsi="Palatino Linotype"/>
                <w:sz w:val="20"/>
                <w:szCs w:val="20"/>
                <w:lang w:val="en-ID"/>
              </w:rPr>
              <w:t>Normal</w:t>
            </w:r>
          </w:p>
        </w:tc>
      </w:tr>
      <w:tr w:rsidR="00924168" w:rsidRPr="00924168" w14:paraId="52BDFAA9" w14:textId="77777777" w:rsidTr="00924168">
        <w:tc>
          <w:tcPr>
            <w:tcW w:w="286" w:type="pct"/>
            <w:vAlign w:val="center"/>
            <w:hideMark/>
          </w:tcPr>
          <w:p w14:paraId="4BC2A02E" w14:textId="77777777" w:rsidR="00924168" w:rsidRPr="00924168" w:rsidRDefault="00924168" w:rsidP="005371AF">
            <w:pPr>
              <w:jc w:val="center"/>
              <w:rPr>
                <w:rFonts w:ascii="Palatino Linotype" w:hAnsi="Palatino Linotype"/>
                <w:sz w:val="20"/>
                <w:szCs w:val="20"/>
                <w:lang w:val="en-ID"/>
              </w:rPr>
            </w:pPr>
            <w:r w:rsidRPr="00924168">
              <w:rPr>
                <w:rFonts w:ascii="Palatino Linotype" w:hAnsi="Palatino Linotype"/>
                <w:sz w:val="20"/>
                <w:szCs w:val="20"/>
                <w:lang w:val="en-ID"/>
              </w:rPr>
              <w:t>2</w:t>
            </w:r>
          </w:p>
        </w:tc>
        <w:tc>
          <w:tcPr>
            <w:tcW w:w="2552" w:type="pct"/>
            <w:hideMark/>
          </w:tcPr>
          <w:p w14:paraId="0487DCFB" w14:textId="5528E98A"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US"/>
              </w:rPr>
              <w:t xml:space="preserve">Moral LoC Questionnaire Test of </w:t>
            </w:r>
            <w:proofErr w:type="spellStart"/>
            <w:r w:rsidRPr="00924168">
              <w:rPr>
                <w:rFonts w:ascii="Palatino Linotype" w:hAnsi="Palatino Linotype"/>
                <w:sz w:val="20"/>
                <w:szCs w:val="20"/>
                <w:lang w:val="en-US"/>
              </w:rPr>
              <w:t>Poltekkes</w:t>
            </w:r>
            <w:proofErr w:type="spellEnd"/>
            <w:r w:rsidRPr="00924168">
              <w:rPr>
                <w:rFonts w:ascii="Palatino Linotype" w:hAnsi="Palatino Linotype"/>
                <w:sz w:val="20"/>
                <w:szCs w:val="20"/>
                <w:lang w:val="en-US"/>
              </w:rPr>
              <w:t xml:space="preserve"> Students</w:t>
            </w:r>
          </w:p>
        </w:tc>
        <w:tc>
          <w:tcPr>
            <w:tcW w:w="549" w:type="pct"/>
          </w:tcPr>
          <w:p w14:paraId="6B353B9C"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cs="Arial"/>
                <w:color w:val="010205"/>
                <w:sz w:val="20"/>
                <w:szCs w:val="20"/>
                <w:lang w:val="en-ID"/>
              </w:rPr>
              <w:t>,074</w:t>
            </w:r>
          </w:p>
        </w:tc>
        <w:tc>
          <w:tcPr>
            <w:tcW w:w="241" w:type="pct"/>
            <w:hideMark/>
          </w:tcPr>
          <w:p w14:paraId="743CB2E0"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ID"/>
              </w:rPr>
              <w:t>75</w:t>
            </w:r>
          </w:p>
        </w:tc>
        <w:tc>
          <w:tcPr>
            <w:tcW w:w="518" w:type="pct"/>
            <w:hideMark/>
          </w:tcPr>
          <w:p w14:paraId="57A72818" w14:textId="77777777" w:rsidR="00924168" w:rsidRPr="00924168" w:rsidRDefault="00924168" w:rsidP="005371AF">
            <w:pPr>
              <w:jc w:val="center"/>
              <w:rPr>
                <w:rFonts w:ascii="Palatino Linotype" w:hAnsi="Palatino Linotype" w:cstheme="majorBidi"/>
                <w:sz w:val="20"/>
                <w:szCs w:val="20"/>
                <w:lang w:val="en-US"/>
              </w:rPr>
            </w:pPr>
            <w:r w:rsidRPr="00924168">
              <w:rPr>
                <w:rFonts w:ascii="Palatino Linotype" w:hAnsi="Palatino Linotype" w:cstheme="majorBidi"/>
                <w:b/>
                <w:bCs/>
                <w:sz w:val="20"/>
                <w:szCs w:val="20"/>
              </w:rPr>
              <w:t>,</w:t>
            </w:r>
            <w:r w:rsidRPr="00924168">
              <w:rPr>
                <w:rFonts w:ascii="Palatino Linotype" w:hAnsi="Palatino Linotype" w:cstheme="majorBidi"/>
                <w:b/>
                <w:bCs/>
                <w:sz w:val="20"/>
                <w:szCs w:val="20"/>
                <w:lang w:val="en-US"/>
              </w:rPr>
              <w:t>200</w:t>
            </w:r>
            <w:r w:rsidRPr="00924168">
              <w:rPr>
                <w:rFonts w:ascii="Palatino Linotype" w:hAnsi="Palatino Linotype" w:cstheme="majorBidi"/>
                <w:b/>
                <w:bCs/>
                <w:sz w:val="20"/>
                <w:szCs w:val="20"/>
                <w:vertAlign w:val="superscript"/>
              </w:rPr>
              <w:t>*</w:t>
            </w:r>
          </w:p>
        </w:tc>
        <w:tc>
          <w:tcPr>
            <w:tcW w:w="327" w:type="pct"/>
            <w:hideMark/>
          </w:tcPr>
          <w:p w14:paraId="42BA1023" w14:textId="77777777" w:rsidR="00924168" w:rsidRPr="00924168" w:rsidRDefault="00924168" w:rsidP="005371AF">
            <w:pPr>
              <w:rPr>
                <w:rFonts w:ascii="Palatino Linotype" w:hAnsi="Palatino Linotype" w:cs="Times New Roman"/>
                <w:sz w:val="20"/>
                <w:szCs w:val="20"/>
                <w:lang w:val="en-ID"/>
              </w:rPr>
            </w:pPr>
            <w:r w:rsidRPr="00924168">
              <w:rPr>
                <w:rFonts w:ascii="Palatino Linotype" w:hAnsi="Palatino Linotype"/>
                <w:sz w:val="20"/>
                <w:szCs w:val="20"/>
                <w:lang w:val="en-ID"/>
              </w:rPr>
              <w:t>0,05</w:t>
            </w:r>
          </w:p>
        </w:tc>
        <w:tc>
          <w:tcPr>
            <w:tcW w:w="527" w:type="pct"/>
            <w:vMerge/>
            <w:vAlign w:val="center"/>
            <w:hideMark/>
          </w:tcPr>
          <w:p w14:paraId="7709EC5F" w14:textId="77777777" w:rsidR="00924168" w:rsidRPr="00924168" w:rsidRDefault="00924168" w:rsidP="005371AF">
            <w:pPr>
              <w:rPr>
                <w:rFonts w:ascii="Palatino Linotype" w:eastAsia="Times New Roman" w:hAnsi="Palatino Linotype" w:cs="Times New Roman"/>
                <w:sz w:val="20"/>
                <w:szCs w:val="20"/>
                <w:lang w:val="en-ID" w:eastAsia="id-ID"/>
              </w:rPr>
            </w:pPr>
          </w:p>
        </w:tc>
      </w:tr>
      <w:tr w:rsidR="00924168" w:rsidRPr="00924168" w14:paraId="267C9B42" w14:textId="77777777" w:rsidTr="00924168">
        <w:tc>
          <w:tcPr>
            <w:tcW w:w="286" w:type="pct"/>
            <w:vAlign w:val="center"/>
            <w:hideMark/>
          </w:tcPr>
          <w:p w14:paraId="5D4612DD" w14:textId="77777777" w:rsidR="00924168" w:rsidRPr="00924168" w:rsidRDefault="00924168" w:rsidP="005371AF">
            <w:pPr>
              <w:jc w:val="center"/>
              <w:rPr>
                <w:rFonts w:ascii="Palatino Linotype" w:hAnsi="Palatino Linotype"/>
                <w:sz w:val="20"/>
                <w:szCs w:val="20"/>
                <w:lang w:val="en-ID"/>
              </w:rPr>
            </w:pPr>
            <w:r w:rsidRPr="00924168">
              <w:rPr>
                <w:rFonts w:ascii="Palatino Linotype" w:hAnsi="Palatino Linotype"/>
                <w:sz w:val="20"/>
                <w:szCs w:val="20"/>
                <w:lang w:val="en-ID"/>
              </w:rPr>
              <w:t>3</w:t>
            </w:r>
          </w:p>
        </w:tc>
        <w:tc>
          <w:tcPr>
            <w:tcW w:w="2552" w:type="pct"/>
            <w:hideMark/>
          </w:tcPr>
          <w:p w14:paraId="644E9095" w14:textId="2CBA7119"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US"/>
              </w:rPr>
              <w:t>PGRI Student Value Questionnaire Test</w:t>
            </w:r>
          </w:p>
        </w:tc>
        <w:tc>
          <w:tcPr>
            <w:tcW w:w="549" w:type="pct"/>
          </w:tcPr>
          <w:p w14:paraId="350D9E57"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ID"/>
              </w:rPr>
              <w:t>,</w:t>
            </w:r>
            <w:r w:rsidRPr="00924168">
              <w:rPr>
                <w:rFonts w:ascii="Palatino Linotype" w:hAnsi="Palatino Linotype" w:cs="Arial"/>
                <w:color w:val="010205"/>
                <w:sz w:val="20"/>
                <w:szCs w:val="20"/>
                <w:lang w:val="en-ID"/>
              </w:rPr>
              <w:t>087</w:t>
            </w:r>
          </w:p>
        </w:tc>
        <w:tc>
          <w:tcPr>
            <w:tcW w:w="241" w:type="pct"/>
            <w:hideMark/>
          </w:tcPr>
          <w:p w14:paraId="66802CE5"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ID"/>
              </w:rPr>
              <w:t>75</w:t>
            </w:r>
          </w:p>
        </w:tc>
        <w:tc>
          <w:tcPr>
            <w:tcW w:w="518" w:type="pct"/>
            <w:hideMark/>
          </w:tcPr>
          <w:p w14:paraId="5E473D5C" w14:textId="77777777" w:rsidR="00924168" w:rsidRPr="00924168" w:rsidRDefault="00924168" w:rsidP="005371AF">
            <w:pPr>
              <w:jc w:val="center"/>
              <w:rPr>
                <w:rFonts w:ascii="Palatino Linotype" w:hAnsi="Palatino Linotype" w:cstheme="majorBidi"/>
                <w:sz w:val="20"/>
                <w:szCs w:val="20"/>
                <w:lang w:val="en-US"/>
              </w:rPr>
            </w:pPr>
            <w:r w:rsidRPr="00924168">
              <w:rPr>
                <w:rFonts w:ascii="Palatino Linotype" w:hAnsi="Palatino Linotype" w:cstheme="majorBidi"/>
                <w:b/>
                <w:bCs/>
                <w:sz w:val="20"/>
                <w:szCs w:val="20"/>
              </w:rPr>
              <w:t>,</w:t>
            </w:r>
            <w:r w:rsidRPr="00924168">
              <w:rPr>
                <w:rFonts w:ascii="Palatino Linotype" w:hAnsi="Palatino Linotype" w:cstheme="majorBidi"/>
                <w:b/>
                <w:bCs/>
                <w:sz w:val="20"/>
                <w:szCs w:val="20"/>
                <w:lang w:val="en-US"/>
              </w:rPr>
              <w:t>200</w:t>
            </w:r>
            <w:r w:rsidRPr="00924168">
              <w:rPr>
                <w:rFonts w:ascii="Palatino Linotype" w:hAnsi="Palatino Linotype" w:cstheme="majorBidi"/>
                <w:b/>
                <w:bCs/>
                <w:sz w:val="20"/>
                <w:szCs w:val="20"/>
                <w:vertAlign w:val="superscript"/>
              </w:rPr>
              <w:t>*</w:t>
            </w:r>
          </w:p>
        </w:tc>
        <w:tc>
          <w:tcPr>
            <w:tcW w:w="327" w:type="pct"/>
            <w:hideMark/>
          </w:tcPr>
          <w:p w14:paraId="6E09C909" w14:textId="77777777" w:rsidR="00924168" w:rsidRPr="00924168" w:rsidRDefault="00924168" w:rsidP="005371AF">
            <w:pPr>
              <w:rPr>
                <w:rFonts w:ascii="Palatino Linotype" w:hAnsi="Palatino Linotype" w:cs="Times New Roman"/>
                <w:sz w:val="20"/>
                <w:szCs w:val="20"/>
                <w:lang w:val="en-ID"/>
              </w:rPr>
            </w:pPr>
            <w:r w:rsidRPr="00924168">
              <w:rPr>
                <w:rFonts w:ascii="Palatino Linotype" w:hAnsi="Palatino Linotype"/>
                <w:sz w:val="20"/>
                <w:szCs w:val="20"/>
                <w:lang w:val="en-ID"/>
              </w:rPr>
              <w:t>0,05</w:t>
            </w:r>
          </w:p>
        </w:tc>
        <w:tc>
          <w:tcPr>
            <w:tcW w:w="527" w:type="pct"/>
            <w:vMerge/>
            <w:vAlign w:val="center"/>
            <w:hideMark/>
          </w:tcPr>
          <w:p w14:paraId="08725D94" w14:textId="77777777" w:rsidR="00924168" w:rsidRPr="00924168" w:rsidRDefault="00924168" w:rsidP="005371AF">
            <w:pPr>
              <w:rPr>
                <w:rFonts w:ascii="Palatino Linotype" w:eastAsia="Times New Roman" w:hAnsi="Palatino Linotype" w:cs="Times New Roman"/>
                <w:sz w:val="20"/>
                <w:szCs w:val="20"/>
                <w:lang w:val="en-ID" w:eastAsia="id-ID"/>
              </w:rPr>
            </w:pPr>
          </w:p>
        </w:tc>
      </w:tr>
      <w:tr w:rsidR="00924168" w:rsidRPr="00924168" w14:paraId="7B137DB8" w14:textId="77777777" w:rsidTr="00924168">
        <w:tc>
          <w:tcPr>
            <w:tcW w:w="286" w:type="pct"/>
            <w:vAlign w:val="center"/>
            <w:hideMark/>
          </w:tcPr>
          <w:p w14:paraId="155CF810" w14:textId="77777777" w:rsidR="00924168" w:rsidRPr="00924168" w:rsidRDefault="00924168" w:rsidP="005371AF">
            <w:pPr>
              <w:jc w:val="center"/>
              <w:rPr>
                <w:rFonts w:ascii="Palatino Linotype" w:hAnsi="Palatino Linotype"/>
                <w:sz w:val="20"/>
                <w:szCs w:val="20"/>
                <w:lang w:val="en-ID"/>
              </w:rPr>
            </w:pPr>
            <w:r w:rsidRPr="00924168">
              <w:rPr>
                <w:rFonts w:ascii="Palatino Linotype" w:hAnsi="Palatino Linotype"/>
                <w:sz w:val="20"/>
                <w:szCs w:val="20"/>
                <w:lang w:val="en-ID"/>
              </w:rPr>
              <w:t>4</w:t>
            </w:r>
          </w:p>
        </w:tc>
        <w:tc>
          <w:tcPr>
            <w:tcW w:w="2552" w:type="pct"/>
            <w:hideMark/>
          </w:tcPr>
          <w:p w14:paraId="2AA5436C" w14:textId="7E887E79"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US"/>
              </w:rPr>
              <w:t>PGRI Student Moral LoC Questionnaire Test</w:t>
            </w:r>
          </w:p>
        </w:tc>
        <w:tc>
          <w:tcPr>
            <w:tcW w:w="549" w:type="pct"/>
          </w:tcPr>
          <w:p w14:paraId="21185643"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cs="Arial"/>
                <w:color w:val="010205"/>
                <w:sz w:val="20"/>
                <w:szCs w:val="20"/>
                <w:lang w:val="en-ID"/>
              </w:rPr>
              <w:t>,087</w:t>
            </w:r>
          </w:p>
        </w:tc>
        <w:tc>
          <w:tcPr>
            <w:tcW w:w="241" w:type="pct"/>
            <w:hideMark/>
          </w:tcPr>
          <w:p w14:paraId="3DB1FB84" w14:textId="77777777" w:rsidR="00924168" w:rsidRPr="00924168" w:rsidRDefault="00924168" w:rsidP="005371AF">
            <w:pPr>
              <w:rPr>
                <w:rFonts w:ascii="Palatino Linotype" w:hAnsi="Palatino Linotype"/>
                <w:sz w:val="20"/>
                <w:szCs w:val="20"/>
                <w:lang w:val="en-ID"/>
              </w:rPr>
            </w:pPr>
            <w:r w:rsidRPr="00924168">
              <w:rPr>
                <w:rFonts w:ascii="Palatino Linotype" w:hAnsi="Palatino Linotype"/>
                <w:sz w:val="20"/>
                <w:szCs w:val="20"/>
                <w:lang w:val="en-ID"/>
              </w:rPr>
              <w:t>75</w:t>
            </w:r>
          </w:p>
        </w:tc>
        <w:tc>
          <w:tcPr>
            <w:tcW w:w="518" w:type="pct"/>
            <w:hideMark/>
          </w:tcPr>
          <w:p w14:paraId="700AD31D" w14:textId="77777777" w:rsidR="00924168" w:rsidRPr="00924168" w:rsidRDefault="00924168" w:rsidP="005371AF">
            <w:pPr>
              <w:jc w:val="center"/>
              <w:rPr>
                <w:rFonts w:ascii="Palatino Linotype" w:hAnsi="Palatino Linotype" w:cstheme="majorBidi"/>
                <w:sz w:val="20"/>
                <w:szCs w:val="20"/>
                <w:lang w:val="en-US"/>
              </w:rPr>
            </w:pPr>
            <w:r w:rsidRPr="00924168">
              <w:rPr>
                <w:rFonts w:ascii="Palatino Linotype" w:hAnsi="Palatino Linotype" w:cstheme="majorBidi"/>
                <w:b/>
                <w:bCs/>
                <w:sz w:val="20"/>
                <w:szCs w:val="20"/>
              </w:rPr>
              <w:t>,</w:t>
            </w:r>
            <w:r w:rsidRPr="00924168">
              <w:rPr>
                <w:rFonts w:ascii="Palatino Linotype" w:hAnsi="Palatino Linotype" w:cstheme="majorBidi"/>
                <w:b/>
                <w:bCs/>
                <w:sz w:val="20"/>
                <w:szCs w:val="20"/>
                <w:lang w:val="en-US"/>
              </w:rPr>
              <w:t>200</w:t>
            </w:r>
            <w:r w:rsidRPr="00924168">
              <w:rPr>
                <w:rFonts w:ascii="Palatino Linotype" w:hAnsi="Palatino Linotype" w:cstheme="majorBidi"/>
                <w:b/>
                <w:bCs/>
                <w:sz w:val="20"/>
                <w:szCs w:val="20"/>
                <w:vertAlign w:val="superscript"/>
              </w:rPr>
              <w:t>*</w:t>
            </w:r>
          </w:p>
        </w:tc>
        <w:tc>
          <w:tcPr>
            <w:tcW w:w="327" w:type="pct"/>
            <w:hideMark/>
          </w:tcPr>
          <w:p w14:paraId="6A51E968" w14:textId="77777777" w:rsidR="00924168" w:rsidRPr="00924168" w:rsidRDefault="00924168" w:rsidP="005371AF">
            <w:pPr>
              <w:rPr>
                <w:rFonts w:ascii="Palatino Linotype" w:hAnsi="Palatino Linotype" w:cs="Times New Roman"/>
                <w:sz w:val="20"/>
                <w:szCs w:val="20"/>
                <w:lang w:val="en-ID"/>
              </w:rPr>
            </w:pPr>
            <w:r w:rsidRPr="00924168">
              <w:rPr>
                <w:rFonts w:ascii="Palatino Linotype" w:hAnsi="Palatino Linotype"/>
                <w:sz w:val="20"/>
                <w:szCs w:val="20"/>
                <w:lang w:val="en-ID"/>
              </w:rPr>
              <w:t>0,05</w:t>
            </w:r>
          </w:p>
        </w:tc>
        <w:tc>
          <w:tcPr>
            <w:tcW w:w="527" w:type="pct"/>
            <w:vMerge/>
            <w:vAlign w:val="center"/>
            <w:hideMark/>
          </w:tcPr>
          <w:p w14:paraId="63742DF2" w14:textId="77777777" w:rsidR="00924168" w:rsidRPr="00924168" w:rsidRDefault="00924168" w:rsidP="005371AF">
            <w:pPr>
              <w:rPr>
                <w:rFonts w:ascii="Palatino Linotype" w:eastAsia="Times New Roman" w:hAnsi="Palatino Linotype" w:cs="Times New Roman"/>
                <w:sz w:val="20"/>
                <w:szCs w:val="20"/>
                <w:lang w:val="en-ID" w:eastAsia="id-ID"/>
              </w:rPr>
            </w:pPr>
          </w:p>
        </w:tc>
      </w:tr>
      <w:bookmarkEnd w:id="1"/>
    </w:tbl>
    <w:p w14:paraId="07ADC387" w14:textId="77777777" w:rsidR="00564837" w:rsidRDefault="00564837" w:rsidP="00564837">
      <w:pPr>
        <w:pStyle w:val="Alishlah31text"/>
      </w:pPr>
    </w:p>
    <w:p w14:paraId="26F0F3EC" w14:textId="0D45B9C2" w:rsidR="00564837" w:rsidRDefault="00564837" w:rsidP="00564837">
      <w:pPr>
        <w:pStyle w:val="Alishlah31text"/>
      </w:pPr>
      <w:r>
        <w:t xml:space="preserve">The </w:t>
      </w:r>
      <w:r w:rsidRPr="00564837">
        <w:rPr>
          <w:rFonts w:ascii="Times New Roman" w:eastAsia="SimSun" w:hAnsi="Times New Roman"/>
          <w:snapToGrid/>
          <w:color w:val="auto"/>
          <w:sz w:val="22"/>
          <w:lang w:val="en-ID" w:eastAsia="en-US" w:bidi="ar-SA"/>
        </w:rPr>
        <w:t>normality</w:t>
      </w:r>
      <w:r>
        <w:t xml:space="preserve"> test for the </w:t>
      </w:r>
      <w:proofErr w:type="spellStart"/>
      <w:r>
        <w:t>Poltekkes</w:t>
      </w:r>
      <w:proofErr w:type="spellEnd"/>
      <w:r>
        <w:t xml:space="preserve"> students' value questionnaire yielded a statistic of 0.074 with a p-value of 0.200. Given that the p-value is greater than the alpha level of 0.05, we conclude that the distribution of values in the questionnaire is normal. This indicates that the data follows a normal distribution, which is a key assumption for many statistical analyses.</w:t>
      </w:r>
      <w:r>
        <w:t xml:space="preserve"> </w:t>
      </w:r>
      <w:r>
        <w:t xml:space="preserve">Similarly, the normality test for the moral LoC questionnaire for </w:t>
      </w:r>
      <w:proofErr w:type="spellStart"/>
      <w:r>
        <w:t>Poltekkes</w:t>
      </w:r>
      <w:proofErr w:type="spellEnd"/>
      <w:r>
        <w:t xml:space="preserve"> students also resulted in a statistic of 0.074 and a p-value of 0.200. Since the p-value exceeds the alpha level of 0.05, the moral LoC data for </w:t>
      </w:r>
      <w:proofErr w:type="spellStart"/>
      <w:r>
        <w:t>Poltekkes</w:t>
      </w:r>
      <w:proofErr w:type="spellEnd"/>
      <w:r>
        <w:t xml:space="preserve"> students is considered normally distributed. This normality ensures the reliability of further parametric analyses involving this variable.</w:t>
      </w:r>
      <w:r>
        <w:t xml:space="preserve"> </w:t>
      </w:r>
      <w:r>
        <w:t>For the PGRI students' value questionnaire, the normality test statistic is 0.087 with a p-value of 0.200. As the p-value is greater than the alpha level of 0.05, the data from this questionnaire is also deemed to follow a normal distribution. This normality is essential for conducting accurate and valid statistical tests.</w:t>
      </w:r>
      <w:r>
        <w:t xml:space="preserve"> </w:t>
      </w:r>
      <w:r>
        <w:t>The normality of all four variables across both institutions supports the robustness of the data and the validity of subsequent statistical analyses. Normal distributions are a fundamental assumption for many parametric tests, including t-tests and ANOVAs, which rely on the assumption of normality to produce reliable results. The confirmation of normality in these questionnaire results enhances the credibility of any inferential statistics applied to these data sets, facilitating more accurate and meaningful interpretations of the relationships and differences between the variables.</w:t>
      </w:r>
    </w:p>
    <w:p w14:paraId="67A425CD" w14:textId="251B64A6" w:rsidR="00924168" w:rsidRDefault="00D07ED1" w:rsidP="00564837">
      <w:pPr>
        <w:pStyle w:val="Alishlah31text"/>
        <w:rPr>
          <w:rFonts w:ascii="Times New Roman" w:eastAsia="SimSun" w:hAnsi="Times New Roman"/>
          <w:snapToGrid/>
          <w:color w:val="auto"/>
          <w:sz w:val="22"/>
          <w:lang w:val="en-ID" w:eastAsia="en-US" w:bidi="ar-SA"/>
        </w:rPr>
      </w:pPr>
      <w:r w:rsidRPr="00564837">
        <w:lastRenderedPageBreak/>
        <w:t>Homogeneity</w:t>
      </w:r>
      <w:r w:rsidRPr="00D07ED1">
        <w:rPr>
          <w:rFonts w:ascii="Times New Roman" w:eastAsia="SimSun" w:hAnsi="Times New Roman"/>
          <w:snapToGrid/>
          <w:color w:val="auto"/>
          <w:sz w:val="22"/>
          <w:lang w:val="en-ID" w:eastAsia="en-US" w:bidi="ar-SA"/>
        </w:rPr>
        <w:t xml:space="preserve"> test on two variables using </w:t>
      </w:r>
      <w:proofErr w:type="spellStart"/>
      <w:r w:rsidRPr="00D07ED1">
        <w:rPr>
          <w:rFonts w:ascii="Times New Roman" w:eastAsia="SimSun" w:hAnsi="Times New Roman"/>
          <w:snapToGrid/>
          <w:color w:val="auto"/>
          <w:sz w:val="22"/>
          <w:lang w:val="en-ID" w:eastAsia="en-US" w:bidi="ar-SA"/>
        </w:rPr>
        <w:t>Levene's</w:t>
      </w:r>
      <w:proofErr w:type="spellEnd"/>
      <w:r w:rsidRPr="00D07ED1">
        <w:rPr>
          <w:rFonts w:ascii="Times New Roman" w:eastAsia="SimSun" w:hAnsi="Times New Roman"/>
          <w:snapToGrid/>
          <w:color w:val="auto"/>
          <w:sz w:val="22"/>
          <w:lang w:val="en-ID" w:eastAsia="en-US" w:bidi="ar-SA"/>
        </w:rPr>
        <w:t xml:space="preserve"> Test. The results of the homogeneity test show that each data has a p value &gt; α (0.05). This shows that the data is homogeneously distributed</w:t>
      </w:r>
      <w:r>
        <w:rPr>
          <w:rFonts w:ascii="Times New Roman" w:eastAsia="SimSun" w:hAnsi="Times New Roman"/>
          <w:snapToGrid/>
          <w:color w:val="auto"/>
          <w:sz w:val="22"/>
          <w:lang w:val="en-ID" w:eastAsia="en-US" w:bidi="ar-SA"/>
        </w:rPr>
        <w:t xml:space="preserve"> (Table 5)</w:t>
      </w:r>
      <w:r w:rsidRPr="00D07ED1">
        <w:rPr>
          <w:rFonts w:ascii="Times New Roman" w:eastAsia="SimSun" w:hAnsi="Times New Roman"/>
          <w:snapToGrid/>
          <w:color w:val="auto"/>
          <w:sz w:val="22"/>
          <w:lang w:val="en-ID" w:eastAsia="en-US" w:bidi="ar-SA"/>
        </w:rPr>
        <w:t>.</w:t>
      </w:r>
    </w:p>
    <w:p w14:paraId="044C7613" w14:textId="430A69F8" w:rsidR="00D07ED1" w:rsidRDefault="00D07ED1" w:rsidP="00D07ED1">
      <w:pPr>
        <w:pStyle w:val="Alishlah31text"/>
        <w:jc w:val="center"/>
        <w:rPr>
          <w:rFonts w:ascii="Times New Roman" w:eastAsia="SimSun" w:hAnsi="Times New Roman"/>
          <w:snapToGrid/>
          <w:color w:val="auto"/>
          <w:sz w:val="22"/>
          <w:lang w:val="en-ID" w:eastAsia="en-US" w:bidi="ar-SA"/>
        </w:rPr>
      </w:pPr>
      <w:r>
        <w:rPr>
          <w:rFonts w:ascii="Times New Roman" w:eastAsia="SimSun" w:hAnsi="Times New Roman"/>
          <w:snapToGrid/>
          <w:color w:val="auto"/>
          <w:sz w:val="22"/>
          <w:lang w:val="en-ID" w:eastAsia="en-US" w:bidi="ar-SA"/>
        </w:rPr>
        <w:t xml:space="preserve">Table 5. </w:t>
      </w:r>
      <w:r w:rsidRPr="00D07ED1">
        <w:rPr>
          <w:rFonts w:ascii="Times New Roman" w:eastAsia="SimSun" w:hAnsi="Times New Roman"/>
          <w:snapToGrid/>
          <w:color w:val="auto"/>
          <w:sz w:val="22"/>
          <w:lang w:val="en-ID" w:eastAsia="en-US" w:bidi="ar-SA"/>
        </w:rPr>
        <w:t>Homogeneity Test Results</w:t>
      </w:r>
    </w:p>
    <w:tbl>
      <w:tblPr>
        <w:tblStyle w:val="Tabel4"/>
        <w:tblW w:w="4871" w:type="pct"/>
        <w:tblInd w:w="0" w:type="dxa"/>
        <w:tblLook w:val="04A0" w:firstRow="1" w:lastRow="0" w:firstColumn="1" w:lastColumn="0" w:noHBand="0" w:noVBand="1"/>
      </w:tblPr>
      <w:tblGrid>
        <w:gridCol w:w="516"/>
        <w:gridCol w:w="4785"/>
        <w:gridCol w:w="516"/>
        <w:gridCol w:w="1079"/>
        <w:gridCol w:w="638"/>
        <w:gridCol w:w="1249"/>
      </w:tblGrid>
      <w:tr w:rsidR="00D07ED1" w:rsidRPr="00D07ED1" w14:paraId="30FDA093" w14:textId="77777777" w:rsidTr="00D07ED1">
        <w:tc>
          <w:tcPr>
            <w:tcW w:w="294" w:type="pct"/>
            <w:vAlign w:val="center"/>
            <w:hideMark/>
          </w:tcPr>
          <w:p w14:paraId="62C3F2EA" w14:textId="77777777" w:rsidR="00D07ED1" w:rsidRPr="00D07ED1" w:rsidRDefault="00D07ED1" w:rsidP="005371AF">
            <w:pPr>
              <w:jc w:val="center"/>
              <w:rPr>
                <w:rFonts w:ascii="Palatino Linotype" w:hAnsi="Palatino Linotype"/>
                <w:b/>
                <w:bCs/>
                <w:sz w:val="20"/>
                <w:szCs w:val="20"/>
                <w:lang w:val="en-ID"/>
              </w:rPr>
            </w:pPr>
            <w:r w:rsidRPr="00D07ED1">
              <w:rPr>
                <w:rFonts w:ascii="Palatino Linotype" w:hAnsi="Palatino Linotype"/>
                <w:b/>
                <w:bCs/>
                <w:sz w:val="20"/>
                <w:szCs w:val="20"/>
                <w:lang w:val="en-ID"/>
              </w:rPr>
              <w:t>No</w:t>
            </w:r>
          </w:p>
        </w:tc>
        <w:tc>
          <w:tcPr>
            <w:tcW w:w="2724" w:type="pct"/>
            <w:vAlign w:val="center"/>
            <w:hideMark/>
          </w:tcPr>
          <w:p w14:paraId="124ADB85" w14:textId="297A3A33" w:rsidR="00D07ED1" w:rsidRPr="00D07ED1" w:rsidRDefault="00D07ED1" w:rsidP="005371AF">
            <w:pPr>
              <w:jc w:val="center"/>
              <w:rPr>
                <w:rFonts w:ascii="Palatino Linotype" w:hAnsi="Palatino Linotype"/>
                <w:b/>
                <w:bCs/>
                <w:sz w:val="20"/>
                <w:szCs w:val="20"/>
                <w:lang w:val="en-ID"/>
              </w:rPr>
            </w:pPr>
            <w:r>
              <w:rPr>
                <w:rFonts w:ascii="Palatino Linotype" w:hAnsi="Palatino Linotype"/>
                <w:b/>
                <w:bCs/>
                <w:sz w:val="20"/>
                <w:szCs w:val="20"/>
                <w:lang w:val="en-ID"/>
              </w:rPr>
              <w:t>Variable</w:t>
            </w:r>
          </w:p>
        </w:tc>
        <w:tc>
          <w:tcPr>
            <w:tcW w:w="294" w:type="pct"/>
            <w:vAlign w:val="center"/>
            <w:hideMark/>
          </w:tcPr>
          <w:p w14:paraId="5CD42EFE" w14:textId="77777777" w:rsidR="00D07ED1" w:rsidRPr="00D07ED1" w:rsidRDefault="00D07ED1" w:rsidP="005371AF">
            <w:pPr>
              <w:jc w:val="center"/>
              <w:rPr>
                <w:rFonts w:ascii="Palatino Linotype" w:hAnsi="Palatino Linotype"/>
                <w:b/>
                <w:bCs/>
                <w:sz w:val="20"/>
                <w:szCs w:val="20"/>
                <w:lang w:val="en-ID"/>
              </w:rPr>
            </w:pPr>
            <w:r w:rsidRPr="00D07ED1">
              <w:rPr>
                <w:rFonts w:ascii="Palatino Linotype" w:hAnsi="Palatino Linotype"/>
                <w:b/>
                <w:bCs/>
                <w:sz w:val="20"/>
                <w:szCs w:val="20"/>
                <w:lang w:val="en-ID"/>
              </w:rPr>
              <w:t>N</w:t>
            </w:r>
          </w:p>
        </w:tc>
        <w:tc>
          <w:tcPr>
            <w:tcW w:w="614" w:type="pct"/>
            <w:vAlign w:val="center"/>
            <w:hideMark/>
          </w:tcPr>
          <w:p w14:paraId="531BB085" w14:textId="171BA95A" w:rsidR="00D07ED1" w:rsidRPr="00D07ED1" w:rsidRDefault="00D07ED1" w:rsidP="005371AF">
            <w:pPr>
              <w:jc w:val="center"/>
              <w:rPr>
                <w:rFonts w:ascii="Palatino Linotype" w:hAnsi="Palatino Linotype"/>
                <w:b/>
                <w:bCs/>
                <w:sz w:val="20"/>
                <w:szCs w:val="20"/>
                <w:lang w:val="en-US"/>
              </w:rPr>
            </w:pPr>
            <w:r>
              <w:rPr>
                <w:rFonts w:ascii="Palatino Linotype" w:hAnsi="Palatino Linotype"/>
                <w:b/>
                <w:bCs/>
                <w:sz w:val="20"/>
                <w:szCs w:val="20"/>
                <w:lang w:val="en-US"/>
              </w:rPr>
              <w:t>P Value</w:t>
            </w:r>
          </w:p>
        </w:tc>
        <w:tc>
          <w:tcPr>
            <w:tcW w:w="363" w:type="pct"/>
            <w:vAlign w:val="center"/>
            <w:hideMark/>
          </w:tcPr>
          <w:p w14:paraId="684FCDE2" w14:textId="77777777" w:rsidR="00D07ED1" w:rsidRPr="00D07ED1" w:rsidRDefault="00D07ED1" w:rsidP="005371AF">
            <w:pPr>
              <w:jc w:val="center"/>
              <w:rPr>
                <w:rFonts w:ascii="Palatino Linotype" w:hAnsi="Palatino Linotype"/>
                <w:b/>
                <w:bCs/>
                <w:sz w:val="20"/>
                <w:szCs w:val="20"/>
                <w:lang w:val="en-ID"/>
              </w:rPr>
            </w:pPr>
            <w:r w:rsidRPr="00D07ED1">
              <w:rPr>
                <w:rFonts w:ascii="Palatino Linotype" w:hAnsi="Palatino Linotype"/>
                <w:b/>
                <w:bCs/>
                <w:sz w:val="20"/>
                <w:szCs w:val="20"/>
              </w:rPr>
              <w:t xml:space="preserve">&gt; </w:t>
            </w:r>
            <w:r w:rsidRPr="00D07ED1">
              <w:rPr>
                <w:rFonts w:ascii="Palatino Linotype" w:hAnsi="Palatino Linotype"/>
                <w:b/>
                <w:bCs/>
                <w:sz w:val="20"/>
                <w:szCs w:val="20"/>
                <w:lang w:val="en-ID"/>
              </w:rPr>
              <w:t>α</w:t>
            </w:r>
          </w:p>
        </w:tc>
        <w:tc>
          <w:tcPr>
            <w:tcW w:w="711" w:type="pct"/>
            <w:vAlign w:val="center"/>
            <w:hideMark/>
          </w:tcPr>
          <w:p w14:paraId="589A42B3" w14:textId="24154DCC" w:rsidR="00D07ED1" w:rsidRPr="00D07ED1" w:rsidRDefault="00D07ED1" w:rsidP="005371AF">
            <w:pPr>
              <w:jc w:val="center"/>
              <w:rPr>
                <w:rFonts w:ascii="Palatino Linotype" w:hAnsi="Palatino Linotype"/>
                <w:b/>
                <w:bCs/>
                <w:sz w:val="20"/>
                <w:szCs w:val="20"/>
                <w:lang w:val="en-ID"/>
              </w:rPr>
            </w:pPr>
            <w:r>
              <w:rPr>
                <w:rFonts w:ascii="Palatino Linotype" w:hAnsi="Palatino Linotype"/>
                <w:b/>
                <w:bCs/>
                <w:sz w:val="20"/>
                <w:szCs w:val="20"/>
                <w:lang w:val="en-ID"/>
              </w:rPr>
              <w:t>Note</w:t>
            </w:r>
          </w:p>
        </w:tc>
      </w:tr>
      <w:tr w:rsidR="00D07ED1" w:rsidRPr="00D07ED1" w14:paraId="0118A215" w14:textId="77777777" w:rsidTr="00D07ED1">
        <w:tc>
          <w:tcPr>
            <w:tcW w:w="294" w:type="pct"/>
            <w:vAlign w:val="center"/>
            <w:hideMark/>
          </w:tcPr>
          <w:p w14:paraId="0D05EF30" w14:textId="77777777" w:rsidR="00D07ED1" w:rsidRPr="00D07ED1" w:rsidRDefault="00D07ED1" w:rsidP="005371AF">
            <w:pPr>
              <w:jc w:val="center"/>
              <w:rPr>
                <w:rFonts w:ascii="Palatino Linotype" w:hAnsi="Palatino Linotype"/>
                <w:sz w:val="20"/>
                <w:szCs w:val="20"/>
              </w:rPr>
            </w:pPr>
            <w:r w:rsidRPr="00D07ED1">
              <w:rPr>
                <w:rFonts w:ascii="Palatino Linotype" w:hAnsi="Palatino Linotype"/>
                <w:sz w:val="20"/>
                <w:szCs w:val="20"/>
              </w:rPr>
              <w:t>1</w:t>
            </w:r>
          </w:p>
        </w:tc>
        <w:tc>
          <w:tcPr>
            <w:tcW w:w="2724" w:type="pct"/>
          </w:tcPr>
          <w:p w14:paraId="37B5B85D" w14:textId="0CE0B018" w:rsidR="00D07ED1" w:rsidRPr="00D07ED1" w:rsidRDefault="00D07ED1" w:rsidP="005371AF">
            <w:pPr>
              <w:rPr>
                <w:rFonts w:ascii="Palatino Linotype" w:hAnsi="Palatino Linotype"/>
                <w:sz w:val="20"/>
                <w:szCs w:val="20"/>
                <w:lang w:val="en-ID"/>
              </w:rPr>
            </w:pPr>
            <w:proofErr w:type="spellStart"/>
            <w:r w:rsidRPr="00D07ED1">
              <w:rPr>
                <w:rFonts w:ascii="Palatino Linotype" w:hAnsi="Palatino Linotype"/>
                <w:sz w:val="20"/>
                <w:szCs w:val="20"/>
                <w:lang w:val="en-US"/>
              </w:rPr>
              <w:t>Poltekes</w:t>
            </w:r>
            <w:proofErr w:type="spellEnd"/>
            <w:r w:rsidRPr="00D07ED1">
              <w:rPr>
                <w:rFonts w:ascii="Palatino Linotype" w:hAnsi="Palatino Linotype"/>
                <w:sz w:val="20"/>
                <w:szCs w:val="20"/>
                <w:lang w:val="en-US"/>
              </w:rPr>
              <w:t xml:space="preserve"> and PGRI Student Value Questionnaire Test</w:t>
            </w:r>
          </w:p>
        </w:tc>
        <w:tc>
          <w:tcPr>
            <w:tcW w:w="294" w:type="pct"/>
          </w:tcPr>
          <w:p w14:paraId="516E9CE7" w14:textId="77777777" w:rsidR="00D07ED1" w:rsidRPr="00D07ED1" w:rsidRDefault="00D07ED1" w:rsidP="005371AF">
            <w:pPr>
              <w:rPr>
                <w:rFonts w:ascii="Palatino Linotype" w:hAnsi="Palatino Linotype"/>
                <w:sz w:val="20"/>
                <w:szCs w:val="20"/>
                <w:lang w:val="en-US"/>
              </w:rPr>
            </w:pPr>
            <w:r w:rsidRPr="00D07ED1">
              <w:rPr>
                <w:rFonts w:ascii="Palatino Linotype" w:hAnsi="Palatino Linotype"/>
                <w:sz w:val="20"/>
                <w:szCs w:val="20"/>
                <w:lang w:val="en-US"/>
              </w:rPr>
              <w:t>150</w:t>
            </w:r>
          </w:p>
        </w:tc>
        <w:tc>
          <w:tcPr>
            <w:tcW w:w="614" w:type="pct"/>
          </w:tcPr>
          <w:p w14:paraId="1B8630F2" w14:textId="77777777" w:rsidR="00D07ED1" w:rsidRPr="00D07ED1" w:rsidRDefault="00D07ED1" w:rsidP="005371AF">
            <w:pPr>
              <w:jc w:val="center"/>
              <w:rPr>
                <w:rFonts w:ascii="Palatino Linotype" w:hAnsi="Palatino Linotype" w:cs="Times New Roman"/>
                <w:b/>
                <w:bCs/>
                <w:sz w:val="20"/>
                <w:szCs w:val="20"/>
              </w:rPr>
            </w:pPr>
            <w:r w:rsidRPr="00D07ED1">
              <w:rPr>
                <w:rFonts w:ascii="Palatino Linotype" w:hAnsi="Palatino Linotype" w:cs="Times New Roman"/>
                <w:b/>
                <w:bCs/>
                <w:sz w:val="20"/>
                <w:szCs w:val="20"/>
              </w:rPr>
              <w:t>,</w:t>
            </w:r>
            <w:r w:rsidRPr="00D07ED1">
              <w:rPr>
                <w:rFonts w:ascii="Palatino Linotype" w:hAnsi="Palatino Linotype" w:cs="Times New Roman"/>
                <w:color w:val="010205"/>
                <w:sz w:val="20"/>
                <w:szCs w:val="20"/>
                <w:lang w:val="en-ID"/>
              </w:rPr>
              <w:t>146</w:t>
            </w:r>
          </w:p>
        </w:tc>
        <w:tc>
          <w:tcPr>
            <w:tcW w:w="363" w:type="pct"/>
          </w:tcPr>
          <w:p w14:paraId="06108464" w14:textId="77777777" w:rsidR="00D07ED1" w:rsidRPr="00D07ED1" w:rsidRDefault="00D07ED1" w:rsidP="005371AF">
            <w:pPr>
              <w:rPr>
                <w:rFonts w:ascii="Palatino Linotype" w:hAnsi="Palatino Linotype" w:cs="Times New Roman"/>
                <w:sz w:val="20"/>
                <w:szCs w:val="20"/>
                <w:lang w:val="en-ID"/>
              </w:rPr>
            </w:pPr>
            <w:r w:rsidRPr="00D07ED1">
              <w:rPr>
                <w:rFonts w:ascii="Palatino Linotype" w:hAnsi="Palatino Linotype" w:cs="Times New Roman"/>
                <w:sz w:val="20"/>
                <w:szCs w:val="20"/>
                <w:lang w:val="en-ID"/>
              </w:rPr>
              <w:t>0,05</w:t>
            </w:r>
          </w:p>
        </w:tc>
        <w:tc>
          <w:tcPr>
            <w:tcW w:w="711" w:type="pct"/>
            <w:vMerge w:val="restart"/>
            <w:vAlign w:val="center"/>
            <w:hideMark/>
          </w:tcPr>
          <w:p w14:paraId="42B3A6F3" w14:textId="77777777" w:rsidR="00D07ED1" w:rsidRPr="00D07ED1" w:rsidRDefault="00D07ED1" w:rsidP="005371AF">
            <w:pPr>
              <w:jc w:val="center"/>
              <w:rPr>
                <w:rFonts w:ascii="Palatino Linotype" w:hAnsi="Palatino Linotype"/>
                <w:sz w:val="20"/>
                <w:szCs w:val="20"/>
              </w:rPr>
            </w:pPr>
            <w:r w:rsidRPr="00D07ED1">
              <w:rPr>
                <w:rFonts w:ascii="Palatino Linotype" w:hAnsi="Palatino Linotype"/>
                <w:sz w:val="20"/>
                <w:szCs w:val="20"/>
              </w:rPr>
              <w:t>Homogen</w:t>
            </w:r>
          </w:p>
        </w:tc>
      </w:tr>
      <w:tr w:rsidR="00D07ED1" w:rsidRPr="00D07ED1" w14:paraId="50876F97" w14:textId="77777777" w:rsidTr="00D07ED1">
        <w:tc>
          <w:tcPr>
            <w:tcW w:w="294" w:type="pct"/>
            <w:vAlign w:val="center"/>
          </w:tcPr>
          <w:p w14:paraId="290E9F07" w14:textId="77777777" w:rsidR="00D07ED1" w:rsidRPr="00D07ED1" w:rsidRDefault="00D07ED1" w:rsidP="005371AF">
            <w:pPr>
              <w:jc w:val="center"/>
              <w:rPr>
                <w:rFonts w:ascii="Palatino Linotype" w:hAnsi="Palatino Linotype"/>
                <w:sz w:val="20"/>
                <w:szCs w:val="20"/>
                <w:lang w:val="en-US"/>
              </w:rPr>
            </w:pPr>
            <w:r w:rsidRPr="00D07ED1">
              <w:rPr>
                <w:rFonts w:ascii="Palatino Linotype" w:hAnsi="Palatino Linotype"/>
                <w:sz w:val="20"/>
                <w:szCs w:val="20"/>
                <w:lang w:val="en-US"/>
              </w:rPr>
              <w:t>2</w:t>
            </w:r>
          </w:p>
        </w:tc>
        <w:tc>
          <w:tcPr>
            <w:tcW w:w="2724" w:type="pct"/>
          </w:tcPr>
          <w:p w14:paraId="30F78724" w14:textId="642E6238" w:rsidR="00D07ED1" w:rsidRPr="00D07ED1" w:rsidRDefault="00D07ED1" w:rsidP="005371AF">
            <w:pPr>
              <w:rPr>
                <w:rFonts w:ascii="Palatino Linotype" w:hAnsi="Palatino Linotype"/>
                <w:sz w:val="20"/>
                <w:szCs w:val="20"/>
              </w:rPr>
            </w:pPr>
            <w:r w:rsidRPr="00D07ED1">
              <w:rPr>
                <w:rFonts w:ascii="Palatino Linotype" w:hAnsi="Palatino Linotype"/>
                <w:sz w:val="20"/>
                <w:szCs w:val="20"/>
                <w:lang w:val="en-US"/>
              </w:rPr>
              <w:t xml:space="preserve">Moral LoC Questionnaire Test for </w:t>
            </w:r>
            <w:proofErr w:type="spellStart"/>
            <w:r w:rsidRPr="00D07ED1">
              <w:rPr>
                <w:rFonts w:ascii="Palatino Linotype" w:hAnsi="Palatino Linotype"/>
                <w:sz w:val="20"/>
                <w:szCs w:val="20"/>
                <w:lang w:val="en-US"/>
              </w:rPr>
              <w:t>Poltekes</w:t>
            </w:r>
            <w:proofErr w:type="spellEnd"/>
            <w:r w:rsidRPr="00D07ED1">
              <w:rPr>
                <w:rFonts w:ascii="Palatino Linotype" w:hAnsi="Palatino Linotype"/>
                <w:sz w:val="20"/>
                <w:szCs w:val="20"/>
                <w:lang w:val="en-US"/>
              </w:rPr>
              <w:t xml:space="preserve"> and PGRI Students</w:t>
            </w:r>
          </w:p>
        </w:tc>
        <w:tc>
          <w:tcPr>
            <w:tcW w:w="294" w:type="pct"/>
          </w:tcPr>
          <w:p w14:paraId="23084CE1" w14:textId="77777777" w:rsidR="00D07ED1" w:rsidRPr="00D07ED1" w:rsidRDefault="00D07ED1" w:rsidP="005371AF">
            <w:pPr>
              <w:rPr>
                <w:rFonts w:ascii="Palatino Linotype" w:hAnsi="Palatino Linotype"/>
                <w:sz w:val="20"/>
                <w:szCs w:val="20"/>
                <w:lang w:val="en-US"/>
              </w:rPr>
            </w:pPr>
            <w:r w:rsidRPr="00D07ED1">
              <w:rPr>
                <w:rFonts w:ascii="Palatino Linotype" w:hAnsi="Palatino Linotype"/>
                <w:sz w:val="20"/>
                <w:szCs w:val="20"/>
                <w:lang w:val="en-US"/>
              </w:rPr>
              <w:t>150</w:t>
            </w:r>
          </w:p>
        </w:tc>
        <w:tc>
          <w:tcPr>
            <w:tcW w:w="614" w:type="pct"/>
          </w:tcPr>
          <w:p w14:paraId="107A18F0" w14:textId="77777777" w:rsidR="00D07ED1" w:rsidRPr="00D07ED1" w:rsidRDefault="00D07ED1" w:rsidP="005371AF">
            <w:pPr>
              <w:jc w:val="center"/>
              <w:rPr>
                <w:rFonts w:ascii="Palatino Linotype" w:hAnsi="Palatino Linotype" w:cs="Times New Roman"/>
                <w:b/>
                <w:bCs/>
                <w:color w:val="010205"/>
                <w:sz w:val="20"/>
                <w:szCs w:val="20"/>
                <w:lang w:val="en-ID"/>
              </w:rPr>
            </w:pPr>
            <w:r w:rsidRPr="00D07ED1">
              <w:rPr>
                <w:rFonts w:ascii="Palatino Linotype" w:hAnsi="Palatino Linotype" w:cs="Times New Roman"/>
                <w:b/>
                <w:bCs/>
                <w:sz w:val="20"/>
                <w:szCs w:val="20"/>
              </w:rPr>
              <w:t>,</w:t>
            </w:r>
            <w:r w:rsidRPr="00D07ED1">
              <w:rPr>
                <w:rFonts w:ascii="Palatino Linotype" w:hAnsi="Palatino Linotype" w:cs="Times New Roman"/>
                <w:color w:val="010205"/>
                <w:sz w:val="20"/>
                <w:szCs w:val="20"/>
                <w:lang w:val="en-ID"/>
              </w:rPr>
              <w:t>946</w:t>
            </w:r>
          </w:p>
        </w:tc>
        <w:tc>
          <w:tcPr>
            <w:tcW w:w="363" w:type="pct"/>
          </w:tcPr>
          <w:p w14:paraId="371B6C11" w14:textId="77777777" w:rsidR="00D07ED1" w:rsidRPr="00D07ED1" w:rsidRDefault="00D07ED1" w:rsidP="005371AF">
            <w:pPr>
              <w:rPr>
                <w:rFonts w:ascii="Palatino Linotype" w:hAnsi="Palatino Linotype" w:cs="Times New Roman"/>
                <w:sz w:val="20"/>
                <w:szCs w:val="20"/>
                <w:lang w:val="en-ID"/>
              </w:rPr>
            </w:pPr>
            <w:r w:rsidRPr="00D07ED1">
              <w:rPr>
                <w:rFonts w:ascii="Palatino Linotype" w:hAnsi="Palatino Linotype" w:cs="Times New Roman"/>
                <w:sz w:val="20"/>
                <w:szCs w:val="20"/>
                <w:lang w:val="en-ID"/>
              </w:rPr>
              <w:t>0,05</w:t>
            </w:r>
          </w:p>
        </w:tc>
        <w:tc>
          <w:tcPr>
            <w:tcW w:w="711" w:type="pct"/>
            <w:vMerge/>
            <w:vAlign w:val="center"/>
          </w:tcPr>
          <w:p w14:paraId="320DA533" w14:textId="77777777" w:rsidR="00D07ED1" w:rsidRPr="00D07ED1" w:rsidRDefault="00D07ED1" w:rsidP="005371AF">
            <w:pPr>
              <w:jc w:val="center"/>
              <w:rPr>
                <w:rFonts w:ascii="Palatino Linotype" w:hAnsi="Palatino Linotype"/>
                <w:sz w:val="20"/>
                <w:szCs w:val="20"/>
              </w:rPr>
            </w:pPr>
          </w:p>
        </w:tc>
      </w:tr>
    </w:tbl>
    <w:p w14:paraId="0421875E" w14:textId="77777777" w:rsidR="00D07ED1" w:rsidRDefault="00D07ED1" w:rsidP="00D866F5">
      <w:pPr>
        <w:pStyle w:val="Alishlah31text"/>
      </w:pPr>
    </w:p>
    <w:p w14:paraId="019027E3" w14:textId="2CB0276D" w:rsidR="00D07ED1" w:rsidRDefault="00D07ED1" w:rsidP="00D866F5">
      <w:pPr>
        <w:pStyle w:val="Alishlah31text"/>
      </w:pPr>
      <w:r w:rsidRPr="00D07ED1">
        <w:t>The results of the regression test on both variables show that learning values ​​and locus of control in both research locations are worth 0.00 while the significance value used is 0.05. This indicates a relationship.</w:t>
      </w:r>
    </w:p>
    <w:p w14:paraId="7CE55377" w14:textId="496D027B" w:rsidR="00800E05" w:rsidRDefault="00800E05" w:rsidP="00D866F5">
      <w:pPr>
        <w:pStyle w:val="Alishlah31text"/>
      </w:pPr>
      <w:r>
        <w:t xml:space="preserve">The homogeneity test for the student value questionnaire was conducted with a sample size of 150 students. The p-value obtained was 0.146, which is greater than the alpha level of 0.05. This indicates that there is no significant difference in the variances between the student value scores of </w:t>
      </w:r>
      <w:proofErr w:type="spellStart"/>
      <w:r>
        <w:t>Poltekkes</w:t>
      </w:r>
      <w:proofErr w:type="spellEnd"/>
      <w:r>
        <w:t xml:space="preserve"> and PGRI students. Therefore, we can conclude that the student value questionnaire results are homogeneous across the two institutions.</w:t>
      </w:r>
    </w:p>
    <w:p w14:paraId="7604F1BC" w14:textId="33727005" w:rsidR="00800E05" w:rsidRDefault="00800E05" w:rsidP="00D866F5">
      <w:pPr>
        <w:pStyle w:val="Alishlah31text"/>
      </w:pPr>
      <w:r>
        <w:t xml:space="preserve">Similarly, the homogeneity test for the moral LoC questionnaire, also with a sample size of 150 students, yielded a p-value of 0.946. Since this p-value is much greater than the alpha level of 0.05, it indicates that the variances in moral LoC scores between </w:t>
      </w:r>
      <w:proofErr w:type="spellStart"/>
      <w:r>
        <w:t>Poltekkes</w:t>
      </w:r>
      <w:proofErr w:type="spellEnd"/>
      <w:r>
        <w:t xml:space="preserve"> and PGRI students are not significantly different. Thus, the moral LoC questionnaire results are also homogeneous across the two student groups.</w:t>
      </w:r>
    </w:p>
    <w:p w14:paraId="4840349A" w14:textId="524BF472" w:rsidR="00800E05" w:rsidRDefault="00800E05" w:rsidP="00D866F5">
      <w:pPr>
        <w:pStyle w:val="Alishlah31text"/>
      </w:pPr>
      <w:r>
        <w:t xml:space="preserve">The homogeneity of both the student value questionnaire and the moral LoC questionnaire suggests that the distributions of these variables are consistent between </w:t>
      </w:r>
      <w:proofErr w:type="spellStart"/>
      <w:r>
        <w:t>Poltekkes</w:t>
      </w:r>
      <w:proofErr w:type="spellEnd"/>
      <w:r>
        <w:t xml:space="preserve"> and PGRI students. This homogeneity is important because it implies that any observed differences in subsequent analyses, such as regression or comparative studies, are not due to variability in the initial distributions of these measures. Consequently, the results can be interpreted with greater confidence, knowing that the underlying variances in student values and moral LoC are comparable between the two institutions. This supports the reliability of further comparative research and interventions based on these questionnaires.</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07ED1" w:rsidRPr="00D07ED1" w14:paraId="6698415A" w14:textId="77777777" w:rsidTr="00D07ED1">
        <w:trPr>
          <w:cantSplit/>
          <w:jc w:val="center"/>
        </w:trPr>
        <w:tc>
          <w:tcPr>
            <w:tcW w:w="8009" w:type="dxa"/>
            <w:gridSpan w:val="7"/>
            <w:tcBorders>
              <w:top w:val="nil"/>
              <w:left w:val="nil"/>
              <w:bottom w:val="single" w:sz="4" w:space="0" w:color="auto"/>
              <w:right w:val="nil"/>
            </w:tcBorders>
            <w:shd w:val="clear" w:color="auto" w:fill="FFFFFF"/>
            <w:vAlign w:val="center"/>
          </w:tcPr>
          <w:p w14:paraId="6BF9BB6D" w14:textId="7DC2A518"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 xml:space="preserve">Table </w:t>
            </w:r>
            <w:proofErr w:type="gramStart"/>
            <w:r w:rsidRPr="00D07ED1">
              <w:rPr>
                <w:rFonts w:ascii="Palatino Linotype" w:hAnsi="Palatino Linotype" w:cs="Times New Roman"/>
                <w:sz w:val="20"/>
                <w:szCs w:val="20"/>
              </w:rPr>
              <w:t>6 .</w:t>
            </w:r>
            <w:proofErr w:type="gramEnd"/>
            <w:r w:rsidRPr="00D07ED1">
              <w:rPr>
                <w:rFonts w:ascii="Palatino Linotype" w:hAnsi="Palatino Linotype" w:cs="Times New Roman"/>
                <w:sz w:val="20"/>
                <w:szCs w:val="20"/>
              </w:rPr>
              <w:t xml:space="preserve"> </w:t>
            </w:r>
            <w:proofErr w:type="spellStart"/>
            <w:r w:rsidRPr="00D07ED1">
              <w:rPr>
                <w:rFonts w:ascii="Palatino Linotype" w:hAnsi="Palatino Linotype" w:cs="Times New Roman"/>
                <w:sz w:val="20"/>
                <w:szCs w:val="20"/>
              </w:rPr>
              <w:t>Regresi</w:t>
            </w:r>
            <w:proofErr w:type="spellEnd"/>
            <w:r w:rsidRPr="00D07ED1">
              <w:rPr>
                <w:rFonts w:ascii="Palatino Linotype" w:hAnsi="Palatino Linotype" w:cs="Times New Roman"/>
                <w:sz w:val="20"/>
                <w:szCs w:val="20"/>
              </w:rPr>
              <w:t xml:space="preserve"> </w:t>
            </w:r>
            <w:proofErr w:type="spellStart"/>
            <w:r w:rsidRPr="00D07ED1">
              <w:rPr>
                <w:rFonts w:ascii="Palatino Linotype" w:hAnsi="Palatino Linotype" w:cs="Times New Roman"/>
                <w:sz w:val="20"/>
                <w:szCs w:val="20"/>
              </w:rPr>
              <w:t>Poltekkes</w:t>
            </w:r>
            <w:proofErr w:type="spellEnd"/>
          </w:p>
        </w:tc>
      </w:tr>
      <w:tr w:rsidR="00D07ED1" w:rsidRPr="00D07ED1" w14:paraId="57F996D8" w14:textId="77777777" w:rsidTr="00D07ED1">
        <w:trPr>
          <w:cantSplit/>
          <w:jc w:val="center"/>
        </w:trPr>
        <w:tc>
          <w:tcPr>
            <w:tcW w:w="2028" w:type="dxa"/>
            <w:gridSpan w:val="2"/>
            <w:tcBorders>
              <w:top w:val="single" w:sz="4" w:space="0" w:color="auto"/>
              <w:bottom w:val="single" w:sz="4" w:space="0" w:color="auto"/>
            </w:tcBorders>
            <w:shd w:val="clear" w:color="auto" w:fill="FFFFFF"/>
            <w:vAlign w:val="bottom"/>
          </w:tcPr>
          <w:p w14:paraId="7A10042A"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Model</w:t>
            </w:r>
          </w:p>
        </w:tc>
        <w:tc>
          <w:tcPr>
            <w:tcW w:w="1476" w:type="dxa"/>
            <w:tcBorders>
              <w:top w:val="single" w:sz="4" w:space="0" w:color="auto"/>
              <w:bottom w:val="single" w:sz="4" w:space="0" w:color="auto"/>
            </w:tcBorders>
            <w:shd w:val="clear" w:color="auto" w:fill="FFFFFF"/>
            <w:vAlign w:val="bottom"/>
          </w:tcPr>
          <w:p w14:paraId="537CC3BB"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Sum of Squares</w:t>
            </w:r>
          </w:p>
        </w:tc>
        <w:tc>
          <w:tcPr>
            <w:tcW w:w="1030" w:type="dxa"/>
            <w:tcBorders>
              <w:top w:val="single" w:sz="4" w:space="0" w:color="auto"/>
              <w:bottom w:val="single" w:sz="4" w:space="0" w:color="auto"/>
            </w:tcBorders>
            <w:shd w:val="clear" w:color="auto" w:fill="FFFFFF"/>
            <w:vAlign w:val="bottom"/>
          </w:tcPr>
          <w:p w14:paraId="746DBC2A"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df</w:t>
            </w:r>
          </w:p>
        </w:tc>
        <w:tc>
          <w:tcPr>
            <w:tcW w:w="1415" w:type="dxa"/>
            <w:tcBorders>
              <w:top w:val="single" w:sz="4" w:space="0" w:color="auto"/>
              <w:bottom w:val="single" w:sz="4" w:space="0" w:color="auto"/>
            </w:tcBorders>
            <w:shd w:val="clear" w:color="auto" w:fill="FFFFFF"/>
            <w:vAlign w:val="bottom"/>
          </w:tcPr>
          <w:p w14:paraId="30D8924B"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Mean Square</w:t>
            </w:r>
          </w:p>
        </w:tc>
        <w:tc>
          <w:tcPr>
            <w:tcW w:w="1030" w:type="dxa"/>
            <w:tcBorders>
              <w:top w:val="single" w:sz="4" w:space="0" w:color="auto"/>
              <w:bottom w:val="single" w:sz="4" w:space="0" w:color="auto"/>
            </w:tcBorders>
            <w:shd w:val="clear" w:color="auto" w:fill="FFFFFF"/>
            <w:vAlign w:val="bottom"/>
          </w:tcPr>
          <w:p w14:paraId="7F71049C"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F</w:t>
            </w:r>
          </w:p>
        </w:tc>
        <w:tc>
          <w:tcPr>
            <w:tcW w:w="1030" w:type="dxa"/>
            <w:tcBorders>
              <w:top w:val="single" w:sz="4" w:space="0" w:color="auto"/>
              <w:bottom w:val="single" w:sz="4" w:space="0" w:color="auto"/>
            </w:tcBorders>
            <w:shd w:val="clear" w:color="auto" w:fill="FFFFFF"/>
            <w:vAlign w:val="bottom"/>
          </w:tcPr>
          <w:p w14:paraId="2DCACBCF"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Sig.</w:t>
            </w:r>
          </w:p>
        </w:tc>
      </w:tr>
      <w:tr w:rsidR="00D07ED1" w:rsidRPr="00D07ED1" w14:paraId="64064C11" w14:textId="77777777" w:rsidTr="00D07ED1">
        <w:trPr>
          <w:cantSplit/>
          <w:jc w:val="center"/>
        </w:trPr>
        <w:tc>
          <w:tcPr>
            <w:tcW w:w="736" w:type="dxa"/>
            <w:vMerge w:val="restart"/>
            <w:shd w:val="clear" w:color="auto" w:fill="E0E0E0"/>
          </w:tcPr>
          <w:p w14:paraId="1D1CC3B9"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1</w:t>
            </w:r>
          </w:p>
        </w:tc>
        <w:tc>
          <w:tcPr>
            <w:tcW w:w="1292" w:type="dxa"/>
            <w:shd w:val="clear" w:color="auto" w:fill="E0E0E0"/>
          </w:tcPr>
          <w:p w14:paraId="738D4F38"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Regression</w:t>
            </w:r>
          </w:p>
        </w:tc>
        <w:tc>
          <w:tcPr>
            <w:tcW w:w="1476" w:type="dxa"/>
            <w:shd w:val="clear" w:color="auto" w:fill="FFFFFF"/>
          </w:tcPr>
          <w:p w14:paraId="0F250E55"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1917.331</w:t>
            </w:r>
          </w:p>
        </w:tc>
        <w:tc>
          <w:tcPr>
            <w:tcW w:w="1030" w:type="dxa"/>
            <w:shd w:val="clear" w:color="auto" w:fill="FFFFFF"/>
          </w:tcPr>
          <w:p w14:paraId="1BA39771"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w:t>
            </w:r>
          </w:p>
        </w:tc>
        <w:tc>
          <w:tcPr>
            <w:tcW w:w="1415" w:type="dxa"/>
            <w:shd w:val="clear" w:color="auto" w:fill="FFFFFF"/>
          </w:tcPr>
          <w:p w14:paraId="6DF5853E"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1917.331</w:t>
            </w:r>
          </w:p>
        </w:tc>
        <w:tc>
          <w:tcPr>
            <w:tcW w:w="1030" w:type="dxa"/>
            <w:shd w:val="clear" w:color="auto" w:fill="FFFFFF"/>
          </w:tcPr>
          <w:p w14:paraId="7F058864"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14.630</w:t>
            </w:r>
          </w:p>
        </w:tc>
        <w:tc>
          <w:tcPr>
            <w:tcW w:w="1030" w:type="dxa"/>
            <w:shd w:val="clear" w:color="auto" w:fill="FFFFFF"/>
          </w:tcPr>
          <w:p w14:paraId="124E61B0"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.000</w:t>
            </w:r>
            <w:r w:rsidRPr="00D07ED1">
              <w:rPr>
                <w:rFonts w:ascii="Palatino Linotype" w:hAnsi="Palatino Linotype" w:cs="Times New Roman"/>
                <w:sz w:val="20"/>
                <w:szCs w:val="20"/>
                <w:vertAlign w:val="superscript"/>
              </w:rPr>
              <w:t>b</w:t>
            </w:r>
          </w:p>
        </w:tc>
      </w:tr>
      <w:tr w:rsidR="00D07ED1" w:rsidRPr="00D07ED1" w14:paraId="6FAAB6F6" w14:textId="77777777" w:rsidTr="00D07ED1">
        <w:trPr>
          <w:cantSplit/>
          <w:jc w:val="center"/>
        </w:trPr>
        <w:tc>
          <w:tcPr>
            <w:tcW w:w="736" w:type="dxa"/>
            <w:vMerge/>
            <w:shd w:val="clear" w:color="auto" w:fill="E0E0E0"/>
          </w:tcPr>
          <w:p w14:paraId="60A10BAE"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292" w:type="dxa"/>
            <w:shd w:val="clear" w:color="auto" w:fill="E0E0E0"/>
          </w:tcPr>
          <w:p w14:paraId="1D49F472"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Residual</w:t>
            </w:r>
          </w:p>
        </w:tc>
        <w:tc>
          <w:tcPr>
            <w:tcW w:w="1476" w:type="dxa"/>
            <w:shd w:val="clear" w:color="auto" w:fill="FFFFFF"/>
          </w:tcPr>
          <w:p w14:paraId="393371E9"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9566.989</w:t>
            </w:r>
          </w:p>
        </w:tc>
        <w:tc>
          <w:tcPr>
            <w:tcW w:w="1030" w:type="dxa"/>
            <w:shd w:val="clear" w:color="auto" w:fill="FFFFFF"/>
          </w:tcPr>
          <w:p w14:paraId="05A5CFD7"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73</w:t>
            </w:r>
          </w:p>
        </w:tc>
        <w:tc>
          <w:tcPr>
            <w:tcW w:w="1415" w:type="dxa"/>
            <w:shd w:val="clear" w:color="auto" w:fill="FFFFFF"/>
          </w:tcPr>
          <w:p w14:paraId="45231690"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131.055</w:t>
            </w:r>
          </w:p>
        </w:tc>
        <w:tc>
          <w:tcPr>
            <w:tcW w:w="1030" w:type="dxa"/>
            <w:shd w:val="clear" w:color="auto" w:fill="FFFFFF"/>
            <w:vAlign w:val="center"/>
          </w:tcPr>
          <w:p w14:paraId="6E2579A3"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030" w:type="dxa"/>
            <w:shd w:val="clear" w:color="auto" w:fill="FFFFFF"/>
            <w:vAlign w:val="center"/>
          </w:tcPr>
          <w:p w14:paraId="2EB84E90"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r>
      <w:tr w:rsidR="00D07ED1" w:rsidRPr="00D07ED1" w14:paraId="51ADD333" w14:textId="77777777" w:rsidTr="00D07ED1">
        <w:trPr>
          <w:cantSplit/>
          <w:jc w:val="center"/>
        </w:trPr>
        <w:tc>
          <w:tcPr>
            <w:tcW w:w="736" w:type="dxa"/>
            <w:vMerge/>
            <w:tcBorders>
              <w:bottom w:val="single" w:sz="4" w:space="0" w:color="auto"/>
            </w:tcBorders>
            <w:shd w:val="clear" w:color="auto" w:fill="E0E0E0"/>
          </w:tcPr>
          <w:p w14:paraId="0339F49B"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292" w:type="dxa"/>
            <w:tcBorders>
              <w:bottom w:val="single" w:sz="4" w:space="0" w:color="auto"/>
            </w:tcBorders>
            <w:shd w:val="clear" w:color="auto" w:fill="E0E0E0"/>
          </w:tcPr>
          <w:p w14:paraId="61698DE3"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Total</w:t>
            </w:r>
          </w:p>
        </w:tc>
        <w:tc>
          <w:tcPr>
            <w:tcW w:w="1476" w:type="dxa"/>
            <w:tcBorders>
              <w:bottom w:val="single" w:sz="4" w:space="0" w:color="auto"/>
            </w:tcBorders>
            <w:shd w:val="clear" w:color="auto" w:fill="FFFFFF"/>
          </w:tcPr>
          <w:p w14:paraId="2975246C"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11484.320</w:t>
            </w:r>
          </w:p>
        </w:tc>
        <w:tc>
          <w:tcPr>
            <w:tcW w:w="1030" w:type="dxa"/>
            <w:tcBorders>
              <w:bottom w:val="single" w:sz="4" w:space="0" w:color="auto"/>
            </w:tcBorders>
            <w:shd w:val="clear" w:color="auto" w:fill="FFFFFF"/>
          </w:tcPr>
          <w:p w14:paraId="0E02FD62"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74</w:t>
            </w:r>
          </w:p>
        </w:tc>
        <w:tc>
          <w:tcPr>
            <w:tcW w:w="1415" w:type="dxa"/>
            <w:tcBorders>
              <w:bottom w:val="single" w:sz="4" w:space="0" w:color="auto"/>
            </w:tcBorders>
            <w:shd w:val="clear" w:color="auto" w:fill="FFFFFF"/>
            <w:vAlign w:val="center"/>
          </w:tcPr>
          <w:p w14:paraId="23BF4A48"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030" w:type="dxa"/>
            <w:tcBorders>
              <w:bottom w:val="single" w:sz="4" w:space="0" w:color="auto"/>
            </w:tcBorders>
            <w:shd w:val="clear" w:color="auto" w:fill="FFFFFF"/>
            <w:vAlign w:val="center"/>
          </w:tcPr>
          <w:p w14:paraId="7C91700A"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030" w:type="dxa"/>
            <w:tcBorders>
              <w:bottom w:val="single" w:sz="4" w:space="0" w:color="auto"/>
            </w:tcBorders>
            <w:shd w:val="clear" w:color="auto" w:fill="FFFFFF"/>
            <w:vAlign w:val="center"/>
          </w:tcPr>
          <w:p w14:paraId="72841F33"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r>
      <w:tr w:rsidR="00D07ED1" w:rsidRPr="00D07ED1" w14:paraId="5F9F1787" w14:textId="77777777" w:rsidTr="00D07ED1">
        <w:trPr>
          <w:cantSplit/>
          <w:jc w:val="center"/>
        </w:trPr>
        <w:tc>
          <w:tcPr>
            <w:tcW w:w="8009" w:type="dxa"/>
            <w:gridSpan w:val="7"/>
            <w:tcBorders>
              <w:top w:val="single" w:sz="4" w:space="0" w:color="auto"/>
              <w:left w:val="nil"/>
              <w:bottom w:val="nil"/>
              <w:right w:val="nil"/>
            </w:tcBorders>
            <w:shd w:val="clear" w:color="auto" w:fill="FFFFFF"/>
          </w:tcPr>
          <w:p w14:paraId="148C261E"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a. Dependent Variable: P. NILAI POLTEKES</w:t>
            </w:r>
          </w:p>
        </w:tc>
      </w:tr>
      <w:tr w:rsidR="00D07ED1" w:rsidRPr="00D07ED1" w14:paraId="0F908878" w14:textId="77777777" w:rsidTr="00D07ED1">
        <w:trPr>
          <w:cantSplit/>
          <w:jc w:val="center"/>
        </w:trPr>
        <w:tc>
          <w:tcPr>
            <w:tcW w:w="8009" w:type="dxa"/>
            <w:gridSpan w:val="7"/>
            <w:tcBorders>
              <w:top w:val="nil"/>
              <w:left w:val="nil"/>
              <w:bottom w:val="nil"/>
              <w:right w:val="nil"/>
            </w:tcBorders>
            <w:shd w:val="clear" w:color="auto" w:fill="FFFFFF"/>
          </w:tcPr>
          <w:p w14:paraId="75566C95"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b. Predictors: (Constant), LoC POLTEKES</w:t>
            </w:r>
          </w:p>
        </w:tc>
      </w:tr>
      <w:tr w:rsidR="00D07ED1" w:rsidRPr="000A634B" w14:paraId="3F306565" w14:textId="77777777" w:rsidTr="00D07ED1">
        <w:trPr>
          <w:cantSplit/>
          <w:jc w:val="center"/>
        </w:trPr>
        <w:tc>
          <w:tcPr>
            <w:tcW w:w="8009" w:type="dxa"/>
            <w:gridSpan w:val="7"/>
            <w:tcBorders>
              <w:top w:val="nil"/>
              <w:left w:val="nil"/>
              <w:bottom w:val="single" w:sz="4" w:space="0" w:color="auto"/>
              <w:right w:val="nil"/>
            </w:tcBorders>
            <w:shd w:val="clear" w:color="auto" w:fill="FFFFFF"/>
          </w:tcPr>
          <w:p w14:paraId="6664AC3C" w14:textId="16189347" w:rsidR="00D07ED1" w:rsidRPr="00D07ED1" w:rsidRDefault="000C3C00" w:rsidP="00D07ED1">
            <w:pPr>
              <w:autoSpaceDE w:val="0"/>
              <w:autoSpaceDN w:val="0"/>
              <w:adjustRightInd w:val="0"/>
              <w:spacing w:after="0" w:line="320" w:lineRule="atLeast"/>
              <w:ind w:left="60" w:right="60"/>
              <w:jc w:val="center"/>
              <w:rPr>
                <w:rFonts w:ascii="Palatino Linotype" w:hAnsi="Palatino Linotype" w:cs="Times New Roman"/>
                <w:sz w:val="20"/>
                <w:szCs w:val="20"/>
              </w:rPr>
            </w:pPr>
            <w:r>
              <w:rPr>
                <w:rFonts w:ascii="Palatino Linotype" w:hAnsi="Palatino Linotype" w:cs="Times New Roman"/>
                <w:sz w:val="20"/>
                <w:szCs w:val="20"/>
              </w:rPr>
              <w:t xml:space="preserve">Table 7. </w:t>
            </w:r>
            <w:proofErr w:type="spellStart"/>
            <w:r w:rsidR="00D07ED1" w:rsidRPr="00D07ED1">
              <w:rPr>
                <w:rFonts w:ascii="Palatino Linotype" w:hAnsi="Palatino Linotype" w:cs="Times New Roman"/>
                <w:sz w:val="20"/>
                <w:szCs w:val="20"/>
              </w:rPr>
              <w:t>Regresi</w:t>
            </w:r>
            <w:proofErr w:type="spellEnd"/>
            <w:r w:rsidR="00D07ED1" w:rsidRPr="00D07ED1">
              <w:rPr>
                <w:rFonts w:ascii="Palatino Linotype" w:hAnsi="Palatino Linotype" w:cs="Times New Roman"/>
                <w:sz w:val="20"/>
                <w:szCs w:val="20"/>
              </w:rPr>
              <w:t xml:space="preserve"> </w:t>
            </w:r>
            <w:proofErr w:type="spellStart"/>
            <w:r w:rsidR="00D07ED1" w:rsidRPr="00D07ED1">
              <w:rPr>
                <w:rFonts w:ascii="Palatino Linotype" w:hAnsi="Palatino Linotype" w:cs="Times New Roman"/>
                <w:sz w:val="20"/>
                <w:szCs w:val="20"/>
              </w:rPr>
              <w:t>Unirow</w:t>
            </w:r>
            <w:proofErr w:type="spellEnd"/>
          </w:p>
        </w:tc>
      </w:tr>
      <w:tr w:rsidR="00D07ED1" w:rsidRPr="000A634B" w14:paraId="5CB96D8D" w14:textId="77777777" w:rsidTr="00D07ED1">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20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EAEA73D"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Model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4D5296F1"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Sum of Squares</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747575D6"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df</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tcPr>
          <w:p w14:paraId="59368E39"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Mean Square</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1CFB07BC"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F</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656487C5" w14:textId="77777777" w:rsidR="00D07ED1" w:rsidRPr="00D07ED1" w:rsidRDefault="00D07ED1" w:rsidP="005371AF">
            <w:pPr>
              <w:autoSpaceDE w:val="0"/>
              <w:autoSpaceDN w:val="0"/>
              <w:adjustRightInd w:val="0"/>
              <w:spacing w:after="0" w:line="320" w:lineRule="atLeast"/>
              <w:ind w:left="60" w:right="60"/>
              <w:jc w:val="center"/>
              <w:rPr>
                <w:rFonts w:ascii="Palatino Linotype" w:hAnsi="Palatino Linotype" w:cs="Times New Roman"/>
                <w:sz w:val="20"/>
                <w:szCs w:val="20"/>
              </w:rPr>
            </w:pPr>
            <w:r w:rsidRPr="00D07ED1">
              <w:rPr>
                <w:rFonts w:ascii="Palatino Linotype" w:hAnsi="Palatino Linotype" w:cs="Times New Roman"/>
                <w:sz w:val="20"/>
                <w:szCs w:val="20"/>
              </w:rPr>
              <w:t>Sig.</w:t>
            </w:r>
          </w:p>
        </w:tc>
      </w:tr>
      <w:tr w:rsidR="00D07ED1" w:rsidRPr="000A634B" w14:paraId="45D70336" w14:textId="77777777" w:rsidTr="00D07ED1">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36" w:type="dxa"/>
            <w:vMerge w:val="restart"/>
            <w:tcBorders>
              <w:top w:val="single" w:sz="4" w:space="0" w:color="auto"/>
              <w:left w:val="single" w:sz="4" w:space="0" w:color="auto"/>
              <w:bottom w:val="single" w:sz="4" w:space="0" w:color="auto"/>
              <w:right w:val="single" w:sz="4" w:space="0" w:color="auto"/>
            </w:tcBorders>
            <w:shd w:val="clear" w:color="auto" w:fill="E0E0E0"/>
          </w:tcPr>
          <w:p w14:paraId="50ACA405"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1</w:t>
            </w:r>
          </w:p>
        </w:tc>
        <w:tc>
          <w:tcPr>
            <w:tcW w:w="1292" w:type="dxa"/>
            <w:tcBorders>
              <w:top w:val="single" w:sz="4" w:space="0" w:color="auto"/>
              <w:left w:val="single" w:sz="4" w:space="0" w:color="auto"/>
              <w:bottom w:val="single" w:sz="4" w:space="0" w:color="auto"/>
              <w:right w:val="single" w:sz="4" w:space="0" w:color="auto"/>
            </w:tcBorders>
            <w:shd w:val="clear" w:color="auto" w:fill="E0E0E0"/>
          </w:tcPr>
          <w:p w14:paraId="0A1D3FF1"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Regression</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1F2AB826"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2203.557</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44E75B1A"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7A9ED15A"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2203.557</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39D272E4"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13.669</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598E5EC8"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.000</w:t>
            </w:r>
            <w:r w:rsidRPr="00D07ED1">
              <w:rPr>
                <w:rFonts w:ascii="Palatino Linotype" w:hAnsi="Palatino Linotype" w:cs="Times New Roman"/>
                <w:sz w:val="20"/>
                <w:szCs w:val="20"/>
                <w:vertAlign w:val="superscript"/>
              </w:rPr>
              <w:t>b</w:t>
            </w:r>
          </w:p>
        </w:tc>
      </w:tr>
      <w:tr w:rsidR="00D07ED1" w:rsidRPr="000A634B" w14:paraId="1CF39163" w14:textId="77777777" w:rsidTr="00D07ED1">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36" w:type="dxa"/>
            <w:vMerge/>
            <w:tcBorders>
              <w:top w:val="single" w:sz="4" w:space="0" w:color="auto"/>
              <w:left w:val="single" w:sz="4" w:space="0" w:color="auto"/>
              <w:bottom w:val="single" w:sz="4" w:space="0" w:color="auto"/>
              <w:right w:val="single" w:sz="4" w:space="0" w:color="auto"/>
            </w:tcBorders>
            <w:shd w:val="clear" w:color="auto" w:fill="E0E0E0"/>
          </w:tcPr>
          <w:p w14:paraId="64A2FF50"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E0E0E0"/>
          </w:tcPr>
          <w:p w14:paraId="5C2991F4"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Residual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41D11B14"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11768.443</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0E089527"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73</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7A4EA632"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161.212</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14:paraId="364AD2BC"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14:paraId="6F8358D3"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r>
      <w:tr w:rsidR="00D07ED1" w:rsidRPr="000A634B" w14:paraId="454A3EC2" w14:textId="77777777" w:rsidTr="00D07ED1">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36" w:type="dxa"/>
            <w:vMerge/>
            <w:tcBorders>
              <w:top w:val="single" w:sz="4" w:space="0" w:color="auto"/>
              <w:left w:val="single" w:sz="4" w:space="0" w:color="auto"/>
              <w:bottom w:val="single" w:sz="4" w:space="0" w:color="auto"/>
              <w:right w:val="single" w:sz="4" w:space="0" w:color="auto"/>
            </w:tcBorders>
            <w:shd w:val="clear" w:color="auto" w:fill="E0E0E0"/>
          </w:tcPr>
          <w:p w14:paraId="471D4AD2"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E0E0E0"/>
          </w:tcPr>
          <w:p w14:paraId="49CC3B8C"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3B153ADC"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13972.000</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387FCAF6" w14:textId="77777777" w:rsidR="00D07ED1" w:rsidRPr="00D07ED1" w:rsidRDefault="00D07ED1" w:rsidP="005371AF">
            <w:pPr>
              <w:autoSpaceDE w:val="0"/>
              <w:autoSpaceDN w:val="0"/>
              <w:adjustRightInd w:val="0"/>
              <w:spacing w:after="0" w:line="320" w:lineRule="atLeast"/>
              <w:ind w:left="60" w:right="60"/>
              <w:jc w:val="right"/>
              <w:rPr>
                <w:rFonts w:ascii="Palatino Linotype" w:hAnsi="Palatino Linotype" w:cs="Times New Roman"/>
                <w:sz w:val="20"/>
                <w:szCs w:val="20"/>
              </w:rPr>
            </w:pPr>
            <w:r w:rsidRPr="00D07ED1">
              <w:rPr>
                <w:rFonts w:ascii="Palatino Linotype" w:hAnsi="Palatino Linotype" w:cs="Times New Roman"/>
                <w:sz w:val="20"/>
                <w:szCs w:val="20"/>
              </w:rPr>
              <w:t>74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14:paraId="199A0C52"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14:paraId="45D76E2B"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14:paraId="74AA534A" w14:textId="77777777" w:rsidR="00D07ED1" w:rsidRPr="00D07ED1" w:rsidRDefault="00D07ED1" w:rsidP="005371AF">
            <w:pPr>
              <w:autoSpaceDE w:val="0"/>
              <w:autoSpaceDN w:val="0"/>
              <w:adjustRightInd w:val="0"/>
              <w:spacing w:after="0" w:line="240" w:lineRule="auto"/>
              <w:rPr>
                <w:rFonts w:ascii="Palatino Linotype" w:hAnsi="Palatino Linotype" w:cs="Times New Roman"/>
                <w:sz w:val="20"/>
                <w:szCs w:val="20"/>
              </w:rPr>
            </w:pPr>
          </w:p>
        </w:tc>
      </w:tr>
      <w:tr w:rsidR="00D07ED1" w:rsidRPr="000A634B" w14:paraId="2DD9432A" w14:textId="77777777" w:rsidTr="00D07ED1">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8009" w:type="dxa"/>
            <w:gridSpan w:val="7"/>
            <w:tcBorders>
              <w:top w:val="single" w:sz="4" w:space="0" w:color="auto"/>
              <w:left w:val="nil"/>
              <w:bottom w:val="nil"/>
              <w:right w:val="nil"/>
            </w:tcBorders>
            <w:shd w:val="clear" w:color="auto" w:fill="FFFFFF"/>
          </w:tcPr>
          <w:p w14:paraId="4C568280"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a. Dependent Variable: NILAI PGRI</w:t>
            </w:r>
          </w:p>
        </w:tc>
      </w:tr>
      <w:tr w:rsidR="00D07ED1" w:rsidRPr="000A634B" w14:paraId="2A536AFB" w14:textId="77777777" w:rsidTr="00D07ED1">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8009" w:type="dxa"/>
            <w:gridSpan w:val="7"/>
            <w:tcBorders>
              <w:top w:val="nil"/>
              <w:left w:val="nil"/>
              <w:bottom w:val="nil"/>
              <w:right w:val="nil"/>
            </w:tcBorders>
            <w:shd w:val="clear" w:color="auto" w:fill="FFFFFF"/>
          </w:tcPr>
          <w:p w14:paraId="02F273DC" w14:textId="77777777" w:rsidR="00D07ED1" w:rsidRPr="00D07ED1" w:rsidRDefault="00D07ED1" w:rsidP="005371AF">
            <w:pPr>
              <w:autoSpaceDE w:val="0"/>
              <w:autoSpaceDN w:val="0"/>
              <w:adjustRightInd w:val="0"/>
              <w:spacing w:after="0" w:line="320" w:lineRule="atLeast"/>
              <w:ind w:left="60" w:right="60"/>
              <w:rPr>
                <w:rFonts w:ascii="Palatino Linotype" w:hAnsi="Palatino Linotype" w:cs="Times New Roman"/>
                <w:sz w:val="20"/>
                <w:szCs w:val="20"/>
              </w:rPr>
            </w:pPr>
            <w:r w:rsidRPr="00D07ED1">
              <w:rPr>
                <w:rFonts w:ascii="Palatino Linotype" w:hAnsi="Palatino Linotype" w:cs="Times New Roman"/>
                <w:sz w:val="20"/>
                <w:szCs w:val="20"/>
              </w:rPr>
              <w:t>b. Predictors: (Constant), LoC PGRI</w:t>
            </w:r>
          </w:p>
        </w:tc>
      </w:tr>
    </w:tbl>
    <w:p w14:paraId="0114F6D6" w14:textId="77777777" w:rsidR="00C12AF5" w:rsidRDefault="00C12AF5" w:rsidP="00C12AF5">
      <w:pPr>
        <w:pStyle w:val="Alishlah31text"/>
      </w:pPr>
    </w:p>
    <w:p w14:paraId="5DBFFB15" w14:textId="1C4E258B" w:rsidR="00C12AF5" w:rsidRDefault="00C12AF5" w:rsidP="00C12AF5">
      <w:pPr>
        <w:pStyle w:val="Alishlah31text"/>
      </w:pPr>
      <w:r w:rsidRPr="00C12AF5">
        <w:t xml:space="preserve">The regression model for Poltekkes Surabaya shows a significant relationship between LoC and student performance, as indicated by the F-value of 14.630 and a p-value of .000. The regression sum of squares (1917.331) compared to the residual sum of squares (9566.989) suggests that the model explains a substantial portion of the variance in student performance. Specifically, the mean square for regression is 1917.331, while the mean square for residuals is 131.055. This significant F-value indicates that the model is a good fit and that LoC is a meaningful predictor of academic performance at </w:t>
      </w:r>
      <w:proofErr w:type="spellStart"/>
      <w:r w:rsidRPr="00C12AF5">
        <w:t>Poltekkes</w:t>
      </w:r>
      <w:proofErr w:type="spellEnd"/>
      <w:r w:rsidRPr="00C12AF5">
        <w:t xml:space="preserve"> Surabaya.</w:t>
      </w:r>
    </w:p>
    <w:p w14:paraId="75C2D73F" w14:textId="77777777" w:rsidR="00C12AF5" w:rsidRDefault="00C12AF5" w:rsidP="00C12AF5">
      <w:pPr>
        <w:pStyle w:val="Alishlah31text"/>
      </w:pPr>
      <w:r>
        <w:t xml:space="preserve">The regression model for </w:t>
      </w:r>
      <w:proofErr w:type="spellStart"/>
      <w:r>
        <w:t>Poltekkes</w:t>
      </w:r>
      <w:proofErr w:type="spellEnd"/>
      <w:r>
        <w:t xml:space="preserve"> Surabaya shows a significant relationship between LoC and student performance, as indicated by the F-value of 14.630 and a p-value of .000. The regression sum of squares (1917.331) compared to the residual sum of squares (9566.989) suggests that the model explains a substantial portion of the variance in student performance. Specifically, the mean square for regression is 1917.331, while the mean square for residuals is 131.055. This significant F-value indicates that the model is a good fit and that LoC is a meaningful predictor of academic performance at </w:t>
      </w:r>
      <w:proofErr w:type="spellStart"/>
      <w:r>
        <w:t>Poltekkes</w:t>
      </w:r>
      <w:proofErr w:type="spellEnd"/>
      <w:r>
        <w:t xml:space="preserve"> Surabaya.</w:t>
      </w:r>
    </w:p>
    <w:p w14:paraId="63B1FFB1" w14:textId="77777777" w:rsidR="00C12AF5" w:rsidRPr="00C12AF5" w:rsidRDefault="00C12AF5" w:rsidP="00C12AF5">
      <w:pPr>
        <w:pStyle w:val="Alishlah31text"/>
        <w:rPr>
          <w:szCs w:val="20"/>
          <w:lang w:eastAsia="en-ID"/>
        </w:rPr>
      </w:pPr>
      <w:r w:rsidRPr="00C12AF5">
        <w:rPr>
          <w:szCs w:val="20"/>
          <w:lang w:eastAsia="en-ID"/>
        </w:rPr>
        <w:t xml:space="preserve">Both regression models indicate that Locus of Control is a significant predictor of academic performance at </w:t>
      </w:r>
      <w:proofErr w:type="spellStart"/>
      <w:r w:rsidRPr="00C12AF5">
        <w:rPr>
          <w:szCs w:val="20"/>
          <w:lang w:eastAsia="en-ID"/>
        </w:rPr>
        <w:t>Poltekkes</w:t>
      </w:r>
      <w:proofErr w:type="spellEnd"/>
      <w:r w:rsidRPr="00C12AF5">
        <w:rPr>
          <w:szCs w:val="20"/>
          <w:lang w:eastAsia="en-ID"/>
        </w:rPr>
        <w:t xml:space="preserve"> Surabaya and </w:t>
      </w:r>
      <w:proofErr w:type="spellStart"/>
      <w:r w:rsidRPr="00C12AF5">
        <w:rPr>
          <w:szCs w:val="20"/>
          <w:lang w:eastAsia="en-ID"/>
        </w:rPr>
        <w:t>Unirow</w:t>
      </w:r>
      <w:proofErr w:type="spellEnd"/>
      <w:r w:rsidRPr="00C12AF5">
        <w:rPr>
          <w:szCs w:val="20"/>
          <w:lang w:eastAsia="en-ID"/>
        </w:rPr>
        <w:t xml:space="preserve">. The p-values in both tables are .000, which suggests a highly significant relationship. The slightly higher regression sum of squares for </w:t>
      </w:r>
      <w:proofErr w:type="spellStart"/>
      <w:r w:rsidRPr="00C12AF5">
        <w:rPr>
          <w:szCs w:val="20"/>
          <w:lang w:eastAsia="en-ID"/>
        </w:rPr>
        <w:t>Unirow</w:t>
      </w:r>
      <w:proofErr w:type="spellEnd"/>
      <w:r w:rsidRPr="00C12AF5">
        <w:rPr>
          <w:szCs w:val="20"/>
          <w:lang w:eastAsia="en-ID"/>
        </w:rPr>
        <w:t xml:space="preserve"> (2203.557) compared to </w:t>
      </w:r>
      <w:proofErr w:type="spellStart"/>
      <w:r w:rsidRPr="00C12AF5">
        <w:rPr>
          <w:szCs w:val="20"/>
          <w:lang w:eastAsia="en-ID"/>
        </w:rPr>
        <w:t>Poltekkes</w:t>
      </w:r>
      <w:proofErr w:type="spellEnd"/>
      <w:r w:rsidRPr="00C12AF5">
        <w:rPr>
          <w:szCs w:val="20"/>
          <w:lang w:eastAsia="en-ID"/>
        </w:rPr>
        <w:t xml:space="preserve"> (1917.331) may imply that LoC has a slightly more pronounced effect on student performance at </w:t>
      </w:r>
      <w:proofErr w:type="spellStart"/>
      <w:r w:rsidRPr="00C12AF5">
        <w:rPr>
          <w:szCs w:val="20"/>
          <w:lang w:eastAsia="en-ID"/>
        </w:rPr>
        <w:t>Unirow</w:t>
      </w:r>
      <w:proofErr w:type="spellEnd"/>
      <w:r w:rsidRPr="00C12AF5">
        <w:rPr>
          <w:szCs w:val="20"/>
          <w:lang w:eastAsia="en-ID"/>
        </w:rPr>
        <w:t>.</w:t>
      </w:r>
    </w:p>
    <w:p w14:paraId="61F4C937" w14:textId="4D4ED0ED" w:rsidR="00C12AF5" w:rsidRPr="00C12AF5" w:rsidRDefault="00C12AF5" w:rsidP="00C12AF5">
      <w:pPr>
        <w:pStyle w:val="Alishlah31text"/>
        <w:rPr>
          <w:szCs w:val="20"/>
        </w:rPr>
      </w:pPr>
      <w:r w:rsidRPr="00C12AF5">
        <w:rPr>
          <w:szCs w:val="20"/>
          <w:lang w:eastAsia="en-ID"/>
        </w:rPr>
        <w:t>These findings highlight the importance of psychological factors such as LoC in influencing academic outcomes. Educational institutions might consider incorporating strategies to enhance students' internal locus of control, potentially leading to improved academic performance. Such strategies could include providing students with more opportunities for autonomy, fostering a growth mindset, and offering support systems that emphasize personal responsibility and self-efficacy.</w:t>
      </w:r>
    </w:p>
    <w:p w14:paraId="52C8F41F" w14:textId="070173B1" w:rsidR="002B31FD" w:rsidRPr="004841C5" w:rsidRDefault="002258C5" w:rsidP="002B31FD">
      <w:pPr>
        <w:pStyle w:val="Alishlah22heading2"/>
      </w:pPr>
      <w:r>
        <w:t>3</w:t>
      </w:r>
      <w:r w:rsidR="002B31FD" w:rsidRPr="004841C5">
        <w:t xml:space="preserve">.1. </w:t>
      </w:r>
      <w:r w:rsidRPr="002258C5">
        <w:t>The Influence of Value Clarification Learning on Students' Moral Development</w:t>
      </w:r>
    </w:p>
    <w:p w14:paraId="60153615" w14:textId="5F421ED7" w:rsidR="002B31FD" w:rsidRDefault="002258C5" w:rsidP="002258C5">
      <w:pPr>
        <w:pStyle w:val="Alishlah31text"/>
        <w:rPr>
          <w:lang w:eastAsia="zh-CN"/>
        </w:rPr>
      </w:pPr>
      <w:r w:rsidRPr="002258C5">
        <w:t>The</w:t>
      </w:r>
      <w:r w:rsidRPr="002258C5">
        <w:rPr>
          <w:lang w:eastAsia="zh-CN"/>
        </w:rPr>
        <w:t xml:space="preserve"> results of the study indicate that Value Clarification learning has an effect on students' morale. This can be seen from the results of the variable significance (P. Value) with a value of 0.000 which indicates significance because it is more than 0.05. Thus, it can be said that students who have high value clarification learning, their moral development has increased </w:t>
      </w:r>
      <w:bookmarkStart w:id="2" w:name="_Hlk170992410"/>
      <w:r>
        <w:rPr>
          <w:rFonts w:ascii="Times New Roman" w:hAnsi="Times New Roman"/>
        </w:rPr>
        <w:fldChar w:fldCharType="begin"/>
      </w:r>
      <w:r>
        <w:rPr>
          <w:rFonts w:ascii="Times New Roman" w:hAnsi="Times New Roman"/>
        </w:rPr>
        <w:instrText xml:space="preserve"> ADDIN ZOTERO_ITEM CSL_CITATION {"citationID":"pt31hx5w","properties":{"formattedCitation":"(Azmi et al., 2018; Dabdoub, 2021)","plainCitation":"(Azmi et al., 2018; Dabdoub, 2021)","noteIndex":0},"citationItems":[{"id":1196,"uris":["http://zotero.org/users/5885965/items/CMPCF5NI"],"itemData":{"id":1196,"type":"article-journal","container-title":"International Journal of Civil Engineering and Technology (IJCIET)","issue":"11","language":"en","source":"Zotero","title":"THE EFFECT OF VALUE CLARIFICATION LEARNING STRATEGIES AND SOCIAL INQUIRY ON CONCEPT COMPREHENSION AND STUDENT TOLERANCE ATTITUDES WITH DIFFERENT COGNITIVE STYLE","volume":"9","author":[{"family":"Azmi","given":"Shofiyatul"},{"family":"Degeng","given":"I Nyoman Sudana"},{"family":"Kamdi","given":"Waras"},{"family":"Setyosari","given":"Punaji"},{"family":"Wiyono","given":"Suko"}],"issued":{"date-parts":[["2018"]]}}},{"id":1200,"uris":["http://zotero.org/users/5885965/items/C62ICJUY"],"itemData":{"id":1200,"type":"article-journal","abstract":"La educación en valores morales es un ámbito que ha generado polémica en los siglos XX y XXI, especialmente por un rechazo social hacia el posible adoctrinamiento de los estudiantes. La metodología de Clarificación de valores de Louis Raths fue una de las propuestas más representativas que intentaron plantear una educación moral libre de adoctrinamiento. Sin profundizar en argumentos filosóficos que ya han sido tratados en numerosas publicaciones, el artículo estudia la historia de este planteamiento, para aprender de los esfuerzos, retos, victorias y fracasos de aquellos que nos han antecedido en la tarea de educar ciudadanos con convicciones morales. El artículo comienza exponiendo los puntos principales del pensamiento del psicólogo Carl Rogers que más influyeron en el origen de esta metodología. Después, se introduce el contexto social en el que surge el programa de la Clarificación de valores, una descripción detallada de sus notas esenciales, la buena acogida que recibió y, por último, las críticas y evaluaciones que condujeron a su vertiginoso declive. A modo de conclusión, se presentan tres breves reflexiones sobre la educación moral que, aunque no son novedosas, se ven reforzadas por el estudio realizado en este artículo.","container-title":"Revista Española de Pedagogía","DOI":"10.22550/REP79-2-2021-06","ISSN":"00349461, 21740909","issue":"279","journalAbbreviation":"REP","language":"es","source":"DOI.org (Crossref)","title":"Apuntes para una historia de la Clarificación de valores: origen, desarrollo, declive y reflexiones","title-short":"Apuntes para una historia de la Clarificación de valores","URL":"https://www.revistadepedagogia.org/rep/vol79/iss279/12","volume":"79","author":[{"family":"Dabdoub","given":"Juan P."}],"accessed":{"date-parts":[["2024",5,24]]},"issued":{"date-parts":[["2021",5,1]]}}}],"schema":"https://github.com/citation-style-language/schema/raw/master/csl-citation.json"} </w:instrText>
      </w:r>
      <w:r>
        <w:rPr>
          <w:rFonts w:ascii="Times New Roman" w:hAnsi="Times New Roman"/>
        </w:rPr>
        <w:fldChar w:fldCharType="separate"/>
      </w:r>
      <w:r w:rsidRPr="008D699D">
        <w:rPr>
          <w:rFonts w:ascii="Times New Roman" w:hAnsi="Times New Roman"/>
        </w:rPr>
        <w:t>(Azmi et al., 2018; Dabdoub, 2021)</w:t>
      </w:r>
      <w:r>
        <w:rPr>
          <w:rFonts w:ascii="Times New Roman" w:hAnsi="Times New Roman"/>
        </w:rPr>
        <w:fldChar w:fldCharType="end"/>
      </w:r>
      <w:bookmarkEnd w:id="2"/>
      <w:r w:rsidRPr="002258C5">
        <w:rPr>
          <w:lang w:eastAsia="zh-CN"/>
        </w:rPr>
        <w:t>. This is because value clarification learning gives someone the enthusiasm to actively learn, so that they can instill the values ​​obtained into everyday life</w:t>
      </w:r>
      <w:r>
        <w:rPr>
          <w:lang w:eastAsia="zh-CN"/>
        </w:rPr>
        <w:t xml:space="preserve"> </w:t>
      </w:r>
      <w:r w:rsidRPr="002258C5">
        <w:rPr>
          <w:lang w:eastAsia="zh-CN"/>
        </w:rPr>
        <w:t>(</w:t>
      </w:r>
      <w:proofErr w:type="spellStart"/>
      <w:r w:rsidRPr="002258C5">
        <w:rPr>
          <w:lang w:eastAsia="zh-CN"/>
        </w:rPr>
        <w:t>Halimah</w:t>
      </w:r>
      <w:proofErr w:type="spellEnd"/>
      <w:r w:rsidRPr="002258C5">
        <w:rPr>
          <w:lang w:eastAsia="zh-CN"/>
        </w:rPr>
        <w:t xml:space="preserve"> et al., 2020). According to </w:t>
      </w:r>
      <w:proofErr w:type="spellStart"/>
      <w:r w:rsidRPr="002258C5">
        <w:rPr>
          <w:lang w:eastAsia="zh-CN"/>
        </w:rPr>
        <w:t>Sukisno</w:t>
      </w:r>
      <w:proofErr w:type="spellEnd"/>
      <w:r w:rsidRPr="002258C5">
        <w:rPr>
          <w:lang w:eastAsia="zh-CN"/>
        </w:rPr>
        <w:t>, value clarification learning can motivate students to develop the ability to dig deeper into information about various developing issues and encourage them to dare to express their opinions</w:t>
      </w:r>
      <w:r>
        <w:rPr>
          <w:lang w:eastAsia="zh-CN"/>
        </w:rPr>
        <w:t xml:space="preserve"> </w:t>
      </w:r>
      <w:bookmarkStart w:id="3" w:name="_Hlk171409942"/>
      <w:r>
        <w:rPr>
          <w:rFonts w:ascii="Times New Roman" w:hAnsi="Times New Roman"/>
        </w:rPr>
        <w:fldChar w:fldCharType="begin"/>
      </w:r>
      <w:r>
        <w:rPr>
          <w:rFonts w:ascii="Times New Roman" w:hAnsi="Times New Roman"/>
        </w:rPr>
        <w:instrText xml:space="preserve"> ADDIN ZOTERO_ITEM CSL_CITATION {"citationID":"LIF3dXxU","properties":{"formattedCitation":"(Nurfurqon et al., 2022; Sukisno et al., 2022)","plainCitation":"(Nurfurqon et al., 2022; Sukisno et al., 2022)","noteIndex":0},"citationItems":[{"id":1198,"uris":["http://zotero.org/users/5885965/items/4BXNUSI6"],"itemData":{"id":1198,"type":"article-journal","abstract":"This research is based on the finding that every student has abilities and life values that they are not aware of regarding value education. This study aims to analyze learning planning in an effort to increase students' motivation and learning outcomes in social studies learning with the Value Clarification Technology method. The research design uses a quasi-experimental research model. The data collected is in the form of quantitative data through formative tests, analysis of observation sheets, and document analysis. The number of research subjects consisted of 60 students divided into two classes, namely the experimental class and the control class. This research was conducted in a public school located in the Ciwidey District, Bandung Regency. The results showed that the application of the VCT model could increase students' motivation and learning outcomes in social studies learning. This is because the Value Clarification Technology model of the Value Analysis Type can be focused on things that are considered important by the teacher so that these important things can be observed in their entirety. The conclusion in this study is that learning using the Value Clarification Technique model of Value Analysis in Social Studies learning can increase students' motivation and learning outcomes.","container-title":"Jurnal Basicedu","DOI":"10.31004/basicedu.v6i2.2385","ISSN":"2580-1147, 2580-3735","issue":"2","journalAbbreviation":"basicedu","language":"en","license":"https://creativecommons.org/licenses/by-sa/4.0","page":"2556-2564","source":"DOI.org (Crossref)","title":"The Effect of The Value Clarification Technology Model on Elementary School Students' Learning Motivation in Social Studies Learning","volume":"6","author":[{"family":"Nurfurqon","given":"Faridillah Fahmi"},{"family":"Wardani","given":"Duhita Savira"},{"family":"Wulandari","given":"Medita Ayu"}],"issued":{"date-parts":[["2022",2,19]]}}},{"id":1152,"uris":["http://zotero.org/users/5885965/items/MWYYMQKT"],"itemData":{"id":1152,"type":"article-journal","abstract":"This study aims to determine students' perceptions of the value clarification learning process with the value inquiry method in Civics subjects. This research is a naturalistic descriptive research for students high school. The sample of this study were four schools and each school was selected by one class using cluster random sampling. Data analysis techniques of the results of this study used descriptive analysis techniques. The results showed that the level of students' perceptions of the learning process was perceived as an interactive learning process: 87%; inspiring; 85%; fun: 91%; challenging: 85% and motivating: 88%. While the learning process for each component of students' perceptions is: interactive 43% very high 47% high and enough 10% enough; inspiring 39% very high 46% high and enough 15%; pleasant 58% and very high 42% high; challenging learning 35% is very high 55% high and 10% is enough; motivates 48% very high 43% high and 9% enough. The results of the study concluded that the value clarification learning process with the value inquiry method in Civics subjects by students is perceived as an excellent learning process, meaning that it meets the demands of an ideal learning process standard which is an fun, motivating, interactive, inspirational, and challenging learning process.","container-title":"International Journal of Research Publications","DOI":"10.47119/IJRP1001041720223591","ISSN":"27083578","issue":"1","journalAbbreviation":"IJRP","language":"en","source":"DOI.org (Crossref)","title":"Students Perception About Value Clarification Learning Process for High School Students","URL":"https://www.ijrp.org/paper-detail/3564","volume":"104","author":[{"family":"Sukisno","given":"Dr."},{"family":"Apriono","given":"Djoko"},{"family":"Nuswantari","given":"Dr."},{"family":"Supriatna","given":"Usep"}],"accessed":{"date-parts":[["2024",5,24]]},"issued":{"date-parts":[["2022",6,16]]}}}],"schema":"https://github.com/citation-style-language/schema/raw/master/csl-citation.json"} </w:instrText>
      </w:r>
      <w:r>
        <w:rPr>
          <w:rFonts w:ascii="Times New Roman" w:hAnsi="Times New Roman"/>
        </w:rPr>
        <w:fldChar w:fldCharType="separate"/>
      </w:r>
      <w:r w:rsidRPr="008D699D">
        <w:rPr>
          <w:rFonts w:ascii="Times New Roman" w:hAnsi="Times New Roman"/>
        </w:rPr>
        <w:t>(Nurfurqon et al., 2022; Sukisno et al., 2022)</w:t>
      </w:r>
      <w:r>
        <w:rPr>
          <w:rFonts w:ascii="Times New Roman" w:hAnsi="Times New Roman"/>
        </w:rPr>
        <w:fldChar w:fldCharType="end"/>
      </w:r>
      <w:bookmarkEnd w:id="3"/>
      <w:r>
        <w:rPr>
          <w:lang w:eastAsia="zh-CN"/>
        </w:rPr>
        <w:t xml:space="preserve">. </w:t>
      </w:r>
      <w:r w:rsidRPr="002258C5">
        <w:rPr>
          <w:lang w:eastAsia="zh-CN"/>
        </w:rPr>
        <w:t>Supported by Williams' research that the Value Clarification Approach can help someone to assess their own feelings and actions to develop them about their own values ​​</w:t>
      </w:r>
      <w:r w:rsidRPr="00821B54">
        <w:rPr>
          <w:rFonts w:ascii="Times New Roman" w:hAnsi="Times New Roman"/>
        </w:rPr>
        <w:fldChar w:fldCharType="begin"/>
      </w:r>
      <w:r w:rsidRPr="00821B54">
        <w:rPr>
          <w:rFonts w:ascii="Times New Roman" w:hAnsi="Times New Roman"/>
        </w:rPr>
        <w:instrText xml:space="preserve"> ADDIN ZOTERO_ITEM CSL_CITATION {"citationID":"dvQITKKq","properties":{"formattedCitation":"(Williams et al., 2023)","plainCitation":"(Williams et al., 2023)","noteIndex":0},"citationItems":[{"id":1192,"uris":["http://zotero.org/users/5885965/items/JFAHBC4W"],"itemData":{"id":1192,"type":"article-journal","abstract":"Background: Following the U.S. Supreme Court Dobbs decision, access to abortion educa­ tion is increasingly regionally dependent. Participation in values clarification workshops on abortion can improve abortion knowledge and reduce stigma. Traditionally, values clar­ ification workshops occur in person, yet medical education increasingly utilizes online learning. We sought to understand how a virtual platform impacted medical students and Obstetrics and Gynecology (ObGyn) residents’ experience with a values clarification work­ shop on abortion.\nMethods: We conducted values clarification workshops over Zoom with medical students and ObGyn residents at four midwestern teaching hospitals from January 2021-December 2021 during the COVID-19 pandemic. We held semi-structured interviews with participants and facilitators to learn about how the virtual format impacted their experience with the workshop. Four researchers analyzed transcripts using an inductive approach to generate codes then themes.\nResults: We interviewed 24 medical students, 13 ObGyn residents, and five workshop facil­ itators. Participants and facilitators found the virtual platform to have both unique advan­ tages and disadvantages. Four central themes were identified: 1) Screen as a barrier: participants noted obstacles to conversation and intimacy. 2) Emotional safety: participants felt comfortable discussing sensitive topics. 3) Ease of access: participants could access virtual workshops regardless of location. 4) Technology-specific features: Zoom features streamlined aspects of the workshop and allowed for anonymous contributions to discussion.\nConclusions: Our findings suggest that a virtual platform can be a convenient and effective way to deliver values clarification workshops on abortion, and this technology could be leveraged to expand access to this training in areas without trained facilitators. ARTICLE HISTORY","container-title":"Medical Education Online","DOI":"10.1080/10872981.2023.2258004","ISSN":"1087-2981","issue":"1","journalAbbreviation":"Medical Education Online","language":"en","page":"2258004","source":"DOI.org (Crossref)","title":"An online alternative: a qualitative study of virtual abortion values clarification workshops","title-short":"An online alternative","volume":"28","author":[{"family":"Williams","given":"Margaret"},{"family":"Cowley","given":"Elise S."},{"family":"Valley","given":"Taryn M."},{"family":"Farooque","given":"Alma"},{"family":"Shultz","given":"Zoey"},{"family":"Godecker","given":"Amy"},{"family":"Askins","given":"Jacquelyn"},{"family":"Jacques","given":"Laura"}],"issued":{"date-parts":[["2023",12,31]]}}}],"schema":"https://github.com/citation-style-language/schema/raw/master/csl-citation.json"} </w:instrText>
      </w:r>
      <w:r w:rsidRPr="00821B54">
        <w:rPr>
          <w:rFonts w:ascii="Times New Roman" w:hAnsi="Times New Roman"/>
        </w:rPr>
        <w:fldChar w:fldCharType="separate"/>
      </w:r>
      <w:r w:rsidRPr="00821B54">
        <w:rPr>
          <w:rFonts w:ascii="Times New Roman" w:hAnsi="Times New Roman"/>
        </w:rPr>
        <w:t>(Williams et al., 2023)</w:t>
      </w:r>
      <w:r w:rsidRPr="00821B54">
        <w:rPr>
          <w:rFonts w:ascii="Times New Roman" w:hAnsi="Times New Roman"/>
        </w:rPr>
        <w:fldChar w:fldCharType="end"/>
      </w:r>
      <w:r w:rsidRPr="002258C5">
        <w:rPr>
          <w:lang w:eastAsia="zh-CN"/>
        </w:rPr>
        <w:t>, moral considerations and decision-making in solving pro</w:t>
      </w:r>
      <w:bookmarkStart w:id="4" w:name="_GoBack"/>
      <w:bookmarkEnd w:id="4"/>
      <w:r w:rsidRPr="002258C5">
        <w:rPr>
          <w:lang w:eastAsia="zh-CN"/>
        </w:rPr>
        <w:t xml:space="preserve">blems </w:t>
      </w:r>
      <w:r>
        <w:rPr>
          <w:rFonts w:ascii="Times New Roman" w:hAnsi="Times New Roman"/>
          <w:color w:val="FF0000"/>
        </w:rPr>
        <w:fldChar w:fldCharType="begin"/>
      </w:r>
      <w:r>
        <w:rPr>
          <w:rFonts w:ascii="Times New Roman" w:hAnsi="Times New Roman"/>
          <w:color w:val="FF0000"/>
        </w:rPr>
        <w:instrText xml:space="preserve"> ADDIN ZOTERO_ITEM CSL_CITATION {"citationID":"qkzBnlbs","properties":{"formattedCitation":"(Ni\\uc0\\u775{}sa et al., 2020)","plainCitation":"(Ni̇sa et al., 2020)","noteIndex":0},"citationItems":[{"id":1187,"uris":["http://zotero.org/users/5885965/items/A4Q4GHAH"],"itemData":{"id":1187,"type":"article-journal","abstract":"The purpose of this research is to find out significant differences in the social problem-solving skills between classes that apply the Value Clarification Technique (VCT), Problem Based Learning (PBL) model, and the class that applies the direct learning model. The research population included all fifthgrade students in Cilacap Regency public elementary schools. This research employed a cluster random sampling technique. An experimental method with a 3x3 factorial design was used. The data analysis used two-way ANOVA test with SPSS 21. The results showed that (1) there were differences in the effectiveness of the use of VCT, PBL and direct learning models on the social problem solving skills (FA = 7.176, p = 0.01 &lt; 0.05), (2) there was no difference in the effectiveness between high, moderate and low emotional intelligence on the students' social problem solving skills (FB = 0.35, p = 0.966 &gt; 0.05), and (3) there was no interaction of the effect between the use of VCT, PBL, and the high, medium and low emotional intelligence categories on the students' social problem solving skills (FAB = 0.619, p = 0.649 &gt; 0.05).","container-title":"İlköğretim Online","DOI":"10.17051/ilkonline.2020.734977","ISSN":"1305-3515","language":"en","page":"1751-1767","source":"DOI.org (Crossref)","title":"The effectiveness of value clarification technique (VCT) and problem-based learning (PBL) models on social problem-solving skills viewed from emotional intelligence","author":[{"family":"Ni̇sa","given":"Atsani Rohmatun"},{"family":"Asrowi̇","given":"Asrowi"},{"family":"Murwani̇Ngsi̇H","given":"Tri"}],"issued":{"date-parts":[["2020",6,15]]}}}],"schema":"https://github.com/citation-style-language/schema/raw/master/csl-citation.json"} </w:instrText>
      </w:r>
      <w:r>
        <w:rPr>
          <w:rFonts w:ascii="Times New Roman" w:hAnsi="Times New Roman"/>
          <w:color w:val="FF0000"/>
        </w:rPr>
        <w:fldChar w:fldCharType="separate"/>
      </w:r>
      <w:r w:rsidRPr="0096351A">
        <w:rPr>
          <w:rFonts w:ascii="Times New Roman" w:hAnsi="Times New Roman"/>
          <w:szCs w:val="24"/>
        </w:rPr>
        <w:t>(Ni̇sa et al., 2020)</w:t>
      </w:r>
      <w:r>
        <w:rPr>
          <w:rFonts w:ascii="Times New Roman" w:hAnsi="Times New Roman"/>
          <w:color w:val="FF0000"/>
        </w:rPr>
        <w:fldChar w:fldCharType="end"/>
      </w:r>
      <w:r>
        <w:rPr>
          <w:rFonts w:ascii="Times New Roman" w:hAnsi="Times New Roman"/>
          <w:color w:val="FF0000"/>
        </w:rPr>
        <w:t xml:space="preserve"> </w:t>
      </w:r>
      <w:r w:rsidRPr="002258C5">
        <w:rPr>
          <w:lang w:eastAsia="zh-CN"/>
        </w:rPr>
        <w:t xml:space="preserve">and can build knowledge about how to respect others </w:t>
      </w:r>
      <w:r>
        <w:rPr>
          <w:rFonts w:ascii="Times New Roman" w:hAnsi="Times New Roman"/>
          <w:color w:val="FF0000"/>
        </w:rPr>
        <w:fldChar w:fldCharType="begin"/>
      </w:r>
      <w:r>
        <w:rPr>
          <w:rFonts w:ascii="Times New Roman" w:hAnsi="Times New Roman"/>
          <w:color w:val="FF0000"/>
        </w:rPr>
        <w:instrText xml:space="preserve"> ADDIN ZOTERO_ITEM CSL_CITATION {"citationID":"jllqwJkS","properties":{"formattedCitation":"(Widiana et al., 2022)","plainCitation":"(Widiana et al., 2022)","noteIndex":0},"citationItems":[{"id":1185,"uris":["http://zotero.org/users/5885965/items/TJLF3BIQ"],"itemData":{"id":1185,"type":"article-journal","abstract":"The decline in student character is the result of low student learning outcomes. The common student learning outcomes are influenced by several factors, and one of them is teacher-centered, monotonous learning model. For this reason, it is deemed necessary to conduct research that aims to determine the effect of project-based assessment on values clarification technique (VCT) learning on improving students’ learning outcomes by controlling the family environment. This study uses a 2x2 factorial experimental design. The sample was selected through multistage random sampling with 120 students. The two-way ANCOVA data analysis technique was used to analyze the data. The findings obtained after controlling the family environment are: 1) civics learning outcomes from the group of students who used value clarification techniques are higher than those using conventional learning models and 2) civics learning outcomes from the group of students who were given project-based assessments are higher than the group who are given conventional assessments. Thus, it can be recommended that civics education teachers used appropriate VCT and project-based assessments to improve learning outcomes.","container-title":"European Journal of Educational Research","DOI":"10.12973/eu-jer.11.4.1969","ISSN":"21658714, 21658714","issue":"volume-11-issue-4-october-2022","journalAbbreviation":"EUROPEAN J ED RES","language":"en","page":"1969-1979","source":"DOI.org (Crossref)","title":"The Effect of Project Based Assessment with Value Clarification Technique in Improving Students’ Civics Learning Outcomes by Controlling the Family Environment","volume":"volume-11-2022","author":[{"family":"Widiana","given":"I Wayan"},{"family":"Kertih","given":"I Wayan"},{"family":"Kristiantari","given":"Maria Goreti Rini"},{"family":"Parmiti","given":"Desak Putu"},{"family":"Adijaya","given":"Made Aryawan"}],"issued":{"date-parts":[["2022",10,15]]}}}],"schema":"https://github.com/citation-style-language/schema/raw/master/csl-citation.json"} </w:instrText>
      </w:r>
      <w:r>
        <w:rPr>
          <w:rFonts w:ascii="Times New Roman" w:hAnsi="Times New Roman"/>
          <w:color w:val="FF0000"/>
        </w:rPr>
        <w:fldChar w:fldCharType="separate"/>
      </w:r>
      <w:r w:rsidRPr="0096351A">
        <w:rPr>
          <w:rFonts w:ascii="Times New Roman" w:hAnsi="Times New Roman"/>
        </w:rPr>
        <w:t>(Widiana et al., 2022)</w:t>
      </w:r>
      <w:r>
        <w:rPr>
          <w:rFonts w:ascii="Times New Roman" w:hAnsi="Times New Roman"/>
          <w:color w:val="FF0000"/>
        </w:rPr>
        <w:fldChar w:fldCharType="end"/>
      </w:r>
      <w:r>
        <w:rPr>
          <w:lang w:eastAsia="zh-CN"/>
        </w:rPr>
        <w:t xml:space="preserve">. </w:t>
      </w:r>
      <w:r w:rsidRPr="002258C5">
        <w:rPr>
          <w:lang w:eastAsia="zh-CN"/>
        </w:rPr>
        <w:t xml:space="preserve">Therefore, it is important to improve value learning in students. The results of this study contradict </w:t>
      </w:r>
      <w:proofErr w:type="spellStart"/>
      <w:r w:rsidRPr="002258C5">
        <w:rPr>
          <w:lang w:eastAsia="zh-CN"/>
        </w:rPr>
        <w:t>Ige's</w:t>
      </w:r>
      <w:proofErr w:type="spellEnd"/>
      <w:r w:rsidRPr="002258C5">
        <w:rPr>
          <w:lang w:eastAsia="zh-CN"/>
        </w:rPr>
        <w:t xml:space="preserve"> opinion that value clarification learning is ineffective in teaching ICT concepts</w:t>
      </w:r>
      <w:r>
        <w:rPr>
          <w:lang w:eastAsia="zh-CN"/>
        </w:rPr>
        <w:t xml:space="preserve"> </w:t>
      </w:r>
      <w:r>
        <w:rPr>
          <w:rFonts w:ascii="Times New Roman" w:hAnsi="Times New Roman"/>
        </w:rPr>
        <w:fldChar w:fldCharType="begin"/>
      </w:r>
      <w:r>
        <w:rPr>
          <w:rFonts w:ascii="Times New Roman" w:hAnsi="Times New Roman"/>
        </w:rPr>
        <w:instrText xml:space="preserve"> ADDIN ZOTERO_ITEM CSL_CITATION {"citationID":"HSfwl51c","properties":{"formattedCitation":"(Ige, 2019)","plainCitation":"(Ige, 2019)","noteIndex":0},"citationItems":[{"id":1173,"uris":["http://zotero.org/users/5885965/items/TTE63KZB"],"itemData":{"id":1173,"type":"article-journal","container-title":"Journal of Social Studies Education Research","title":"Using Action Learning, Concept-Mapping, and Value Clarification to Improve Students' Attainment in ICT Concepts in Social Studies: The Case of Rural Learning Ecologies","URL":"www.jsser.org","author":[{"family":"Ige","given":"Olugbenga"}],"issued":{"date-parts":[["2019"]]}}}],"schema":"https://github.com/citation-style-language/schema/raw/master/csl-citation.json"} </w:instrText>
      </w:r>
      <w:r>
        <w:rPr>
          <w:rFonts w:ascii="Times New Roman" w:hAnsi="Times New Roman"/>
        </w:rPr>
        <w:fldChar w:fldCharType="separate"/>
      </w:r>
      <w:r w:rsidRPr="00F02C0E">
        <w:rPr>
          <w:rFonts w:ascii="Times New Roman" w:hAnsi="Times New Roman"/>
        </w:rPr>
        <w:t>(</w:t>
      </w:r>
      <w:proofErr w:type="spellStart"/>
      <w:r w:rsidRPr="00F02C0E">
        <w:rPr>
          <w:rFonts w:ascii="Times New Roman" w:hAnsi="Times New Roman"/>
        </w:rPr>
        <w:t>Ige</w:t>
      </w:r>
      <w:proofErr w:type="spellEnd"/>
      <w:r w:rsidRPr="00F02C0E">
        <w:rPr>
          <w:rFonts w:ascii="Times New Roman" w:hAnsi="Times New Roman"/>
        </w:rPr>
        <w:t>, 2019)</w:t>
      </w:r>
      <w:r>
        <w:rPr>
          <w:rFonts w:ascii="Times New Roman" w:hAnsi="Times New Roman"/>
        </w:rPr>
        <w:fldChar w:fldCharType="end"/>
      </w:r>
      <w:r w:rsidRPr="002258C5">
        <w:rPr>
          <w:lang w:eastAsia="zh-CN"/>
        </w:rPr>
        <w:t>.</w:t>
      </w:r>
    </w:p>
    <w:p w14:paraId="06A5F7D6" w14:textId="37FC9EBB" w:rsidR="00A0007B" w:rsidRPr="004841C5" w:rsidRDefault="00A0007B" w:rsidP="002258C5">
      <w:pPr>
        <w:pStyle w:val="Alishlah31text"/>
      </w:pPr>
      <w:r>
        <w:t>Moral development in students is a critical component of education, influencing their behavior, decision-making, and overall character formation (Nucci, 2014). Traditionally, moral education has focused on direct instruction and normative frameworks. However, these methods often fail to engage students in meaningful ways, leading to a gap between moral knowledge and moral action.</w:t>
      </w:r>
    </w:p>
    <w:p w14:paraId="28C8AFE7" w14:textId="4D2B5CC4" w:rsidR="002B31FD" w:rsidRPr="004841C5" w:rsidRDefault="002B31FD" w:rsidP="002B31FD">
      <w:pPr>
        <w:pStyle w:val="Alishlah22heading2"/>
      </w:pPr>
      <w:r w:rsidRPr="004841C5">
        <w:t xml:space="preserve">2.3. </w:t>
      </w:r>
      <w:r w:rsidR="002258C5" w:rsidRPr="002258C5">
        <w:t>The Influence of Locus of Control on Students' Moral Development</w:t>
      </w:r>
    </w:p>
    <w:p w14:paraId="54B7A6EA" w14:textId="77777777" w:rsidR="007B19F0" w:rsidRDefault="002258C5" w:rsidP="007B19F0">
      <w:pPr>
        <w:pStyle w:val="Alishlah31text"/>
      </w:pPr>
      <w:r w:rsidRPr="002258C5">
        <w:t xml:space="preserve">The results of the study showed that locus of control affects the moral development of students. With good self-control, students will understand themselves better and be responsible for their morals </w:t>
      </w:r>
      <w:r w:rsidRPr="002258C5">
        <w:lastRenderedPageBreak/>
        <w:t>so that students can measure what they do with the response that will be received later. Therefore, the high locus of control of students will have a good impact on their moral development</w:t>
      </w:r>
      <w:r w:rsidR="008176CC">
        <w:t xml:space="preserve"> </w:t>
      </w:r>
      <w:r w:rsidR="008176CC">
        <w:rPr>
          <w:rFonts w:ascii="Times New Roman" w:hAnsi="Times New Roman"/>
        </w:rPr>
        <w:fldChar w:fldCharType="begin"/>
      </w:r>
      <w:r w:rsidR="008176CC">
        <w:rPr>
          <w:rFonts w:ascii="Times New Roman" w:hAnsi="Times New Roman"/>
        </w:rPr>
        <w:instrText xml:space="preserve"> ADDIN ZOTERO_ITEM CSL_CITATION {"citationID":"V1akOG9C","properties":{"formattedCitation":"(Kolmakova &amp; Shalkov, 2021)","plainCitation":"(Kolmakova &amp; Shalkov, 2021)","noteIndex":0},"citationItems":[{"id":1179,"uris":["http://zotero.org/users/5885965/items/BJ9YTVFG"],"itemData":{"id":1179,"type":"article-journal","abstract":"The article examines the features of the expression of psychoemotional conflict within a person within the framework of external and internal loci of control through the creation of graphic art objects. The authors argue that communicative strategies for resolving problems in stressful situations and seeking social support are associated with the question of the individual's ability to independently solve emerging problem situations and find internal resources to overcome them by releasing psychoemotional stress, based on the structure of the cognitive sphere of a person, the characteristics of his perception and thinking. Typical external semantics of graffiti consists in an attempt to convince others of the hopelessness of being. The internal locus of control is associated with the conceptual sphere of social activity and is embodied in a wide variety of imperative forms, including a call, order, request, advice, and so on. In other words, the psycho-hermeneutics of graffiti is conditioned, on the one hand, by communicative and pragmatic strategies of social empathy (internal locus of control), and, on the other hand, by the conflict of the individual with society and the desire for spiritual and moral escapism, escape from reality to self-isolation and loneliness (external locus of control). The study proposes a classification of graphic art objects, which is based on the form of public expression of the individual's inner world, which is associated with the implementation of the compensatorypragmatic function of graffiti as a universal code of modern urban communication.","container-title":"E3S Web of Conferences","DOI":"10.1051/e3sconf/202127311021","ISSN":"2267-1242","journalAbbreviation":"E3S Web Conf.","language":"en","license":"https://creativecommons.org/licenses/by/4.0/","page":"11021","source":"DOI.org (Crossref)","title":"Psychohermeneutics of graffiti: external and internal loci of control","title-short":"Psychohermeneutics of graffiti","volume":"273","author":[{"family":"Kolmakova","given":"Valentina"},{"family":"Shalkov","given":"Denis"}],"editor":[{"family":"Rudoy","given":"D."},{"family":"Olshevskaya","given":"A."},{"family":"Ugrekhelidze","given":"N."}],"issued":{"date-parts":[["2021"]]}}}],"schema":"https://github.com/citation-style-language/schema/raw/master/csl-citation.json"} </w:instrText>
      </w:r>
      <w:r w:rsidR="008176CC">
        <w:rPr>
          <w:rFonts w:ascii="Times New Roman" w:hAnsi="Times New Roman"/>
        </w:rPr>
        <w:fldChar w:fldCharType="separate"/>
      </w:r>
      <w:r w:rsidR="008176CC" w:rsidRPr="00343CC1">
        <w:rPr>
          <w:rFonts w:ascii="Times New Roman" w:hAnsi="Times New Roman"/>
        </w:rPr>
        <w:t>(Kolmakova &amp; Shalkov, 2021)</w:t>
      </w:r>
      <w:r w:rsidR="008176CC">
        <w:rPr>
          <w:rFonts w:ascii="Times New Roman" w:hAnsi="Times New Roman"/>
        </w:rPr>
        <w:fldChar w:fldCharType="end"/>
      </w:r>
      <w:r w:rsidR="008176CC">
        <w:t xml:space="preserve">. </w:t>
      </w:r>
      <w:r w:rsidRPr="002258C5">
        <w:t xml:space="preserve">This is in accordance with </w:t>
      </w:r>
      <w:proofErr w:type="spellStart"/>
      <w:r w:rsidRPr="002258C5">
        <w:t>Yuniawati's</w:t>
      </w:r>
      <w:proofErr w:type="spellEnd"/>
      <w:r w:rsidRPr="002258C5">
        <w:t xml:space="preserve"> research (2024) that the better the student's locus of control, the better their financial behavior. In addition, the application of locus of control can be used as a component of self-evaluation, so that it has an influence on a person's behavior </w:t>
      </w:r>
      <w:r w:rsidR="008176CC" w:rsidRPr="008176CC">
        <w:fldChar w:fldCharType="begin"/>
      </w:r>
      <w:r w:rsidR="008176CC" w:rsidRPr="008176CC">
        <w:instrText xml:space="preserve"> ADDIN ZOTERO_ITEM CSL_CITATION {"citationID":"fNhR7NFB","properties":{"formattedCitation":"(Galvin et al., 2018)","plainCitation":"(Galvin et al., 2018)","noteIndex":0},"citationItems":[{"id":1154,"uris":["http://zotero.org/users/5885965/items/NYN2VQLH"],"itemData":{"id":1154,"type":"article-journal","abstract":"Locus of control—a fundamental individual difference variable that reflects individuals' beliefs about the degree of control they have over events in their lives—has been formally studied for more than 50 years. Early scholarship demonstrated that locus of control was a key predictor of various work‐related outcomes, ranging from job attitudes and affect to motivation and behavior. Despite this evidence, the majority of contemporary organizational research has moved away from examining locus of control as an independent construct. Instead, locus of control is now commonly examined as a component of core self‐evaluation. However, recent research suggests that locus of control is in fact an independent, distinct concept and that core selfevaluation research should continue without incorporating locus of control in future work. This presents an opportunity to theoretically review locus of control as a distinct construct and explicate its salient characteristics. Accordingly, this review aims to further clarify the construct of locus of control, provide a foundation upon which research may build, and elucidate fruitful avenues for future research.","container-title":"Journal of Organizational Behavior","DOI":"10.1002/job.2275","ISSN":"0894-3796, 1099-1379","issue":"7","journalAbbreviation":"J Organ Behavior","language":"en","page":"820-833","source":"DOI.org (Crossref)","title":"Changing the focus of locus (of control): A targeted review of the locus of control literature and agenda for future research","title-short":"Changing the focus of locus (of control)","volume":"39","author":[{"family":"Galvin","given":"Benjamin M."},{"family":"Randel","given":"Amy E."},{"family":"Collins","given":"Brian J."},{"family":"Johnson","given":"Russell E."}],"issued":{"date-parts":[["2018",9]]}}}],"schema":"https://github.com/citation-style-language/schema/raw/master/csl-citation.json"} </w:instrText>
      </w:r>
      <w:r w:rsidR="008176CC" w:rsidRPr="008176CC">
        <w:fldChar w:fldCharType="separate"/>
      </w:r>
      <w:r w:rsidR="008176CC" w:rsidRPr="008176CC">
        <w:t>(Galvin et al., 2018)</w:t>
      </w:r>
      <w:r w:rsidR="008176CC" w:rsidRPr="008176CC">
        <w:fldChar w:fldCharType="end"/>
      </w:r>
      <w:r w:rsidR="008176CC">
        <w:rPr>
          <w:rFonts w:ascii="Times New Roman" w:hAnsi="Times New Roman"/>
        </w:rPr>
        <w:t xml:space="preserve">. </w:t>
      </w:r>
      <w:r w:rsidRPr="002258C5">
        <w:t xml:space="preserve">However, the application of locus of control must be carried out consistently, so that the influence on a person's morals </w:t>
      </w:r>
      <w:r w:rsidR="008176CC" w:rsidRPr="008176CC">
        <w:fldChar w:fldCharType="begin"/>
      </w:r>
      <w:r w:rsidR="008176CC" w:rsidRPr="008176CC">
        <w:instrText xml:space="preserve"> ADDIN ZOTERO_ITEM CSL_CITATION {"citationID":"JpQEdkBC","properties":{"formattedCitation":"(Tahrir et al., 2020)","plainCitation":"(Tahrir et al., 2020)","noteIndex":0},"citationItems":[{"id":1165,"uris":["http://zotero.org/users/5885965/items/4FA2TC7I"],"itemData":{"id":1165,"type":"article-journal","abstract":"The background of this research is the inconsistency of the results of previous research about the factors that influence moral disengagement. This study aims to determine the role of critical thinking as a mediator of the influence of internal locus of control on student moral disengagement. The population in this study were 1560 students of the State Islamic University (UIN) Sunan Gunung Djati Bandung who lived in boarding schools around the campus with a total of 300 respondents taken randomly. Data collection uses internal locus of control (ILoC), critical thinking (CT), and moral disengagement (MD) scales. Based on structural test results it is known that internal locus of control has a positive and significant effect on critical thinking, internal locus of control has a negative and significant effect on moral disengagement, and critical thinking has a negatif and significant effect on moral disengagement. The results of the model test with structural equation model (SEM) show that critical thinking plays a negative and significant role as a mediator between the influence of internal locus of control on moral disengagement.","container-title":"International Journal of Instruction","DOI":"10.29333/iji.2020.1312a","ISSN":"1694609X, 13081470","issue":"1","journalAbbreviation":"INT J INSTRUCTION","language":"en","page":"17-34","source":"DOI.org (Crossref)","title":"The Role of Critical Thinking as a Mediator Variable in the Effect of Internal Locus of Control on Moral Disengagement","volume":"13","author":[{"family":"Tahrir","given":"Tahrir"},{"family":"Nurdin","given":"Farid Soleh"},{"literal":"Universitas Islam Negeri Sunan Gunung Djati, Indonesia, farid.s.nurdin@uinsgd.ac.id"},{"family":"Damayanti","given":"Ida Royani"},{"literal":"Sekolah Tinggi Ilmu Sosial dan Ilmu Politik, Indonesia, idamayanti.s3.yai@gmail.com"}],"issued":{"date-parts":[["2020",1,3]]}}}],"schema":"https://github.com/citation-style-language/schema/raw/master/csl-citation.json"} </w:instrText>
      </w:r>
      <w:r w:rsidR="008176CC" w:rsidRPr="008176CC">
        <w:fldChar w:fldCharType="separate"/>
      </w:r>
      <w:r w:rsidR="008176CC" w:rsidRPr="008176CC">
        <w:t>(Tahrir et al., 2020)</w:t>
      </w:r>
      <w:r w:rsidR="008176CC" w:rsidRPr="008176CC">
        <w:fldChar w:fldCharType="end"/>
      </w:r>
      <w:r w:rsidRPr="002258C5">
        <w:t xml:space="preserve">, responsibility </w:t>
      </w:r>
      <w:r w:rsidR="008176CC" w:rsidRPr="008176CC">
        <w:fldChar w:fldCharType="begin"/>
      </w:r>
      <w:r w:rsidR="008176CC" w:rsidRPr="008176CC">
        <w:instrText xml:space="preserve"> ADDIN ZOTERO_ITEM CSL_CITATION {"citationID":"TlSfRDBW","properties":{"formattedCitation":"(Devereux et al., 2021)","plainCitation":"(Devereux et al., 2021)","noteIndex":0},"citationItems":[{"id":1183,"uris":["http://zotero.org/users/5885965/items/SXIZ6KFG"],"itemData":{"id":1183,"type":"article-journal","abstract":"We examined relationships between moral disengagement, locus of control, and just world beliefs and adherence to COVID-19 containment measures. We predicted that these individual differences would be more influential for adherence than beliefs about the pandemic (e.g., its origins and one's perceived susceptibility to infection). COVID-19-related measures of these three individual differences were each significantly associated with adherence even after controlling for demographics and pandemic beliefs although beliefs about the severity of the virus and the benefits of containment measures also significantly related to adherence. Beliefs were asso­ ciated with the individual difference measures and political orientation. Moral disengagement, the strongest individual difference predictor, was associated with lower support for each pandemic containment precaution (e. g., mask wearing). These results can be used to frame messages to increase adherence to public health measures.","container-title":"Personality and Individual Differences","DOI":"10.1016/j.paid.2021.111069","ISSN":"01918869","journalAbbreviation":"Personality and Individual Differences","language":"en","page":"111069","source":"DOI.org (Crossref)","title":"Moral disengagement, locus of control, and belief in a just world: Individual differences relate to adherence to COVID-19 guidelines","title-short":"Moral disengagement, locus of control, and belief in a just world","volume":"182","author":[{"family":"Devereux","given":"Paul G."},{"family":"Miller","given":"Monica K."},{"family":"Kirshenbaum","given":"Jacqueline M."}],"issued":{"date-parts":[["2021",11]]}}}],"schema":"https://github.com/citation-style-language/schema/raw/master/csl-citation.json"} </w:instrText>
      </w:r>
      <w:r w:rsidR="008176CC" w:rsidRPr="008176CC">
        <w:fldChar w:fldCharType="separate"/>
      </w:r>
      <w:r w:rsidR="008176CC" w:rsidRPr="008176CC">
        <w:t>(Devereux et al., 2021)</w:t>
      </w:r>
      <w:r w:rsidR="008176CC" w:rsidRPr="008176CC">
        <w:fldChar w:fldCharType="end"/>
      </w:r>
      <w:r w:rsidR="008176CC" w:rsidRPr="002258C5">
        <w:t xml:space="preserve"> </w:t>
      </w:r>
      <w:r w:rsidRPr="002258C5">
        <w:t>and well-being</w:t>
      </w:r>
      <w:r w:rsidR="008176CC">
        <w:t xml:space="preserve"> </w:t>
      </w:r>
      <w:r w:rsidRPr="002258C5">
        <w:t>is better</w:t>
      </w:r>
      <w:r w:rsidR="008176CC">
        <w:t xml:space="preserve"> </w:t>
      </w:r>
      <w:r w:rsidR="008176CC" w:rsidRPr="008176CC">
        <w:fldChar w:fldCharType="begin"/>
      </w:r>
      <w:r w:rsidR="008176CC" w:rsidRPr="008176CC">
        <w:instrText xml:space="preserve"> ADDIN ZOTERO_ITEM CSL_CITATION {"citationID":"hl4V4ysA","properties":{"formattedCitation":"(Guo et al., 2021)","plainCitation":"(Guo et al., 2021)","noteIndex":0},"citationItems":[{"id":1181,"uris":["http://zotero.org/users/5885965/items/JG869DB9"],"itemData":{"id":1181,"type":"article-journal","abstract":"Ancient philosophers suggested that good moral virtues lead to well-being. But this proposition has seldom been tested empirically. Based on extant literature we proposed a negative association between moral disengagement and well-being which was mediated by prosocial engagement. And chance locus of control was suggested as an antecedent of moral disengagement. We constructed a serial multiple mediation model (chance locus of control </w:instrText>
      </w:r>
      <w:r w:rsidR="008176CC" w:rsidRPr="008176CC">
        <w:rPr>
          <w:rFonts w:ascii="Times New Roman" w:hAnsi="Times New Roman"/>
        </w:rPr>
        <w:instrText>→</w:instrText>
      </w:r>
      <w:r w:rsidR="008176CC" w:rsidRPr="008176CC">
        <w:instrText xml:space="preserve"> moral disengagement </w:instrText>
      </w:r>
      <w:r w:rsidR="008176CC" w:rsidRPr="008176CC">
        <w:rPr>
          <w:rFonts w:ascii="Times New Roman" w:hAnsi="Times New Roman"/>
        </w:rPr>
        <w:instrText>→</w:instrText>
      </w:r>
      <w:r w:rsidR="008176CC" w:rsidRPr="008176CC">
        <w:instrText xml:space="preserve"> prosocial behavior </w:instrText>
      </w:r>
      <w:r w:rsidR="008176CC" w:rsidRPr="008176CC">
        <w:rPr>
          <w:rFonts w:ascii="Times New Roman" w:hAnsi="Times New Roman"/>
        </w:rPr>
        <w:instrText>→</w:instrText>
      </w:r>
      <w:r w:rsidR="008176CC" w:rsidRPr="008176CC">
        <w:instrText xml:space="preserve"> well-being) to examine the relationships among research variables. Chinese undergraduates (n = 508, aged 17–24 years) completed self-reported measures of chance locus of control, moral disengagement, prosocial behavior, hedonic well-being, spiritual well-being, and general health. Results showed that chance locus of control was predictive of moral disengagement, which in turn was associated with less positive emotion, more negative emotion, poorer spiritual well-being, and poorer general health via less prosocial engagement. These findings suggest that moral disengagement may originate from the beliefs that success or failure depends on fate or chance, and that people who tend to shirk ethical responsibility have less chance to reap well-being benefits from prosocial engagement.","container-title":"Personality and Individual Differences","DOI":"10.1016/j.paid.2020.110489","ISSN":"01918869","journalAbbreviation":"Personality and Individual Differences","language":"en","page":"110489","source":"DOI.org (Crossref)","title":"Chance locus of control predicts moral disengagement which decreases well-being","volume":"171","author":[{"family":"Guo","given":"Qingke"},{"family":"Guo","given":"Yakang"},{"family":"Qiao","given":"Xiuqing"},{"family":"Leng","given":"Jie"},{"family":"Lv","given":"Yiqing"}],"issued":{"date-parts":[["2021",3]]}}}],"schema":"https://github.com/citation-style-language/schema/raw/master/csl-citation.json"} </w:instrText>
      </w:r>
      <w:r w:rsidR="008176CC" w:rsidRPr="008176CC">
        <w:fldChar w:fldCharType="separate"/>
      </w:r>
      <w:r w:rsidR="008176CC" w:rsidRPr="008176CC">
        <w:t>(Guo et al., 2021)</w:t>
      </w:r>
      <w:r w:rsidR="008176CC" w:rsidRPr="008176CC">
        <w:fldChar w:fldCharType="end"/>
      </w:r>
      <w:r w:rsidRPr="002258C5">
        <w:t>.</w:t>
      </w:r>
    </w:p>
    <w:p w14:paraId="4FA4811A" w14:textId="6E5BA021" w:rsidR="007B19F0" w:rsidRPr="004841C5" w:rsidRDefault="007B19F0" w:rsidP="007B19F0">
      <w:pPr>
        <w:pStyle w:val="Alishlah31text"/>
      </w:pPr>
      <w:r w:rsidRPr="007B19F0">
        <w:t>Recent educational strategies emphasize active learning and personal reflection, such as value clarification, which encourages students to explore and affirm their own values through guided discussions and activities</w:t>
      </w:r>
      <w:r w:rsidR="00F34AA1">
        <w:t xml:space="preserve">. </w:t>
      </w:r>
      <w:r w:rsidRPr="007B19F0">
        <w:t>Additionally, the concept of locus of control, which pertains to individuals' beliefs about the extent of control they have over their lives, has been shown to influence moral development</w:t>
      </w:r>
      <w:r w:rsidR="00F34AA1">
        <w:t xml:space="preserve">. </w:t>
      </w:r>
      <w:r w:rsidRPr="007B19F0">
        <w:t>Students with an internal locus of control, who believe they can influence their outcomes, are generally more proactive and responsible in their moral decision-making (</w:t>
      </w:r>
      <w:proofErr w:type="spellStart"/>
      <w:r w:rsidRPr="007B19F0">
        <w:t>Tjosvold</w:t>
      </w:r>
      <w:proofErr w:type="spellEnd"/>
      <w:r w:rsidRPr="007B19F0">
        <w:t xml:space="preserve"> &amp; Sun, 2002).</w:t>
      </w:r>
    </w:p>
    <w:p w14:paraId="43C061E6" w14:textId="77777777" w:rsidR="005B5AEC" w:rsidRPr="00723B12" w:rsidRDefault="005B5AEC" w:rsidP="002A02C2">
      <w:pPr>
        <w:pStyle w:val="Alishlah21heading1"/>
        <w:rPr>
          <w:rFonts w:eastAsia="Arial"/>
        </w:rPr>
      </w:pPr>
      <w:r w:rsidRPr="00723B12">
        <w:rPr>
          <w:rFonts w:eastAsia="Arial"/>
        </w:rPr>
        <w:t xml:space="preserve">CONCLUSION </w:t>
      </w:r>
    </w:p>
    <w:p w14:paraId="4C3B3B00" w14:textId="45DEF31F" w:rsidR="0067202D" w:rsidRDefault="0067202D" w:rsidP="002B31FD">
      <w:pPr>
        <w:pStyle w:val="Alishlah62Acknowledgments"/>
        <w:rPr>
          <w:sz w:val="20"/>
          <w:szCs w:val="22"/>
        </w:rPr>
      </w:pPr>
      <w:r w:rsidRPr="0067202D">
        <w:rPr>
          <w:sz w:val="20"/>
          <w:szCs w:val="22"/>
        </w:rPr>
        <w:t>Value Clarification Learning has a positive effect on students' moral development, as evidenced by a significance value of more than 0.05. This method increases students' enthusiasm for active learning and helps them instill values ​​in their daily lives, motivates them to explore information and dare to voice their opinions. Research shows that this approach is effective in developing self-values, moral judgment, decision-making, and respect for others.</w:t>
      </w:r>
      <w:r>
        <w:rPr>
          <w:sz w:val="20"/>
          <w:szCs w:val="22"/>
        </w:rPr>
        <w:t xml:space="preserve"> </w:t>
      </w:r>
      <w:r w:rsidRPr="0067202D">
        <w:rPr>
          <w:sz w:val="20"/>
          <w:szCs w:val="22"/>
        </w:rPr>
        <w:t>Locus of control also has a positive effect on students' moral development. With good self-control, students understand themselves better and are responsible for their morals. Research shows that a high locus of control improves financial behavior and well-being. Consistency in the application of locus of control is important for a positive impact on morals, responsibility, and well-being.</w:t>
      </w:r>
    </w:p>
    <w:p w14:paraId="681AF2D1" w14:textId="77777777" w:rsidR="005B5AEC" w:rsidRDefault="005B5AEC" w:rsidP="002A02C2">
      <w:pPr>
        <w:pStyle w:val="Alishlah21heading1"/>
        <w:numPr>
          <w:ilvl w:val="0"/>
          <w:numId w:val="0"/>
        </w:numPr>
        <w:rPr>
          <w:rFonts w:eastAsia="Arial"/>
        </w:rPr>
      </w:pPr>
      <w:r w:rsidRPr="00723B12">
        <w:rPr>
          <w:rFonts w:eastAsia="Arial"/>
        </w:rPr>
        <w:t>REFERENCES</w:t>
      </w:r>
    </w:p>
    <w:p w14:paraId="2FC93A19" w14:textId="77777777" w:rsidR="00CC62B8" w:rsidRDefault="00CC62B8" w:rsidP="00CC62B8">
      <w:pPr>
        <w:pStyle w:val="Alishlah71References"/>
      </w:pPr>
      <w:r w:rsidRPr="00CC62B8">
        <w:t>Agus, Zaenul Fitri. (2012). Pendidikan Karakter Berbasis Nilai dan Etika di Sekolah. Jakarta: Ar-Ruzz Media.</w:t>
      </w:r>
    </w:p>
    <w:p w14:paraId="619AB787" w14:textId="77777777" w:rsidR="00CC62B8" w:rsidRDefault="00CC62B8" w:rsidP="00CC62B8">
      <w:pPr>
        <w:pStyle w:val="Alishlah71References"/>
      </w:pPr>
      <w:r w:rsidRPr="00CC62B8">
        <w:rPr>
          <w:rFonts w:cstheme="minorBidi"/>
        </w:rPr>
        <w:fldChar w:fldCharType="begin"/>
      </w:r>
      <w:r w:rsidRPr="00CC62B8">
        <w:instrText xml:space="preserve"> ADDIN ZOTERO_BIBL {"uncited":[],"omitted":[],"custom":[]} CSL_BIBLIOGRAPHY </w:instrText>
      </w:r>
      <w:r w:rsidRPr="00CC62B8">
        <w:rPr>
          <w:rFonts w:cstheme="minorBidi"/>
        </w:rPr>
        <w:fldChar w:fldCharType="separate"/>
      </w:r>
      <w:r w:rsidRPr="00CC62B8">
        <w:t xml:space="preserve">Azmi, S., Degeng, I. N. S., Kamdi, W., Setyosari, P., &amp; Wiyono, S. (2018). The Effect Of Value Clarification Learning Strategies And Social Inquiry On Concept Comprehension And Student Tolerance Attitudes With Different Cognitive Style. </w:t>
      </w:r>
      <w:r w:rsidRPr="00CC62B8">
        <w:rPr>
          <w:i/>
          <w:iCs/>
        </w:rPr>
        <w:t>International Journal of Civil Engineering and Technology (IJCIET)</w:t>
      </w:r>
      <w:r w:rsidRPr="00CC62B8">
        <w:t xml:space="preserve">, </w:t>
      </w:r>
      <w:r w:rsidRPr="00CC62B8">
        <w:rPr>
          <w:i/>
          <w:iCs/>
        </w:rPr>
        <w:t>9</w:t>
      </w:r>
      <w:r w:rsidRPr="00CC62B8">
        <w:t>(11).</w:t>
      </w:r>
    </w:p>
    <w:p w14:paraId="68A2B312" w14:textId="77777777" w:rsidR="00CC62B8" w:rsidRDefault="00CC62B8" w:rsidP="00CC62B8">
      <w:pPr>
        <w:pStyle w:val="Alishlah71References"/>
      </w:pPr>
      <w:r w:rsidRPr="00CC62B8">
        <w:t xml:space="preserve">Dabdoub, J. P. (2021). Apuntes para una historia de la Clarificación de valores: Origen, desarrollo, declive y reflexiones. </w:t>
      </w:r>
      <w:r w:rsidRPr="00CC62B8">
        <w:rPr>
          <w:i/>
          <w:iCs/>
        </w:rPr>
        <w:t>Revista Española de Pedagogía</w:t>
      </w:r>
      <w:r w:rsidRPr="00CC62B8">
        <w:t xml:space="preserve">, </w:t>
      </w:r>
      <w:r w:rsidRPr="00CC62B8">
        <w:rPr>
          <w:i/>
          <w:iCs/>
        </w:rPr>
        <w:t>79</w:t>
      </w:r>
      <w:r w:rsidRPr="00CC62B8">
        <w:t>(279). https://doi.org/10.22550/REP79-2-2021-06</w:t>
      </w:r>
    </w:p>
    <w:p w14:paraId="567766C0" w14:textId="77777777" w:rsidR="00CC62B8" w:rsidRDefault="00CC62B8" w:rsidP="00CC62B8">
      <w:pPr>
        <w:pStyle w:val="Alishlah71References"/>
      </w:pPr>
      <w:r w:rsidRPr="00CC62B8">
        <w:t xml:space="preserve">Devereux, P. G., Miller, M. K., &amp; Kirshenbaum, J. M. (2021). Moral disengagement, locus of control, and belief in a just world: Individual differences relate to adherence to COVID-19 guidelines. </w:t>
      </w:r>
      <w:r w:rsidRPr="00CC62B8">
        <w:rPr>
          <w:i/>
          <w:iCs/>
        </w:rPr>
        <w:t>Personality and Individual Differences</w:t>
      </w:r>
      <w:r w:rsidRPr="00CC62B8">
        <w:t xml:space="preserve">, </w:t>
      </w:r>
      <w:r w:rsidRPr="00CC62B8">
        <w:rPr>
          <w:i/>
          <w:iCs/>
        </w:rPr>
        <w:t>182</w:t>
      </w:r>
      <w:r w:rsidRPr="00CC62B8">
        <w:t>, 111069. https://doi.org/10.1016/j.paid.2021.111069</w:t>
      </w:r>
    </w:p>
    <w:p w14:paraId="52E17AEA" w14:textId="77777777" w:rsidR="00CC62B8" w:rsidRDefault="00CC62B8" w:rsidP="00CC62B8">
      <w:pPr>
        <w:pStyle w:val="Alishlah71References"/>
      </w:pPr>
      <w:r w:rsidRPr="00CC62B8">
        <w:t xml:space="preserve">Galvin, B. M., Randel, A. E., Collins, B. J., &amp; Johnson, R. E. (2018). Changing the focus of locus (of control): A targeted review of the locus of control literature and agenda for future research. </w:t>
      </w:r>
      <w:r w:rsidRPr="00CC62B8">
        <w:rPr>
          <w:i/>
          <w:iCs/>
        </w:rPr>
        <w:t>Journal of Organizational Behavior</w:t>
      </w:r>
      <w:r w:rsidRPr="00CC62B8">
        <w:t xml:space="preserve">, </w:t>
      </w:r>
      <w:r w:rsidRPr="00CC62B8">
        <w:rPr>
          <w:i/>
          <w:iCs/>
        </w:rPr>
        <w:t>39</w:t>
      </w:r>
      <w:r w:rsidRPr="00CC62B8">
        <w:t>(7), 820–833. https://doi.org/10.1002/job.2275</w:t>
      </w:r>
    </w:p>
    <w:p w14:paraId="4BADD88C" w14:textId="77777777" w:rsidR="00CC62B8" w:rsidRDefault="00CC62B8" w:rsidP="00CC62B8">
      <w:pPr>
        <w:pStyle w:val="Alishlah71References"/>
      </w:pPr>
      <w:r w:rsidRPr="00CC62B8">
        <w:t xml:space="preserve">Guo, Q., Guo, Y., Qiao, X., Leng, J., &amp; Lv, Y. (2021). Chance locus of control predicts moral disengagement which decreases well-being. </w:t>
      </w:r>
      <w:r w:rsidRPr="00CC62B8">
        <w:rPr>
          <w:i/>
          <w:iCs/>
        </w:rPr>
        <w:t>Personality and Individual Differences</w:t>
      </w:r>
      <w:r w:rsidRPr="00CC62B8">
        <w:t xml:space="preserve">, </w:t>
      </w:r>
      <w:r w:rsidRPr="00CC62B8">
        <w:rPr>
          <w:i/>
          <w:iCs/>
        </w:rPr>
        <w:t>171</w:t>
      </w:r>
      <w:r w:rsidRPr="00CC62B8">
        <w:t>, 110489. https://doi.org/10.1016/j.paid.2020.110489</w:t>
      </w:r>
    </w:p>
    <w:p w14:paraId="797F8631" w14:textId="77777777" w:rsidR="00CC62B8" w:rsidRDefault="00CC62B8" w:rsidP="00CC62B8">
      <w:pPr>
        <w:pStyle w:val="Alishlah71References"/>
      </w:pPr>
      <w:r w:rsidRPr="00CC62B8">
        <w:t xml:space="preserve">Halimah, S., Lubis, Z., &amp; Nasution, S. N. (2020). The Effect of Value Clarification Technique Learning Models and Learning Styles on the Achievement Learning Outcomes of Class VIII MTs Al-Hasanah Tanjung Leidong, Labura District. </w:t>
      </w:r>
      <w:r w:rsidRPr="00CC62B8">
        <w:rPr>
          <w:i/>
          <w:iCs/>
        </w:rPr>
        <w:t>Budapest International Research and Critics in Linguistics and Education (BirLE) Journal</w:t>
      </w:r>
      <w:r w:rsidRPr="00CC62B8">
        <w:t xml:space="preserve">, </w:t>
      </w:r>
      <w:r w:rsidRPr="00CC62B8">
        <w:rPr>
          <w:i/>
          <w:iCs/>
        </w:rPr>
        <w:t>3</w:t>
      </w:r>
      <w:r w:rsidRPr="00CC62B8">
        <w:t>(3), 1371–1377. https://doi.org/10.33258/birle.v3i3.1189</w:t>
      </w:r>
      <w:r>
        <w:t>.</w:t>
      </w:r>
    </w:p>
    <w:p w14:paraId="392357C1" w14:textId="77777777" w:rsidR="00CC62B8" w:rsidRDefault="00CC62B8" w:rsidP="00CC62B8">
      <w:pPr>
        <w:pStyle w:val="Alishlah71References"/>
      </w:pPr>
      <w:r w:rsidRPr="00CC62B8">
        <w:lastRenderedPageBreak/>
        <w:t xml:space="preserve">Ige, O. (2019). Using Action Learning, Concept-Mapping, and Value Clarification to Improve Students’ Attainment in ICT Concepts in Social Studies: The Case of Rural Learning Ecologies. </w:t>
      </w:r>
      <w:r w:rsidRPr="00CC62B8">
        <w:rPr>
          <w:i/>
          <w:iCs/>
        </w:rPr>
        <w:t>Journal of Social Studies Education Research</w:t>
      </w:r>
      <w:r w:rsidRPr="00CC62B8">
        <w:t>. www.jsser.org</w:t>
      </w:r>
      <w:r>
        <w:t>.</w:t>
      </w:r>
    </w:p>
    <w:p w14:paraId="177CCD45" w14:textId="77777777" w:rsidR="00CC62B8" w:rsidRDefault="00CC62B8" w:rsidP="00CC62B8">
      <w:pPr>
        <w:pStyle w:val="Alishlah71References"/>
      </w:pPr>
      <w:r w:rsidRPr="00CC62B8">
        <w:t xml:space="preserve">Kolmakova, V., &amp; Shalkov, D. (2021). Psychohermeneutics of graffiti: External and internal loci of control. </w:t>
      </w:r>
      <w:r w:rsidRPr="00CC62B8">
        <w:rPr>
          <w:i/>
          <w:iCs/>
        </w:rPr>
        <w:t>E3S Web of Conferences</w:t>
      </w:r>
      <w:r w:rsidRPr="00CC62B8">
        <w:t xml:space="preserve">, </w:t>
      </w:r>
      <w:r w:rsidRPr="00CC62B8">
        <w:rPr>
          <w:i/>
          <w:iCs/>
        </w:rPr>
        <w:t>273</w:t>
      </w:r>
      <w:r w:rsidRPr="00CC62B8">
        <w:t>, 11021. https://doi.org/10.1051/e3sconf/202127311021</w:t>
      </w:r>
      <w:r>
        <w:t>.</w:t>
      </w:r>
    </w:p>
    <w:p w14:paraId="22A734CD" w14:textId="3B988171" w:rsidR="00CC62B8" w:rsidRDefault="00CC62B8" w:rsidP="00CC62B8">
      <w:pPr>
        <w:pStyle w:val="Alishlah71References"/>
      </w:pPr>
      <w:r w:rsidRPr="00CC62B8">
        <w:t>Ni</w:t>
      </w:r>
      <w:r w:rsidRPr="00CC62B8">
        <w:rPr>
          <w:rFonts w:ascii="Times New Roman" w:hAnsi="Times New Roman"/>
        </w:rPr>
        <w:t>̇</w:t>
      </w:r>
      <w:r w:rsidRPr="00CC62B8">
        <w:t>sa, A. R., Asrowi</w:t>
      </w:r>
      <w:r w:rsidRPr="00CC62B8">
        <w:rPr>
          <w:rFonts w:ascii="Times New Roman" w:hAnsi="Times New Roman"/>
        </w:rPr>
        <w:t>̇</w:t>
      </w:r>
      <w:r w:rsidRPr="00CC62B8">
        <w:t>, A., &amp; Murwani</w:t>
      </w:r>
      <w:r w:rsidRPr="00CC62B8">
        <w:rPr>
          <w:rFonts w:ascii="Times New Roman" w:hAnsi="Times New Roman"/>
        </w:rPr>
        <w:t>̇</w:t>
      </w:r>
      <w:r w:rsidRPr="00CC62B8">
        <w:t>Ngsi</w:t>
      </w:r>
      <w:r w:rsidRPr="00CC62B8">
        <w:rPr>
          <w:rFonts w:ascii="Times New Roman" w:hAnsi="Times New Roman"/>
        </w:rPr>
        <w:t>̇</w:t>
      </w:r>
      <w:r w:rsidRPr="00CC62B8">
        <w:t xml:space="preserve">H, T. (2020). The effectiveness of value clarification technique (VCT) and problem-based learning (PBL) models on social problem-solving skills viewed from emotional intelligence. </w:t>
      </w:r>
      <w:r w:rsidRPr="00CC62B8">
        <w:rPr>
          <w:i/>
          <w:iCs/>
        </w:rPr>
        <w:t>İlköğretim Online</w:t>
      </w:r>
      <w:r w:rsidRPr="00CC62B8">
        <w:t>, 1751–1767. https://doi.org/10.17051/ilkonline.2020.734977</w:t>
      </w:r>
      <w:r>
        <w:t>.</w:t>
      </w:r>
    </w:p>
    <w:p w14:paraId="64AAA06B" w14:textId="0DEAECD0" w:rsidR="00A0007B" w:rsidRDefault="00A0007B" w:rsidP="00CC62B8">
      <w:pPr>
        <w:pStyle w:val="Alishlah71References"/>
      </w:pPr>
      <w:r>
        <w:t>Nucci, L. (2014). Nice is not enough: Facilitating moral development. Pearson.</w:t>
      </w:r>
    </w:p>
    <w:p w14:paraId="63B45A20" w14:textId="77777777" w:rsidR="00CC62B8" w:rsidRDefault="00CC62B8" w:rsidP="00CC62B8">
      <w:pPr>
        <w:pStyle w:val="Alishlah71References"/>
      </w:pPr>
      <w:r w:rsidRPr="00CC62B8">
        <w:t xml:space="preserve">Nurfurqon, F. F., Wardani, D. S., &amp; Wulandari, M. A. (2022). The Effect of The Value Clarification Technology Model on Elementary School Students’ Learning Motivation in Social Studies Learning. </w:t>
      </w:r>
      <w:r w:rsidRPr="00CC62B8">
        <w:rPr>
          <w:i/>
          <w:iCs/>
        </w:rPr>
        <w:t>Jurnal Basicedu</w:t>
      </w:r>
      <w:r w:rsidRPr="00CC62B8">
        <w:t xml:space="preserve">, </w:t>
      </w:r>
      <w:r w:rsidRPr="00CC62B8">
        <w:rPr>
          <w:i/>
          <w:iCs/>
        </w:rPr>
        <w:t>6</w:t>
      </w:r>
      <w:r w:rsidRPr="00CC62B8">
        <w:t>(2), 2556–2564. https://doi.org/10.31004/basicedu.v6i2.2385</w:t>
      </w:r>
      <w:r>
        <w:t>.</w:t>
      </w:r>
    </w:p>
    <w:p w14:paraId="44F66F73" w14:textId="77777777" w:rsidR="00CC62B8" w:rsidRDefault="00CC62B8" w:rsidP="00CC62B8">
      <w:pPr>
        <w:pStyle w:val="Alishlah71References"/>
      </w:pPr>
      <w:r w:rsidRPr="00CC62B8">
        <w:t xml:space="preserve">Sukisno, Dr., Apriono, D., Nuswantari, Dr., &amp; Supriatna, U. (2022). Students Perception About Value Clarification Learning Process for High School Students. </w:t>
      </w:r>
      <w:r w:rsidRPr="00CC62B8">
        <w:rPr>
          <w:i/>
          <w:iCs/>
        </w:rPr>
        <w:t>International Journal of Research Publications</w:t>
      </w:r>
      <w:r w:rsidRPr="00CC62B8">
        <w:t xml:space="preserve">, </w:t>
      </w:r>
      <w:r w:rsidRPr="00CC62B8">
        <w:rPr>
          <w:i/>
          <w:iCs/>
        </w:rPr>
        <w:t>104</w:t>
      </w:r>
      <w:r w:rsidRPr="00CC62B8">
        <w:t>(1). https://doi.org/10.47119/IJRP1001041720223591</w:t>
      </w:r>
      <w:r>
        <w:t>.</w:t>
      </w:r>
    </w:p>
    <w:p w14:paraId="190F0004" w14:textId="29A965E6" w:rsidR="004A44CB" w:rsidRDefault="00CC62B8" w:rsidP="00CC62B8">
      <w:pPr>
        <w:pStyle w:val="Alishlah71References"/>
      </w:pPr>
      <w:r w:rsidRPr="00CC62B8">
        <w:t xml:space="preserve">Tahrir, T., Nurdin, F. S., Universitas Islam Negeri Sunan Gunung Djati, Indonesia, farid.s.nurdin@uinsgd.ac.id, Damayanti, I. R.. (2020). The Role of Critical Thinking as a Mediator Variable in the Effect of Internal Locus of Control on Moral Disengagement. </w:t>
      </w:r>
      <w:r w:rsidRPr="00CC62B8">
        <w:rPr>
          <w:i/>
          <w:iCs/>
        </w:rPr>
        <w:t>International Journal of Instruction</w:t>
      </w:r>
      <w:r w:rsidRPr="00CC62B8">
        <w:t xml:space="preserve">, </w:t>
      </w:r>
      <w:r w:rsidRPr="00CC62B8">
        <w:rPr>
          <w:i/>
          <w:iCs/>
        </w:rPr>
        <w:t>13</w:t>
      </w:r>
      <w:r w:rsidRPr="00CC62B8">
        <w:t>(1), 17–34. https://doi.org/10.29333/iji.2020.1312a</w:t>
      </w:r>
      <w:r>
        <w:t>.</w:t>
      </w:r>
    </w:p>
    <w:p w14:paraId="2EF16A8F" w14:textId="1AA3CD7D" w:rsidR="00CC62B8" w:rsidRDefault="004A44CB" w:rsidP="00CC62B8">
      <w:pPr>
        <w:pStyle w:val="Alishlah71References"/>
      </w:pPr>
      <w:r>
        <w:t xml:space="preserve">Tjosvold, D., &amp; Sun, H. F. (2002). Understanding conflict avoidance: Relationship, motivations, actions, and consequences. </w:t>
      </w:r>
      <w:r w:rsidRPr="004A44CB">
        <w:rPr>
          <w:i/>
          <w:iCs/>
        </w:rPr>
        <w:t>International Journal of Conflict Management</w:t>
      </w:r>
      <w:r>
        <w:t xml:space="preserve">, </w:t>
      </w:r>
      <w:r w:rsidRPr="004A44CB">
        <w:rPr>
          <w:i/>
          <w:iCs/>
        </w:rPr>
        <w:t>13</w:t>
      </w:r>
      <w:r>
        <w:t>(2), 142-164.</w:t>
      </w:r>
    </w:p>
    <w:p w14:paraId="18B7B6D5" w14:textId="77777777" w:rsidR="00CC62B8" w:rsidRDefault="00CC62B8" w:rsidP="00CC62B8">
      <w:pPr>
        <w:pStyle w:val="Alishlah71References"/>
      </w:pPr>
      <w:r w:rsidRPr="00CC62B8">
        <w:t xml:space="preserve">Widiana, I. W., Kertih, I. W., Kristiantari, M. G. R., Parmiti, D. P., &amp; Adijaya, M. A. (2022). The Effect of Project Based Assessment with Value Clarification Technique in Improving Students’ Civics Learning Outcomes by Controlling the Family Environment. </w:t>
      </w:r>
      <w:r w:rsidRPr="00CC62B8">
        <w:rPr>
          <w:i/>
          <w:iCs/>
        </w:rPr>
        <w:t>European Journal of Educational Research</w:t>
      </w:r>
      <w:r w:rsidRPr="00CC62B8">
        <w:t xml:space="preserve">, </w:t>
      </w:r>
      <w:r w:rsidRPr="00CC62B8">
        <w:rPr>
          <w:i/>
          <w:iCs/>
        </w:rPr>
        <w:t>volume–11–2022</w:t>
      </w:r>
      <w:r w:rsidRPr="00CC62B8">
        <w:t>(volume–11–issue–4–october–2022), 1969–1979. https://doi.org/10.12973/eu-jer.11.4.1969</w:t>
      </w:r>
      <w:r>
        <w:t>.</w:t>
      </w:r>
    </w:p>
    <w:p w14:paraId="05374033" w14:textId="38D32ED0" w:rsidR="00CC62B8" w:rsidRPr="00CC62B8" w:rsidRDefault="00CC62B8" w:rsidP="00CC62B8">
      <w:pPr>
        <w:pStyle w:val="Alishlah71References"/>
      </w:pPr>
      <w:r w:rsidRPr="00CC62B8">
        <w:t xml:space="preserve">Williams, M., Cowley, E. S., Valley, T. M., Farooque, A., Shultz, Z., Godecker, A., Askins, J., &amp; Jacques, L. (2023). An online alternative: A qualitative study of virtual abortion values clarification workshops. </w:t>
      </w:r>
      <w:r w:rsidRPr="00CC62B8">
        <w:rPr>
          <w:i/>
          <w:iCs/>
        </w:rPr>
        <w:t>Medical Education Online</w:t>
      </w:r>
      <w:r w:rsidRPr="00CC62B8">
        <w:t xml:space="preserve">, </w:t>
      </w:r>
      <w:r w:rsidRPr="00CC62B8">
        <w:rPr>
          <w:i/>
          <w:iCs/>
        </w:rPr>
        <w:t>28</w:t>
      </w:r>
      <w:r w:rsidRPr="00CC62B8">
        <w:t>(1), 2258004. https://doi.org/10.1080/10872981.2023.2258004</w:t>
      </w:r>
    </w:p>
    <w:p w14:paraId="0B612780" w14:textId="5CE2403E" w:rsidR="00CC62B8" w:rsidRPr="00723B12" w:rsidRDefault="00CC62B8" w:rsidP="00CC62B8">
      <w:r w:rsidRPr="00CC62B8">
        <w:rPr>
          <w:rFonts w:ascii="Palatino Linotype" w:hAnsi="Palatino Linotype" w:cs="Times New Roman"/>
          <w:sz w:val="20"/>
          <w:szCs w:val="20"/>
        </w:rPr>
        <w:fldChar w:fldCharType="end"/>
      </w:r>
    </w:p>
    <w:p w14:paraId="1E5F6C08" w14:textId="5AEDD7FA" w:rsidR="00143989" w:rsidRPr="00723B12" w:rsidRDefault="00143989" w:rsidP="002B31FD">
      <w:pPr>
        <w:pStyle w:val="Alishlah71References"/>
      </w:pPr>
    </w:p>
    <w:sectPr w:rsidR="00143989" w:rsidRPr="00723B12" w:rsidSect="001914CF">
      <w:headerReference w:type="default" r:id="rId12"/>
      <w:foot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4EE92" w14:textId="77777777" w:rsidR="009C02D7" w:rsidRDefault="009C02D7" w:rsidP="008E64A2">
      <w:pPr>
        <w:spacing w:after="0" w:line="240" w:lineRule="auto"/>
      </w:pPr>
      <w:r>
        <w:separator/>
      </w:r>
    </w:p>
    <w:p w14:paraId="5B612424" w14:textId="77777777" w:rsidR="009C02D7" w:rsidRDefault="009C02D7"/>
  </w:endnote>
  <w:endnote w:type="continuationSeparator" w:id="0">
    <w:p w14:paraId="7856B91E" w14:textId="77777777" w:rsidR="009C02D7" w:rsidRDefault="009C02D7" w:rsidP="008E64A2">
      <w:pPr>
        <w:spacing w:after="0" w:line="240" w:lineRule="auto"/>
      </w:pPr>
      <w:r>
        <w:continuationSeparator/>
      </w:r>
    </w:p>
    <w:p w14:paraId="3208B587" w14:textId="77777777" w:rsidR="009C02D7" w:rsidRDefault="009C0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F15F"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4C80"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1679B" w14:textId="77777777" w:rsidR="009C02D7" w:rsidRDefault="009C02D7" w:rsidP="008E64A2">
      <w:pPr>
        <w:spacing w:after="0" w:line="240" w:lineRule="auto"/>
      </w:pPr>
      <w:r>
        <w:separator/>
      </w:r>
    </w:p>
    <w:p w14:paraId="63F06A3E" w14:textId="77777777" w:rsidR="009C02D7" w:rsidRDefault="009C02D7"/>
  </w:footnote>
  <w:footnote w:type="continuationSeparator" w:id="0">
    <w:p w14:paraId="4B968083" w14:textId="77777777" w:rsidR="009C02D7" w:rsidRDefault="009C02D7" w:rsidP="008E64A2">
      <w:pPr>
        <w:spacing w:after="0" w:line="240" w:lineRule="auto"/>
      </w:pPr>
      <w:r>
        <w:continuationSeparator/>
      </w:r>
    </w:p>
    <w:p w14:paraId="67CCFB34" w14:textId="77777777" w:rsidR="009C02D7" w:rsidRDefault="009C0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5FC2"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2DD77458" wp14:editId="3D971289">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C35F1"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708D6679" w14:textId="77777777" w:rsidR="00B11201" w:rsidRDefault="00B112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5613C" w14:textId="77777777" w:rsidR="001C18FA" w:rsidRPr="0048254D" w:rsidRDefault="001C18FA" w:rsidP="0048254D">
    <w:pPr>
      <w:pStyle w:val="Header"/>
      <w:ind w:right="45"/>
      <w:rPr>
        <w:rFonts w:ascii="Palatino Linotype" w:hAnsi="Palatino Linotype"/>
        <w:b/>
        <w:sz w:val="20"/>
      </w:rPr>
    </w:pPr>
    <w:bookmarkStart w:id="5"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373FF1CC"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2B2BDF06"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5"/>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7AEDEF2" wp14:editId="3AABC73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D68D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B0206D"/>
    <w:multiLevelType w:val="hybridMultilevel"/>
    <w:tmpl w:val="ED9AD770"/>
    <w:lvl w:ilvl="0" w:tplc="046C1460">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67E33FDB"/>
    <w:multiLevelType w:val="hybridMultilevel"/>
    <w:tmpl w:val="B7D2A6F2"/>
    <w:lvl w:ilvl="0" w:tplc="97647D4E">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5"/>
  </w:num>
  <w:num w:numId="5">
    <w:abstractNumId w:val="14"/>
  </w:num>
  <w:num w:numId="6">
    <w:abstractNumId w:val="18"/>
  </w:num>
  <w:num w:numId="7">
    <w:abstractNumId w:val="1"/>
  </w:num>
  <w:num w:numId="8">
    <w:abstractNumId w:val="16"/>
  </w:num>
  <w:num w:numId="9">
    <w:abstractNumId w:val="8"/>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2"/>
  </w:num>
  <w:num w:numId="15">
    <w:abstractNumId w:val="13"/>
  </w:num>
  <w:num w:numId="16">
    <w:abstractNumId w:val="0"/>
  </w:num>
  <w:num w:numId="17">
    <w:abstractNumId w:val="4"/>
  </w:num>
  <w:num w:numId="18">
    <w:abstractNumId w:val="7"/>
  </w:num>
  <w:num w:numId="19">
    <w:abstractNumId w:val="17"/>
  </w:num>
  <w:num w:numId="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DF76E6"/>
    <w:rsid w:val="000061CE"/>
    <w:rsid w:val="00031DD5"/>
    <w:rsid w:val="000333AC"/>
    <w:rsid w:val="000355EA"/>
    <w:rsid w:val="00035C67"/>
    <w:rsid w:val="00043443"/>
    <w:rsid w:val="00056E9C"/>
    <w:rsid w:val="000735BB"/>
    <w:rsid w:val="00075197"/>
    <w:rsid w:val="000831BD"/>
    <w:rsid w:val="000A13A3"/>
    <w:rsid w:val="000A3243"/>
    <w:rsid w:val="000A36F0"/>
    <w:rsid w:val="000C3C00"/>
    <w:rsid w:val="000D5EE8"/>
    <w:rsid w:val="000E2588"/>
    <w:rsid w:val="000E2C60"/>
    <w:rsid w:val="000E7A05"/>
    <w:rsid w:val="000F1812"/>
    <w:rsid w:val="000F66B9"/>
    <w:rsid w:val="00114306"/>
    <w:rsid w:val="001167AB"/>
    <w:rsid w:val="001358C8"/>
    <w:rsid w:val="00143989"/>
    <w:rsid w:val="00145F3A"/>
    <w:rsid w:val="00147524"/>
    <w:rsid w:val="0014781F"/>
    <w:rsid w:val="00151740"/>
    <w:rsid w:val="001603B5"/>
    <w:rsid w:val="0016441B"/>
    <w:rsid w:val="00175AF2"/>
    <w:rsid w:val="00182EA2"/>
    <w:rsid w:val="001914CF"/>
    <w:rsid w:val="0019168A"/>
    <w:rsid w:val="001A4292"/>
    <w:rsid w:val="001A581B"/>
    <w:rsid w:val="001A5DEE"/>
    <w:rsid w:val="001C1084"/>
    <w:rsid w:val="001C18FA"/>
    <w:rsid w:val="001C30E8"/>
    <w:rsid w:val="001C70D5"/>
    <w:rsid w:val="001C7B8C"/>
    <w:rsid w:val="001E32B0"/>
    <w:rsid w:val="001E42C1"/>
    <w:rsid w:val="001F4625"/>
    <w:rsid w:val="002001C5"/>
    <w:rsid w:val="00202D95"/>
    <w:rsid w:val="0022427B"/>
    <w:rsid w:val="002258C5"/>
    <w:rsid w:val="002263FF"/>
    <w:rsid w:val="00226E30"/>
    <w:rsid w:val="0023514C"/>
    <w:rsid w:val="00245BDA"/>
    <w:rsid w:val="002663A1"/>
    <w:rsid w:val="00270B5A"/>
    <w:rsid w:val="00287854"/>
    <w:rsid w:val="00290481"/>
    <w:rsid w:val="002A02C2"/>
    <w:rsid w:val="002A2BCB"/>
    <w:rsid w:val="002A7ABC"/>
    <w:rsid w:val="002B31FD"/>
    <w:rsid w:val="002B59BA"/>
    <w:rsid w:val="002C57D4"/>
    <w:rsid w:val="002F4178"/>
    <w:rsid w:val="003037AA"/>
    <w:rsid w:val="00307DF5"/>
    <w:rsid w:val="00312FBF"/>
    <w:rsid w:val="0032467B"/>
    <w:rsid w:val="00325B99"/>
    <w:rsid w:val="0032768B"/>
    <w:rsid w:val="00330DE2"/>
    <w:rsid w:val="00332A14"/>
    <w:rsid w:val="00340D1C"/>
    <w:rsid w:val="0034182D"/>
    <w:rsid w:val="00351943"/>
    <w:rsid w:val="003538FA"/>
    <w:rsid w:val="00366DA9"/>
    <w:rsid w:val="003670E2"/>
    <w:rsid w:val="00367C25"/>
    <w:rsid w:val="0037591E"/>
    <w:rsid w:val="00376360"/>
    <w:rsid w:val="00376B69"/>
    <w:rsid w:val="003807D8"/>
    <w:rsid w:val="003827AC"/>
    <w:rsid w:val="00392773"/>
    <w:rsid w:val="003C3B3B"/>
    <w:rsid w:val="003D061C"/>
    <w:rsid w:val="003E5BB6"/>
    <w:rsid w:val="003F3A9E"/>
    <w:rsid w:val="004124A8"/>
    <w:rsid w:val="004258A8"/>
    <w:rsid w:val="00432323"/>
    <w:rsid w:val="004333C2"/>
    <w:rsid w:val="00434F97"/>
    <w:rsid w:val="00435996"/>
    <w:rsid w:val="00444B72"/>
    <w:rsid w:val="004521BE"/>
    <w:rsid w:val="00457015"/>
    <w:rsid w:val="00461028"/>
    <w:rsid w:val="004642B9"/>
    <w:rsid w:val="004763B3"/>
    <w:rsid w:val="0048254D"/>
    <w:rsid w:val="00494D6B"/>
    <w:rsid w:val="004A39B9"/>
    <w:rsid w:val="004A4086"/>
    <w:rsid w:val="004A44CB"/>
    <w:rsid w:val="004A7460"/>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4837"/>
    <w:rsid w:val="00566877"/>
    <w:rsid w:val="00566B68"/>
    <w:rsid w:val="005710E6"/>
    <w:rsid w:val="005807EE"/>
    <w:rsid w:val="005909CA"/>
    <w:rsid w:val="00590ECF"/>
    <w:rsid w:val="005A0E25"/>
    <w:rsid w:val="005A317A"/>
    <w:rsid w:val="005A3248"/>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202D"/>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19F0"/>
    <w:rsid w:val="007B2B7A"/>
    <w:rsid w:val="007B716C"/>
    <w:rsid w:val="007E0F04"/>
    <w:rsid w:val="007E5CEF"/>
    <w:rsid w:val="007E6AA6"/>
    <w:rsid w:val="007E6E1C"/>
    <w:rsid w:val="007F0542"/>
    <w:rsid w:val="007F2733"/>
    <w:rsid w:val="00800E05"/>
    <w:rsid w:val="00802C6D"/>
    <w:rsid w:val="008036D9"/>
    <w:rsid w:val="008176CC"/>
    <w:rsid w:val="008477FA"/>
    <w:rsid w:val="00863036"/>
    <w:rsid w:val="00873823"/>
    <w:rsid w:val="00874DBD"/>
    <w:rsid w:val="00883EAA"/>
    <w:rsid w:val="008841DF"/>
    <w:rsid w:val="008858AA"/>
    <w:rsid w:val="00887B61"/>
    <w:rsid w:val="0089730B"/>
    <w:rsid w:val="008A36D6"/>
    <w:rsid w:val="008D0E8E"/>
    <w:rsid w:val="008D272B"/>
    <w:rsid w:val="008D5D26"/>
    <w:rsid w:val="008D6030"/>
    <w:rsid w:val="008E27C5"/>
    <w:rsid w:val="008E64A2"/>
    <w:rsid w:val="008F618A"/>
    <w:rsid w:val="00917C32"/>
    <w:rsid w:val="00921BF0"/>
    <w:rsid w:val="00922701"/>
    <w:rsid w:val="00924168"/>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02D7"/>
    <w:rsid w:val="009C1B55"/>
    <w:rsid w:val="009C7544"/>
    <w:rsid w:val="009D09F2"/>
    <w:rsid w:val="009D3532"/>
    <w:rsid w:val="009E52F0"/>
    <w:rsid w:val="009F0C88"/>
    <w:rsid w:val="009F4CD2"/>
    <w:rsid w:val="009F71B3"/>
    <w:rsid w:val="00A00078"/>
    <w:rsid w:val="00A0007B"/>
    <w:rsid w:val="00A02BB2"/>
    <w:rsid w:val="00A10E86"/>
    <w:rsid w:val="00A234A4"/>
    <w:rsid w:val="00A36F58"/>
    <w:rsid w:val="00A414CC"/>
    <w:rsid w:val="00A448B5"/>
    <w:rsid w:val="00A46637"/>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3AF"/>
    <w:rsid w:val="00AE2A82"/>
    <w:rsid w:val="00AE7180"/>
    <w:rsid w:val="00AF2F8D"/>
    <w:rsid w:val="00AF6218"/>
    <w:rsid w:val="00B00874"/>
    <w:rsid w:val="00B029BB"/>
    <w:rsid w:val="00B03D8F"/>
    <w:rsid w:val="00B04201"/>
    <w:rsid w:val="00B11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4538"/>
    <w:rsid w:val="00BB6E10"/>
    <w:rsid w:val="00BD0A28"/>
    <w:rsid w:val="00BD0ABC"/>
    <w:rsid w:val="00BE398A"/>
    <w:rsid w:val="00BF0A78"/>
    <w:rsid w:val="00BF21AD"/>
    <w:rsid w:val="00BF2297"/>
    <w:rsid w:val="00BF4139"/>
    <w:rsid w:val="00BF4472"/>
    <w:rsid w:val="00BF6007"/>
    <w:rsid w:val="00C12AF5"/>
    <w:rsid w:val="00C1416D"/>
    <w:rsid w:val="00C21EFA"/>
    <w:rsid w:val="00C361A9"/>
    <w:rsid w:val="00C36799"/>
    <w:rsid w:val="00C37B1B"/>
    <w:rsid w:val="00C4224C"/>
    <w:rsid w:val="00C66ECA"/>
    <w:rsid w:val="00C721BA"/>
    <w:rsid w:val="00C8406B"/>
    <w:rsid w:val="00C94847"/>
    <w:rsid w:val="00CA3B3C"/>
    <w:rsid w:val="00CC0C2B"/>
    <w:rsid w:val="00CC3DB2"/>
    <w:rsid w:val="00CC62B8"/>
    <w:rsid w:val="00CC7F21"/>
    <w:rsid w:val="00CD3AE9"/>
    <w:rsid w:val="00CE131B"/>
    <w:rsid w:val="00CE242C"/>
    <w:rsid w:val="00CF5425"/>
    <w:rsid w:val="00D07ED1"/>
    <w:rsid w:val="00D13D39"/>
    <w:rsid w:val="00D2296B"/>
    <w:rsid w:val="00D31547"/>
    <w:rsid w:val="00D37209"/>
    <w:rsid w:val="00D51A98"/>
    <w:rsid w:val="00D74358"/>
    <w:rsid w:val="00D75604"/>
    <w:rsid w:val="00D77FAD"/>
    <w:rsid w:val="00D81206"/>
    <w:rsid w:val="00D866F5"/>
    <w:rsid w:val="00D90DB0"/>
    <w:rsid w:val="00DA0836"/>
    <w:rsid w:val="00DA2631"/>
    <w:rsid w:val="00DD295B"/>
    <w:rsid w:val="00DE2B7D"/>
    <w:rsid w:val="00DF215F"/>
    <w:rsid w:val="00DF76E6"/>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4AA1"/>
    <w:rsid w:val="00F36C4F"/>
    <w:rsid w:val="00F40982"/>
    <w:rsid w:val="00F67706"/>
    <w:rsid w:val="00F6777E"/>
    <w:rsid w:val="00F76B02"/>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C361"/>
  <w15:chartTrackingRefBased/>
  <w15:docId w15:val="{77E36FFA-5651-46F6-A9A5-F00C82B9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hgkelc">
    <w:name w:val="hgkelc"/>
    <w:basedOn w:val="DefaultParagraphFont"/>
    <w:rsid w:val="00D866F5"/>
  </w:style>
  <w:style w:type="paragraph" w:styleId="Bibliography">
    <w:name w:val="Bibliography"/>
    <w:basedOn w:val="Normal"/>
    <w:next w:val="Normal"/>
    <w:uiPriority w:val="37"/>
    <w:semiHidden/>
    <w:unhideWhenUsed/>
    <w:rsid w:val="00CC62B8"/>
  </w:style>
  <w:style w:type="table" w:customStyle="1" w:styleId="Tabel4">
    <w:name w:val="Tabel4"/>
    <w:basedOn w:val="TableNormal"/>
    <w:uiPriority w:val="59"/>
    <w:qFormat/>
    <w:rsid w:val="00924168"/>
    <w:pPr>
      <w:spacing w:after="0" w:line="240" w:lineRule="auto"/>
    </w:pPr>
    <w:rPr>
      <w:rFonts w:ascii="Times New Roman" w:eastAsiaTheme="minorHAnsi" w:hAnsi="Times New Roman"/>
      <w:sz w:val="24"/>
      <w:lang w:val="id-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903220170">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65663613">
      <w:bodyDiv w:val="1"/>
      <w:marLeft w:val="0"/>
      <w:marRight w:val="0"/>
      <w:marTop w:val="0"/>
      <w:marBottom w:val="0"/>
      <w:divBdr>
        <w:top w:val="none" w:sz="0" w:space="0" w:color="auto"/>
        <w:left w:val="none" w:sz="0" w:space="0" w:color="auto"/>
        <w:bottom w:val="none" w:sz="0" w:space="0" w:color="auto"/>
        <w:right w:val="none" w:sz="0" w:space="0" w:color="auto"/>
      </w:divBdr>
      <w:divsChild>
        <w:div w:id="689065832">
          <w:marLeft w:val="0"/>
          <w:marRight w:val="0"/>
          <w:marTop w:val="0"/>
          <w:marBottom w:val="0"/>
          <w:divBdr>
            <w:top w:val="none" w:sz="0" w:space="0" w:color="auto"/>
            <w:left w:val="none" w:sz="0" w:space="0" w:color="auto"/>
            <w:bottom w:val="none" w:sz="0" w:space="0" w:color="auto"/>
            <w:right w:val="none" w:sz="0" w:space="0" w:color="auto"/>
          </w:divBdr>
        </w:div>
        <w:div w:id="1596936166">
          <w:marLeft w:val="0"/>
          <w:marRight w:val="0"/>
          <w:marTop w:val="0"/>
          <w:marBottom w:val="0"/>
          <w:divBdr>
            <w:top w:val="none" w:sz="0" w:space="0" w:color="auto"/>
            <w:left w:val="none" w:sz="0" w:space="0" w:color="auto"/>
            <w:bottom w:val="none" w:sz="0" w:space="0" w:color="auto"/>
            <w:right w:val="none" w:sz="0" w:space="0" w:color="auto"/>
          </w:divBdr>
          <w:divsChild>
            <w:div w:id="1629900067">
              <w:marLeft w:val="0"/>
              <w:marRight w:val="0"/>
              <w:marTop w:val="0"/>
              <w:marBottom w:val="0"/>
              <w:divBdr>
                <w:top w:val="none" w:sz="0" w:space="0" w:color="auto"/>
                <w:left w:val="none" w:sz="0" w:space="0" w:color="auto"/>
                <w:bottom w:val="none" w:sz="0" w:space="0" w:color="auto"/>
                <w:right w:val="none" w:sz="0" w:space="0" w:color="auto"/>
              </w:divBdr>
              <w:divsChild>
                <w:div w:id="15143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08414">
          <w:marLeft w:val="0"/>
          <w:marRight w:val="0"/>
          <w:marTop w:val="0"/>
          <w:marBottom w:val="0"/>
          <w:divBdr>
            <w:top w:val="none" w:sz="0" w:space="0" w:color="auto"/>
            <w:left w:val="none" w:sz="0" w:space="0" w:color="auto"/>
            <w:bottom w:val="none" w:sz="0" w:space="0" w:color="auto"/>
            <w:right w:val="none" w:sz="0" w:space="0" w:color="auto"/>
          </w:divBdr>
          <w:divsChild>
            <w:div w:id="1202674352">
              <w:marLeft w:val="0"/>
              <w:marRight w:val="0"/>
              <w:marTop w:val="0"/>
              <w:marBottom w:val="0"/>
              <w:divBdr>
                <w:top w:val="none" w:sz="0" w:space="0" w:color="auto"/>
                <w:left w:val="none" w:sz="0" w:space="0" w:color="auto"/>
                <w:bottom w:val="none" w:sz="0" w:space="0" w:color="auto"/>
                <w:right w:val="none" w:sz="0" w:space="0" w:color="auto"/>
              </w:divBdr>
            </w:div>
          </w:divsChild>
        </w:div>
        <w:div w:id="1369990130">
          <w:marLeft w:val="0"/>
          <w:marRight w:val="0"/>
          <w:marTop w:val="0"/>
          <w:marBottom w:val="0"/>
          <w:divBdr>
            <w:top w:val="none" w:sz="0" w:space="0" w:color="auto"/>
            <w:left w:val="none" w:sz="0" w:space="0" w:color="auto"/>
            <w:bottom w:val="none" w:sz="0" w:space="0" w:color="auto"/>
            <w:right w:val="none" w:sz="0" w:space="0" w:color="auto"/>
          </w:divBdr>
          <w:divsChild>
            <w:div w:id="660161339">
              <w:marLeft w:val="0"/>
              <w:marRight w:val="0"/>
              <w:marTop w:val="0"/>
              <w:marBottom w:val="0"/>
              <w:divBdr>
                <w:top w:val="none" w:sz="0" w:space="0" w:color="auto"/>
                <w:left w:val="none" w:sz="0" w:space="0" w:color="auto"/>
                <w:bottom w:val="none" w:sz="0" w:space="0" w:color="auto"/>
                <w:right w:val="none" w:sz="0" w:space="0" w:color="auto"/>
              </w:divBdr>
              <w:divsChild>
                <w:div w:id="1411537277">
                  <w:marLeft w:val="0"/>
                  <w:marRight w:val="0"/>
                  <w:marTop w:val="0"/>
                  <w:marBottom w:val="0"/>
                  <w:divBdr>
                    <w:top w:val="none" w:sz="0" w:space="0" w:color="auto"/>
                    <w:left w:val="none" w:sz="0" w:space="0" w:color="auto"/>
                    <w:bottom w:val="none" w:sz="0" w:space="0" w:color="auto"/>
                    <w:right w:val="none" w:sz="0" w:space="0" w:color="auto"/>
                  </w:divBdr>
                  <w:divsChild>
                    <w:div w:id="3956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_kisno@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hyperlink" Target="mailto:diananin39@g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aufiq\Asisten%20Jurnal\023\Template-2022-%20al%20ishla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D7EA-FBDB-440B-A60B-360DC204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al ishlah</Template>
  <TotalTime>290</TotalTime>
  <Pages>8</Pages>
  <Words>10216</Words>
  <Characters>58232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2022-03-12T14:54:00Z</cp:lastPrinted>
  <dcterms:created xsi:type="dcterms:W3CDTF">2024-07-04T06:08:00Z</dcterms:created>
  <dcterms:modified xsi:type="dcterms:W3CDTF">2024-07-31T07:00:00Z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