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058FF" w14:textId="77777777" w:rsidR="00204892" w:rsidRPr="00204892" w:rsidRDefault="00204892" w:rsidP="00204892">
      <w:pPr>
        <w:pStyle w:val="Heading1"/>
        <w:spacing w:before="87" w:line="213" w:lineRule="auto"/>
        <w:ind w:right="778" w:firstLine="1"/>
        <w:rPr>
          <w:sz w:val="32"/>
          <w:lang w:val="id-ID"/>
        </w:rPr>
      </w:pPr>
      <w:r w:rsidRPr="00204892">
        <w:rPr>
          <w:sz w:val="32"/>
          <w:lang w:val="id-ID"/>
        </w:rPr>
        <w:t>Audio Engineering Creative Media Education in</w:t>
      </w:r>
    </w:p>
    <w:p w14:paraId="3947E31B" w14:textId="33E674C9" w:rsidR="008E64A2" w:rsidRDefault="00204892" w:rsidP="00204892">
      <w:pPr>
        <w:pStyle w:val="Heading1"/>
        <w:spacing w:before="87" w:line="213" w:lineRule="auto"/>
        <w:ind w:right="778" w:firstLine="1"/>
        <w:rPr>
          <w:sz w:val="32"/>
          <w:lang w:val="id-ID"/>
        </w:rPr>
      </w:pPr>
      <w:r w:rsidRPr="00204892">
        <w:rPr>
          <w:sz w:val="32"/>
          <w:lang w:val="id-ID"/>
        </w:rPr>
        <w:t>Review of Legal and Educational Perspectives</w:t>
      </w:r>
    </w:p>
    <w:p w14:paraId="7879516D" w14:textId="77777777" w:rsidR="00204892" w:rsidRPr="00204892" w:rsidRDefault="00204892" w:rsidP="00204892">
      <w:pPr>
        <w:rPr>
          <w:highlight w:val="yellow"/>
          <w:lang w:val="id-ID" w:eastAsia="en-GB"/>
        </w:rPr>
      </w:pPr>
    </w:p>
    <w:p w14:paraId="617ED9AC" w14:textId="3FFB19E2" w:rsidR="00204892" w:rsidRPr="00204892" w:rsidRDefault="00204892" w:rsidP="00204892">
      <w:pPr>
        <w:spacing w:after="0" w:line="240" w:lineRule="auto"/>
        <w:ind w:right="3638"/>
        <w:rPr>
          <w:rFonts w:ascii="Palatino Linotype"/>
          <w:b/>
          <w:sz w:val="20"/>
          <w:szCs w:val="20"/>
          <w:lang w:val="id-ID"/>
        </w:rPr>
      </w:pPr>
      <w:r w:rsidRPr="00204892">
        <w:rPr>
          <w:rFonts w:ascii="Palatino Linotype"/>
          <w:b/>
          <w:sz w:val="20"/>
          <w:szCs w:val="20"/>
          <w:lang w:val="id-ID"/>
        </w:rPr>
        <w:t>RR. Ella Evrita H</w:t>
      </w:r>
      <w:r w:rsidRPr="00204892">
        <w:rPr>
          <w:rFonts w:ascii="Palatino Linotype"/>
          <w:b/>
          <w:sz w:val="20"/>
          <w:szCs w:val="20"/>
          <w:vertAlign w:val="superscript"/>
          <w:lang w:val="id-ID"/>
        </w:rPr>
        <w:t>1</w:t>
      </w:r>
    </w:p>
    <w:p w14:paraId="15E05AED" w14:textId="6D990C83" w:rsidR="00BE398A" w:rsidRDefault="00204892" w:rsidP="00204892">
      <w:pPr>
        <w:pStyle w:val="Alishlah13authornames"/>
        <w:spacing w:after="0" w:line="240" w:lineRule="auto"/>
        <w:rPr>
          <w:szCs w:val="20"/>
          <w:vertAlign w:val="superscript"/>
          <w:lang w:val="en-GB"/>
        </w:rPr>
      </w:pPr>
      <w:hyperlink r:id="rId8" w:history="1">
        <w:r w:rsidRPr="003228E0">
          <w:rPr>
            <w:rStyle w:val="Hyperlink"/>
            <w:szCs w:val="20"/>
          </w:rPr>
          <w:t>e.evrita@sae.edu</w:t>
        </w:r>
        <w:r w:rsidRPr="003228E0">
          <w:rPr>
            <w:rStyle w:val="Hyperlink"/>
            <w:szCs w:val="20"/>
            <w:vertAlign w:val="superscript"/>
            <w:lang w:val="en-GB"/>
          </w:rPr>
          <w:t>1</w:t>
        </w:r>
      </w:hyperlink>
    </w:p>
    <w:p w14:paraId="768949B6" w14:textId="77777777" w:rsidR="00204892" w:rsidRDefault="00204892" w:rsidP="00204892">
      <w:pPr>
        <w:pStyle w:val="Alishlah14history"/>
        <w:rPr>
          <w:lang w:val="en-GB"/>
        </w:rPr>
      </w:pPr>
    </w:p>
    <w:p w14:paraId="7D898289" w14:textId="2643E60F" w:rsidR="00204892" w:rsidRPr="00204892" w:rsidRDefault="00204892" w:rsidP="00204892">
      <w:pPr>
        <w:spacing w:line="226" w:lineRule="exact"/>
        <w:ind w:right="3780"/>
        <w:rPr>
          <w:rFonts w:ascii="Palatino Linotype" w:hAnsi="Palatino Linotype"/>
          <w:sz w:val="20"/>
          <w:szCs w:val="20"/>
        </w:rPr>
      </w:pPr>
      <w:proofErr w:type="spellStart"/>
      <w:r w:rsidRPr="00204892">
        <w:rPr>
          <w:rFonts w:ascii="Palatino Linotype" w:hAnsi="Palatino Linotype"/>
          <w:sz w:val="20"/>
          <w:szCs w:val="20"/>
        </w:rPr>
        <w:t>Akademi</w:t>
      </w:r>
      <w:proofErr w:type="spellEnd"/>
      <w:r w:rsidRPr="00204892">
        <w:rPr>
          <w:rFonts w:ascii="Palatino Linotype" w:hAnsi="Palatino Linotype"/>
          <w:sz w:val="20"/>
          <w:szCs w:val="20"/>
        </w:rPr>
        <w:t xml:space="preserve"> </w:t>
      </w:r>
      <w:proofErr w:type="spellStart"/>
      <w:r w:rsidRPr="00204892">
        <w:rPr>
          <w:rFonts w:ascii="Palatino Linotype" w:hAnsi="Palatino Linotype"/>
          <w:sz w:val="20"/>
          <w:szCs w:val="20"/>
        </w:rPr>
        <w:t>Komunikasi</w:t>
      </w:r>
      <w:proofErr w:type="spellEnd"/>
      <w:r w:rsidRPr="00204892">
        <w:rPr>
          <w:rFonts w:ascii="Palatino Linotype" w:hAnsi="Palatino Linotype"/>
          <w:sz w:val="20"/>
          <w:szCs w:val="20"/>
        </w:rPr>
        <w:t xml:space="preserve"> Sae Indonesia</w:t>
      </w:r>
    </w:p>
    <w:p w14:paraId="6706737D" w14:textId="77777777" w:rsidR="00204892" w:rsidRPr="00204892" w:rsidRDefault="00204892" w:rsidP="00204892">
      <w:pPr>
        <w:rPr>
          <w:lang w:val="en-GB" w:eastAsia="de-DE" w:bidi="en-US"/>
        </w:rPr>
      </w:pPr>
    </w:p>
    <w:p w14:paraId="64E7862D"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0C8677F2" w14:textId="77777777" w:rsidTr="0048254D">
        <w:trPr>
          <w:jc w:val="center"/>
        </w:trPr>
        <w:tc>
          <w:tcPr>
            <w:tcW w:w="2787" w:type="dxa"/>
            <w:tcBorders>
              <w:top w:val="double" w:sz="4" w:space="0" w:color="auto"/>
              <w:left w:val="nil"/>
              <w:bottom w:val="single" w:sz="4" w:space="0" w:color="auto"/>
              <w:right w:val="nil"/>
            </w:tcBorders>
          </w:tcPr>
          <w:p w14:paraId="211362BD"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FBF9FD5"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7563B0E7"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49FE536" w14:textId="77777777" w:rsidTr="0048254D">
        <w:trPr>
          <w:trHeight w:val="1268"/>
          <w:jc w:val="center"/>
        </w:trPr>
        <w:tc>
          <w:tcPr>
            <w:tcW w:w="2787" w:type="dxa"/>
            <w:tcBorders>
              <w:top w:val="single" w:sz="4" w:space="0" w:color="auto"/>
              <w:left w:val="nil"/>
              <w:bottom w:val="single" w:sz="4" w:space="0" w:color="auto"/>
              <w:right w:val="nil"/>
            </w:tcBorders>
          </w:tcPr>
          <w:p w14:paraId="3D15FF82" w14:textId="77777777" w:rsidR="00204892" w:rsidRPr="00204892" w:rsidRDefault="00204892" w:rsidP="00204892">
            <w:pPr>
              <w:pStyle w:val="TableParagraph"/>
              <w:spacing w:line="307" w:lineRule="exact"/>
              <w:rPr>
                <w:rFonts w:ascii="Palatino Linotype" w:hAnsi="Palatino Linotype"/>
                <w:b/>
                <w:i/>
              </w:rPr>
            </w:pPr>
            <w:r w:rsidRPr="00204892">
              <w:rPr>
                <w:rFonts w:ascii="Palatino Linotype" w:hAnsi="Palatino Linotype"/>
                <w:b/>
                <w:i/>
              </w:rPr>
              <w:t>Keywords:</w:t>
            </w:r>
          </w:p>
          <w:p w14:paraId="3AF32E76" w14:textId="0FF7EACE" w:rsidR="0048254D" w:rsidRPr="00204892" w:rsidRDefault="00204892" w:rsidP="00204892">
            <w:pPr>
              <w:pStyle w:val="Alishlah18keywords"/>
              <w:rPr>
                <w:sz w:val="20"/>
                <w:szCs w:val="20"/>
              </w:rPr>
            </w:pPr>
            <w:r w:rsidRPr="00204892">
              <w:rPr>
                <w:i/>
                <w:sz w:val="20"/>
                <w:szCs w:val="20"/>
                <w:lang w:val="id-ID"/>
              </w:rPr>
              <w:t>Education; Creative Media; Legal and Educational Perspectives</w:t>
            </w:r>
            <w:r w:rsidR="00290481" w:rsidRPr="00204892">
              <w:rPr>
                <w:sz w:val="20"/>
                <w:szCs w:val="20"/>
              </w:rPr>
              <w:t>.</w:t>
            </w:r>
          </w:p>
          <w:p w14:paraId="1E4A35DE"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200146B0"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6C019AE3" w14:textId="1157F1EC" w:rsidR="0048254D" w:rsidRPr="00E45249" w:rsidRDefault="00204892" w:rsidP="00E45249">
            <w:pPr>
              <w:pStyle w:val="Alishlah17abstract"/>
            </w:pPr>
            <w:r w:rsidRPr="005F0411">
              <w:rPr>
                <w:i/>
                <w:w w:val="105"/>
                <w:lang w:val="id-ID"/>
              </w:rPr>
              <w:t>Creative media education is education based on technology, arts, and culture, which grows and develops due to technological advances and globalization, as well as the development of the creative industry. This creative media education is a new education that Indonesian citizens also have the right to receive. The problems in this study are a) What is the position of creative media education in creative industries 5.0? and b) Are regulations regarding nomenclature an obstacle to opening new study programs? The study employed a normative juridical approach. This study concludes that as vocational education, creative media education emphasizes practical development rather than theoretical ones. Creative media education plays a vital role in the creative industry, especially in audio engineering, which is needed in the creative industry, especially in music, film, and television. Therefore, for higher education, both private and public, it is essential to have an audio engineering program because its existence is needed in the creative industry, which is increasingly advanced in this era of the industrial revolution. For creative media higher education who wish to open a new study program but are hampered by the vocabulary due to the use of an unusual name, they can still open a study program at the same time as adding the name of the study program as long as it complies with the applicable terms and procedures</w:t>
            </w:r>
            <w:r w:rsidR="002B31FD" w:rsidRPr="002B31FD">
              <w:t>.</w:t>
            </w:r>
          </w:p>
        </w:tc>
      </w:tr>
      <w:tr w:rsidR="0048254D" w:rsidRPr="0048254D" w14:paraId="45934BA9"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5290E13"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30DD75B" w14:textId="7F1701C4" w:rsidR="0048254D" w:rsidRPr="006A6719" w:rsidRDefault="0048254D" w:rsidP="00E45249">
            <w:pPr>
              <w:pStyle w:val="Alishlah14history"/>
            </w:pPr>
            <w:r w:rsidRPr="006A6719">
              <w:t xml:space="preserve">Received </w:t>
            </w:r>
          </w:p>
          <w:p w14:paraId="650B797A" w14:textId="30ABC4E0" w:rsidR="0048254D" w:rsidRPr="006A6719" w:rsidRDefault="0048254D" w:rsidP="00E45249">
            <w:pPr>
              <w:pStyle w:val="Alishlah14history"/>
            </w:pPr>
            <w:r w:rsidRPr="006A6719">
              <w:t xml:space="preserve">Revised </w:t>
            </w:r>
            <w:r w:rsidR="00675603" w:rsidRPr="006A6719">
              <w:tab/>
            </w:r>
          </w:p>
          <w:p w14:paraId="044018BD" w14:textId="48AC84D7" w:rsidR="0048254D" w:rsidRPr="004A39B9" w:rsidRDefault="0048254D" w:rsidP="004A39B9">
            <w:pPr>
              <w:pStyle w:val="Alishlah14history"/>
              <w:rPr>
                <w:lang w:val="en-AU"/>
              </w:rPr>
            </w:pPr>
            <w:r w:rsidRPr="006A6719">
              <w:t xml:space="preserve">Accepted </w:t>
            </w:r>
          </w:p>
        </w:tc>
        <w:tc>
          <w:tcPr>
            <w:tcW w:w="282" w:type="dxa"/>
            <w:vMerge/>
            <w:tcBorders>
              <w:top w:val="nil"/>
              <w:left w:val="nil"/>
              <w:bottom w:val="nil"/>
              <w:right w:val="nil"/>
            </w:tcBorders>
          </w:tcPr>
          <w:p w14:paraId="2A01AEDA"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1D9DB0C6"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31C986C8" w14:textId="77777777" w:rsidTr="0048254D">
        <w:trPr>
          <w:trHeight w:val="70"/>
          <w:jc w:val="center"/>
        </w:trPr>
        <w:tc>
          <w:tcPr>
            <w:tcW w:w="2787" w:type="dxa"/>
            <w:vMerge/>
            <w:tcBorders>
              <w:top w:val="single" w:sz="4" w:space="0" w:color="auto"/>
              <w:left w:val="nil"/>
              <w:bottom w:val="single" w:sz="4" w:space="0" w:color="auto"/>
              <w:right w:val="nil"/>
            </w:tcBorders>
          </w:tcPr>
          <w:p w14:paraId="3ECA60EB"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4F4FEFE"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75E75E7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820EA4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581A3F1B" wp14:editId="01F3CBF3">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42947DE" w14:textId="77777777" w:rsidTr="0048254D">
        <w:trPr>
          <w:jc w:val="center"/>
        </w:trPr>
        <w:tc>
          <w:tcPr>
            <w:tcW w:w="8845" w:type="dxa"/>
            <w:gridSpan w:val="3"/>
            <w:tcBorders>
              <w:top w:val="nil"/>
              <w:left w:val="nil"/>
              <w:bottom w:val="double" w:sz="4" w:space="0" w:color="auto"/>
              <w:right w:val="nil"/>
            </w:tcBorders>
          </w:tcPr>
          <w:p w14:paraId="1B447555"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2C560D14" w14:textId="77777777" w:rsidR="00457015" w:rsidRDefault="002B31FD" w:rsidP="00E45249">
            <w:pPr>
              <w:pStyle w:val="Alishlah2authorcorrespondence"/>
            </w:pPr>
            <w:r w:rsidRPr="002B31FD">
              <w:t>First name Last name</w:t>
            </w:r>
            <w:r w:rsidR="00457015" w:rsidRPr="00457015">
              <w:t xml:space="preserve"> </w:t>
            </w:r>
          </w:p>
          <w:p w14:paraId="7C4091E0" w14:textId="77777777" w:rsidR="0048254D" w:rsidRPr="0048254D" w:rsidRDefault="002B31FD" w:rsidP="00E45249">
            <w:pPr>
              <w:pStyle w:val="Alishlah2authorcorrespondence"/>
            </w:pPr>
            <w:r w:rsidRPr="002B31FD">
              <w:rPr>
                <w:color w:val="auto"/>
                <w:lang w:val="en-GB"/>
              </w:rPr>
              <w:t>Affiliation 1; e-mail@e-mail.com</w:t>
            </w:r>
          </w:p>
        </w:tc>
      </w:tr>
    </w:tbl>
    <w:p w14:paraId="62BEFF34" w14:textId="77777777" w:rsidR="00D35376" w:rsidRDefault="00D35376" w:rsidP="00D35376">
      <w:pPr>
        <w:pStyle w:val="Alishlah21heading1"/>
        <w:numPr>
          <w:ilvl w:val="0"/>
          <w:numId w:val="0"/>
        </w:numPr>
        <w:ind w:left="426"/>
        <w:rPr>
          <w:lang w:val="en-GB"/>
        </w:rPr>
      </w:pPr>
    </w:p>
    <w:p w14:paraId="4F4D6AAE" w14:textId="77777777" w:rsidR="00D35376" w:rsidRDefault="00D35376" w:rsidP="00D35376">
      <w:pPr>
        <w:pStyle w:val="Alishlah21heading1"/>
        <w:numPr>
          <w:ilvl w:val="0"/>
          <w:numId w:val="0"/>
        </w:numPr>
        <w:ind w:left="426"/>
        <w:rPr>
          <w:lang w:val="en-GB"/>
        </w:rPr>
      </w:pPr>
    </w:p>
    <w:p w14:paraId="4EB6F57A" w14:textId="47A6BD75" w:rsidR="008E64A2" w:rsidRPr="00A75CB1" w:rsidRDefault="0048254D" w:rsidP="00A10E86">
      <w:pPr>
        <w:pStyle w:val="Alishlah21heading1"/>
        <w:rPr>
          <w:lang w:val="en-GB"/>
        </w:rPr>
      </w:pPr>
      <w:r w:rsidRPr="00A75CB1">
        <w:rPr>
          <w:lang w:val="en-GB"/>
        </w:rPr>
        <w:t>INTRODUCTION</w:t>
      </w:r>
    </w:p>
    <w:p w14:paraId="1AC0C196" w14:textId="2584CF0F" w:rsidR="00204892" w:rsidRPr="00D35376" w:rsidRDefault="00204892" w:rsidP="00D35376">
      <w:pPr>
        <w:pStyle w:val="BodyText"/>
        <w:spacing w:before="235" w:after="240" w:line="254" w:lineRule="auto"/>
        <w:ind w:left="426" w:right="478" w:firstLine="567"/>
        <w:jc w:val="both"/>
        <w:rPr>
          <w:rFonts w:ascii="Palatino Linotype" w:hAnsi="Palatino Linotype"/>
          <w:sz w:val="20"/>
          <w:szCs w:val="20"/>
          <w:lang w:val="id-ID"/>
        </w:rPr>
      </w:pPr>
      <w:r w:rsidRPr="00D35376">
        <w:rPr>
          <w:rFonts w:ascii="Palatino Linotype" w:hAnsi="Palatino Linotype"/>
          <w:w w:val="105"/>
          <w:sz w:val="20"/>
          <w:szCs w:val="20"/>
          <w:lang w:val="id-ID"/>
        </w:rPr>
        <w:t xml:space="preserve">Education is an effort to develop human potential through the learning process </w:t>
      </w:r>
      <w:r w:rsidRPr="00D35376">
        <w:rPr>
          <w:rFonts w:ascii="Palatino Linotype" w:hAnsi="Palatino Linotype"/>
          <w:w w:val="105"/>
          <w:sz w:val="20"/>
          <w:szCs w:val="20"/>
          <w:lang w:val="id-ID"/>
        </w:rPr>
        <w:lastRenderedPageBreak/>
        <w:t>and other methods known and recognized by society. The 1945 Constitution of the Republic of Indonesia Article 31 paragraph (1) states, "Every citizen has the right to education", and paragraph (3) emphasizes this by stating, "The government seeks and implements a national education system that increases faith and piety as well as noble morals in order to educate the life of the nation regulated by law. Therefore, all components of the nation are obliged to make the nation's life intelligent, which is one of the goals of the Indonesian state</w:t>
      </w:r>
      <w:r w:rsidRPr="00D35376">
        <w:rPr>
          <w:rFonts w:ascii="Palatino Linotype" w:hAnsi="Palatino Linotype"/>
          <w:w w:val="105"/>
          <w:sz w:val="20"/>
          <w:szCs w:val="20"/>
        </w:rPr>
        <w:t>.</w:t>
      </w:r>
    </w:p>
    <w:p w14:paraId="6FCF4545" w14:textId="0436DD43" w:rsidR="00204892" w:rsidRPr="00D35376" w:rsidRDefault="00204892" w:rsidP="00D35376">
      <w:pPr>
        <w:pStyle w:val="BodyText"/>
        <w:spacing w:before="235" w:after="240" w:line="254" w:lineRule="auto"/>
        <w:ind w:left="426" w:right="478" w:firstLine="567"/>
        <w:jc w:val="both"/>
        <w:rPr>
          <w:rFonts w:ascii="Palatino Linotype" w:hAnsi="Palatino Linotype"/>
          <w:sz w:val="20"/>
          <w:szCs w:val="20"/>
          <w:lang w:val="id-ID"/>
        </w:rPr>
      </w:pPr>
      <w:r w:rsidRPr="00D35376">
        <w:rPr>
          <w:rFonts w:ascii="Palatino Linotype" w:hAnsi="Palatino Linotype"/>
          <w:sz w:val="20"/>
          <w:szCs w:val="20"/>
          <w:lang w:val="id-ID"/>
        </w:rPr>
        <w:t xml:space="preserve">Article 28C paragraph (1) of the 1945 Constitution of the Republic of Indonesia states, "Every person has the right to develop himself by fulfilling his basic needs, has the right to receive </w:t>
      </w:r>
      <w:r w:rsidRPr="00D35376">
        <w:rPr>
          <w:rFonts w:ascii="Palatino Linotype" w:hAnsi="Palatino Linotype"/>
          <w:w w:val="105"/>
          <w:sz w:val="20"/>
          <w:szCs w:val="20"/>
          <w:lang w:val="id-ID"/>
        </w:rPr>
        <w:t>education</w:t>
      </w:r>
      <w:r w:rsidRPr="00D35376">
        <w:rPr>
          <w:rFonts w:ascii="Palatino Linotype" w:hAnsi="Palatino Linotype"/>
          <w:sz w:val="20"/>
          <w:szCs w:val="20"/>
          <w:lang w:val="id-ID"/>
        </w:rPr>
        <w:t xml:space="preserve"> and benefit from science and technology, arts and culture, to improve the quality of life and for the sake of general welfare". Article 32 paragraph (1) of the 1945 Constitution of the Republic of Indonesia states "the state shall advance Indonesian national culture amidst world civilization by guaranteeing the people's freedom to maintain and develop their cultural values. The government aims to make the nation's life smarter through the national education system. Therefore, it must be able to guarantee equal distribution of educational opportunities, improve quality, as well as the relevance and efficiency of education management to face challenges by the demands of changes in local, national and global life so that there is a need for planned educational renewal, directed and sustainable</w:t>
      </w:r>
      <w:r w:rsidRPr="00D35376">
        <w:rPr>
          <w:rFonts w:ascii="Palatino Linotype" w:hAnsi="Palatino Linotype"/>
          <w:sz w:val="20"/>
          <w:szCs w:val="20"/>
        </w:rPr>
        <w:t>.</w:t>
      </w:r>
    </w:p>
    <w:p w14:paraId="7DA16797" w14:textId="47D2F49C" w:rsidR="00204892" w:rsidRPr="00D35376" w:rsidRDefault="00204892" w:rsidP="00D35376">
      <w:pPr>
        <w:pStyle w:val="BodyText"/>
        <w:spacing w:before="235" w:after="240" w:line="254" w:lineRule="auto"/>
        <w:ind w:left="426" w:right="478" w:firstLine="567"/>
        <w:jc w:val="both"/>
        <w:rPr>
          <w:rFonts w:ascii="Palatino Linotype" w:hAnsi="Palatino Linotype"/>
          <w:sz w:val="20"/>
          <w:szCs w:val="20"/>
          <w:lang w:val="id-ID"/>
        </w:rPr>
      </w:pPr>
      <w:r w:rsidRPr="00D35376">
        <w:rPr>
          <w:rFonts w:ascii="Palatino Linotype" w:hAnsi="Palatino Linotype"/>
          <w:spacing w:val="-1"/>
          <w:w w:val="105"/>
          <w:sz w:val="20"/>
          <w:szCs w:val="20"/>
          <w:lang w:val="id-ID"/>
        </w:rPr>
        <w:t xml:space="preserve">The implementation of the education system in Indonesia is regulated in Article 1 point 3 of Law No. 20 of </w:t>
      </w:r>
      <w:r w:rsidRPr="00D35376">
        <w:rPr>
          <w:rFonts w:ascii="Palatino Linotype" w:hAnsi="Palatino Linotype"/>
          <w:w w:val="105"/>
          <w:sz w:val="20"/>
          <w:szCs w:val="20"/>
          <w:lang w:val="id-ID"/>
        </w:rPr>
        <w:t>2003</w:t>
      </w:r>
      <w:r w:rsidRPr="00D35376">
        <w:rPr>
          <w:rFonts w:ascii="Palatino Linotype" w:hAnsi="Palatino Linotype"/>
          <w:spacing w:val="-1"/>
          <w:w w:val="105"/>
          <w:sz w:val="20"/>
          <w:szCs w:val="20"/>
          <w:lang w:val="id-ID"/>
        </w:rPr>
        <w:t xml:space="preserve"> concerning the National Education System, namely, "the national education system is all educational components that are interconnected in an integrated manner to achieve national education goals". National education aims to develop the potential of students to become human beings who believe in and are devoted to God Almighty, have a noble character, are healthy, knowledgeable, capable, creative, independent, and democratic and responsible citizens</w:t>
      </w:r>
      <w:r w:rsidRPr="00D35376">
        <w:rPr>
          <w:rFonts w:ascii="Palatino Linotype" w:hAnsi="Palatino Linotype"/>
          <w:w w:val="105"/>
          <w:sz w:val="20"/>
          <w:szCs w:val="20"/>
        </w:rPr>
        <w:t>.</w:t>
      </w:r>
    </w:p>
    <w:p w14:paraId="3410120E"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t>The direction of the regulation of the National Education System Law is to strive for expansion and equal distribution of opportunities to obtain quality education for all Indonesian people; assist and facilitate the development of the full potential of the nation's children from an early age until the end of life to create a learning society; increasing input readiness and the quality of the educational process to optimize the formation of a moral personality; increasing the professionalism and accountability of educational institutions as centers for cultivating knowledge, skills, experience, attitudes and values based on national and global standards; and empowering community participation in the implementation of education based on the principle of autonomy in the context of the Republic of Indonesia.</w:t>
      </w:r>
    </w:p>
    <w:p w14:paraId="679162D9"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t xml:space="preserve">UU No. 20 Tahun 2003 tentang Standar Pendidikan Nasional menyebutkan “Pendidikan harus tanggap terhadap tuntutan perubahan zaman”, saat ini pendidikan jenis baru banyak yang muncul karena adanya pengaruh perkembangan globalisasi. Pendidikan-pendidikan baru tersebut antara lain dapat mencakup pada bidang </w:t>
      </w:r>
      <w:r w:rsidRPr="00D35376">
        <w:rPr>
          <w:rFonts w:ascii="Palatino Linotype" w:hAnsi="Palatino Linotype"/>
          <w:i/>
          <w:w w:val="105"/>
          <w:sz w:val="20"/>
          <w:szCs w:val="20"/>
          <w:lang w:val="id-ID"/>
        </w:rPr>
        <w:t xml:space="preserve">sound design, music technology, digital creative, digital of law, creative </w:t>
      </w:r>
      <w:r w:rsidRPr="00D35376">
        <w:rPr>
          <w:rFonts w:ascii="Palatino Linotype" w:hAnsi="Palatino Linotype"/>
          <w:w w:val="105"/>
          <w:sz w:val="20"/>
          <w:szCs w:val="20"/>
          <w:lang w:val="id-ID"/>
        </w:rPr>
        <w:t>media</w:t>
      </w:r>
      <w:r w:rsidRPr="00D35376">
        <w:rPr>
          <w:rFonts w:ascii="Palatino Linotype" w:hAnsi="Palatino Linotype"/>
          <w:i/>
          <w:w w:val="105"/>
          <w:sz w:val="20"/>
          <w:szCs w:val="20"/>
          <w:lang w:val="id-ID"/>
        </w:rPr>
        <w:t xml:space="preserve">, digital design, </w:t>
      </w:r>
      <w:r w:rsidRPr="00D35376">
        <w:rPr>
          <w:rFonts w:ascii="Palatino Linotype" w:hAnsi="Palatino Linotype"/>
          <w:w w:val="105"/>
          <w:sz w:val="20"/>
          <w:szCs w:val="20"/>
          <w:lang w:val="id-ID"/>
        </w:rPr>
        <w:t>dan beberapa jenis pendidikan lainnya. Manusia tidak dapat dipisahkan dari teknologi yang semakin berkembang lebij jauh. Akan tetapi, yang menjadi poin utama dalam pendidikan jenis baru ini adalah teknologi.</w:t>
      </w:r>
    </w:p>
    <w:p w14:paraId="4F8A0EC6"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lastRenderedPageBreak/>
        <w:t>UU no. 20 of 2003 concerning National Education Standards states, "Education must be responsive to the demands of changing times"; currently, many new types of education are emerging due to the influence of globalization. These new types of education can include sound design, music technology, digital creative, digital law, creative media, digital design, and several other types of education. Humans cannot be separated from technology, which is increasingly developing further. However, the main point of this new type of education is technology.</w:t>
      </w:r>
    </w:p>
    <w:p w14:paraId="1D37CDAB"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t>Creative media education is education based on technology, arts and culture, which grows and develops due to technological advances and globalization, as well as the development of the creative industry. This creative media education is a new education that Indonesian citizens also have the right to receive. Creative media education can encourage realizing resources that are more creative and innovative, competitive and able to compete globally. Directly, creative media education positively impacts the development and progress of the creative industry and creative economy in Indonesia.</w:t>
      </w:r>
    </w:p>
    <w:p w14:paraId="41DDB4F9"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t>Creative media higher education is vocational education that provides creative media education that focuses on industries that produce future generations of professionals. Focusing on industry is one of the government's efforts to make breakthroughs in the education sector through the Independent Learning Campus (MBKM) program. Regulation of the Minister of Education and Culture of the Republic of Indonesia Number 3 of 2020 concerning National Higher Education Standards and Law Number 12 of 2012 concerning Higher Education states that curriculum preparation is the right of universities but must refer to national standards.</w:t>
      </w:r>
    </w:p>
    <w:p w14:paraId="717495A3"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t>Apart from these two policies, there is still Presidential Decree Number 8 of 2012 concerning KKNI. These policies encourage all universities to adapt to these provisions. The Independent Learning Program launched by the Minister of Education, Culture, Research and Technology in 2020 includes four main policies, namely: ease of opening new study programs, changes to the higher education accreditation system, ease of universities becoming legal entities, and the right to study for three semesters outside the program studies.</w:t>
      </w:r>
    </w:p>
    <w:p w14:paraId="56C6B81E" w14:textId="77777777" w:rsidR="00204892" w:rsidRPr="00D35376" w:rsidRDefault="00204892" w:rsidP="00D35376">
      <w:pPr>
        <w:pStyle w:val="BodyText"/>
        <w:spacing w:before="235" w:after="240" w:line="254" w:lineRule="auto"/>
        <w:ind w:left="426" w:right="478" w:firstLine="567"/>
        <w:jc w:val="both"/>
        <w:rPr>
          <w:rFonts w:ascii="Palatino Linotype" w:hAnsi="Palatino Linotype"/>
          <w:w w:val="105"/>
          <w:sz w:val="20"/>
          <w:szCs w:val="20"/>
          <w:lang w:val="id-ID"/>
        </w:rPr>
      </w:pPr>
      <w:r w:rsidRPr="00D35376">
        <w:rPr>
          <w:rFonts w:ascii="Palatino Linotype" w:hAnsi="Palatino Linotype"/>
          <w:w w:val="105"/>
          <w:sz w:val="20"/>
          <w:szCs w:val="20"/>
          <w:lang w:val="id-ID"/>
        </w:rPr>
        <w:t>The learning process on an independent campus is one manifestation of student-centered learning. Learning on the Independent Campus provides challenges and opportunities to develop students' creativity, capacity, personality and needs, as well as developing independence in seeking and discovering knowledge through reality and dynamics Fields such as ability requirements, real problems, social interaction, collaboration, self -management, performance demands, targets and achievements. The Merdeka Campus seeks the challenges of higher education to produce graduates through the development of science and technology and the demands of the business world and industry.</w:t>
      </w:r>
    </w:p>
    <w:p w14:paraId="5BF41D63" w14:textId="0237A74B" w:rsidR="005B5AEC" w:rsidRPr="00D35376" w:rsidRDefault="00204892" w:rsidP="00D35376">
      <w:pPr>
        <w:pStyle w:val="BodyText"/>
        <w:spacing w:before="235" w:after="240" w:line="254" w:lineRule="auto"/>
        <w:ind w:left="426" w:right="478" w:firstLine="567"/>
        <w:jc w:val="both"/>
        <w:rPr>
          <w:rFonts w:ascii="Palatino Linotype" w:eastAsia="SimSun" w:hAnsi="Palatino Linotype"/>
          <w:spacing w:val="-2"/>
          <w:sz w:val="20"/>
          <w:szCs w:val="20"/>
          <w:lang w:val="en-ID" w:eastAsia="zh-CN"/>
        </w:rPr>
      </w:pPr>
      <w:r w:rsidRPr="00D35376">
        <w:rPr>
          <w:rFonts w:ascii="Palatino Linotype" w:hAnsi="Palatino Linotype"/>
          <w:w w:val="105"/>
          <w:sz w:val="20"/>
          <w:szCs w:val="20"/>
          <w:lang w:val="id-ID"/>
        </w:rPr>
        <w:t xml:space="preserve">Creative media education in Indonesia still needs to catch up with other countries regarding majors, teaching methods, curriculum, and adequate infrastructure. In addition, the education system in Indonesia still needs to prioritize the quality of the creativity industry to students, so the capital of creativity, such as the mindset, still needs </w:t>
      </w:r>
      <w:r w:rsidRPr="00D35376">
        <w:rPr>
          <w:rFonts w:ascii="Palatino Linotype" w:hAnsi="Palatino Linotype"/>
          <w:w w:val="105"/>
          <w:sz w:val="20"/>
          <w:szCs w:val="20"/>
          <w:lang w:val="id-ID"/>
        </w:rPr>
        <w:lastRenderedPageBreak/>
        <w:t>to run optimally to increase industrial creativity in Indonesia. Creative media education could be smoother in its implementation, which is related to the many obstacles, including overlapping education regulations and the creative economy in Indonesia. In addition, in Indonesia, it is still difficult to open a new major or study program that is more specific because there is no vocabulary in the ministry</w:t>
      </w:r>
      <w:r w:rsidR="002B31FD" w:rsidRPr="00D35376">
        <w:rPr>
          <w:rFonts w:ascii="Palatino Linotype" w:eastAsia="SimSun" w:hAnsi="Palatino Linotype"/>
          <w:spacing w:val="-2"/>
          <w:sz w:val="20"/>
          <w:szCs w:val="20"/>
          <w:lang w:val="en-ID" w:eastAsia="zh-CN"/>
        </w:rPr>
        <w:t>.</w:t>
      </w:r>
    </w:p>
    <w:p w14:paraId="3F185786" w14:textId="77777777" w:rsidR="00727D5A" w:rsidRDefault="00727D5A" w:rsidP="005B5AEC">
      <w:pPr>
        <w:pStyle w:val="Alishlah31text"/>
        <w:rPr>
          <w:rFonts w:eastAsia="SimSun"/>
          <w:spacing w:val="-2"/>
          <w:lang w:val="en-ID" w:eastAsia="zh-CN"/>
        </w:rPr>
      </w:pPr>
    </w:p>
    <w:p w14:paraId="23E2937C" w14:textId="77777777" w:rsidR="005B5AEC" w:rsidRPr="00723B12" w:rsidRDefault="005B5AEC" w:rsidP="005B5AEC">
      <w:pPr>
        <w:pStyle w:val="Alishlah21heading1"/>
        <w:rPr>
          <w:rFonts w:eastAsia="Arial"/>
        </w:rPr>
      </w:pPr>
      <w:r w:rsidRPr="00723B12">
        <w:rPr>
          <w:rFonts w:eastAsia="Arial"/>
        </w:rPr>
        <w:t xml:space="preserve">METHODS </w:t>
      </w:r>
    </w:p>
    <w:p w14:paraId="4640D3CA" w14:textId="0984BFC6" w:rsidR="005B5AEC" w:rsidRPr="00E8179E" w:rsidRDefault="00204892" w:rsidP="00E8179E">
      <w:pPr>
        <w:pStyle w:val="BodyText"/>
        <w:spacing w:before="235" w:after="240" w:line="254" w:lineRule="auto"/>
        <w:ind w:left="426" w:right="478" w:firstLine="567"/>
        <w:jc w:val="both"/>
        <w:rPr>
          <w:rFonts w:ascii="Palatino Linotype" w:hAnsi="Palatino Linotype"/>
          <w:w w:val="105"/>
          <w:sz w:val="20"/>
          <w:szCs w:val="20"/>
        </w:rPr>
      </w:pPr>
      <w:r w:rsidRPr="006318C6">
        <w:rPr>
          <w:rFonts w:ascii="Palatino Linotype" w:hAnsi="Palatino Linotype"/>
          <w:w w:val="105"/>
          <w:sz w:val="20"/>
          <w:szCs w:val="20"/>
          <w:lang w:val="id-ID"/>
        </w:rPr>
        <w:t xml:space="preserve">The study employed a normative juridical approach, attributing to legal norms and principles, applicable laws and regulations, legal theories and doctrines, and other relevant literary inquiries. The data were secondary data which included primary, secondary, and tertiary legal materials. All data were collected by inspecting, gathering, and examining literary studies, laws and regulations, research findings, scientific studies, and other written files. Meanwhile, the analysis was qualitative, with written legal research materials from respondents, to </w:t>
      </w:r>
      <w:r w:rsidRPr="00E8179E">
        <w:rPr>
          <w:rFonts w:ascii="Palatino Linotype" w:hAnsi="Palatino Linotype"/>
          <w:w w:val="105"/>
          <w:sz w:val="20"/>
          <w:szCs w:val="20"/>
          <w:lang w:val="id-ID"/>
        </w:rPr>
        <w:t>comprehensively researched and intrepreted in order to obtain the predicted conclusion</w:t>
      </w:r>
      <w:r w:rsidR="00E8179E" w:rsidRPr="00E8179E">
        <w:rPr>
          <w:rFonts w:ascii="Palatino Linotype" w:hAnsi="Palatino Linotype"/>
          <w:w w:val="105"/>
          <w:sz w:val="20"/>
          <w:szCs w:val="20"/>
        </w:rPr>
        <w:t xml:space="preserve"> (</w:t>
      </w:r>
      <w:r w:rsidR="00E8179E" w:rsidRPr="00E8179E">
        <w:rPr>
          <w:rFonts w:ascii="Palatino Linotype" w:hAnsi="Palatino Linotype"/>
          <w:sz w:val="20"/>
          <w:szCs w:val="20"/>
          <w:lang w:val="id-ID"/>
        </w:rPr>
        <w:t>Soerjono</w:t>
      </w:r>
      <w:r w:rsidR="00E8179E" w:rsidRPr="00E8179E">
        <w:rPr>
          <w:rFonts w:ascii="Palatino Linotype" w:hAnsi="Palatino Linotype"/>
          <w:sz w:val="20"/>
          <w:szCs w:val="20"/>
          <w:lang w:val="id-ID"/>
        </w:rPr>
        <w:t xml:space="preserve">, </w:t>
      </w:r>
      <w:r w:rsidR="00E8179E" w:rsidRPr="00E8179E">
        <w:rPr>
          <w:rFonts w:ascii="Palatino Linotype" w:hAnsi="Palatino Linotype"/>
          <w:sz w:val="20"/>
          <w:szCs w:val="20"/>
          <w:lang w:val="id-ID"/>
        </w:rPr>
        <w:t>2010</w:t>
      </w:r>
      <w:r w:rsidR="00E8179E" w:rsidRPr="00E8179E">
        <w:rPr>
          <w:rFonts w:ascii="Palatino Linotype" w:hAnsi="Palatino Linotype"/>
          <w:sz w:val="20"/>
          <w:szCs w:val="20"/>
          <w:lang w:val="id-ID"/>
        </w:rPr>
        <w:t xml:space="preserve"> :50).</w:t>
      </w:r>
    </w:p>
    <w:p w14:paraId="4009BAC2"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4BCFAD26" w14:textId="77777777" w:rsidR="00204892" w:rsidRPr="006318C6" w:rsidRDefault="00204892" w:rsidP="006318C6">
      <w:pPr>
        <w:pStyle w:val="Heading2"/>
        <w:tabs>
          <w:tab w:val="left" w:pos="709"/>
        </w:tabs>
        <w:spacing w:before="0" w:after="240"/>
        <w:ind w:left="284"/>
        <w:jc w:val="both"/>
        <w:rPr>
          <w:rFonts w:ascii="Palatino Linotype" w:hAnsi="Palatino Linotype"/>
          <w:color w:val="auto"/>
          <w:sz w:val="20"/>
          <w:szCs w:val="20"/>
          <w:lang w:val="id-ID"/>
        </w:rPr>
      </w:pPr>
      <w:r w:rsidRPr="006318C6">
        <w:rPr>
          <w:rFonts w:ascii="Palatino Linotype" w:hAnsi="Palatino Linotype"/>
          <w:color w:val="auto"/>
          <w:sz w:val="20"/>
          <w:szCs w:val="20"/>
          <w:lang w:val="id-ID"/>
        </w:rPr>
        <w:t>3.1 Creative Media Education Part of Creative Industry 5.0</w:t>
      </w:r>
    </w:p>
    <w:p w14:paraId="79326757" w14:textId="6D095409" w:rsidR="00204892" w:rsidRPr="0014691C"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 xml:space="preserve">Higher education is a forum for research and development and forming a generation with personality and scientific competence according to its field. The decision to choose a college is an investment for </w:t>
      </w:r>
      <w:r w:rsidRPr="006318C6">
        <w:rPr>
          <w:rFonts w:ascii="Palatino Linotype" w:hAnsi="Palatino Linotype"/>
          <w:w w:val="105"/>
          <w:sz w:val="20"/>
          <w:szCs w:val="20"/>
          <w:lang w:val="id-ID"/>
        </w:rPr>
        <w:t>prospective</w:t>
      </w:r>
      <w:r w:rsidRPr="006318C6">
        <w:rPr>
          <w:rFonts w:ascii="Palatino Linotype" w:hAnsi="Palatino Linotype"/>
          <w:sz w:val="20"/>
          <w:szCs w:val="20"/>
          <w:lang w:val="id-ID"/>
        </w:rPr>
        <w:t xml:space="preserve"> </w:t>
      </w:r>
      <w:r w:rsidRPr="0014691C">
        <w:rPr>
          <w:rFonts w:ascii="Palatino Linotype" w:hAnsi="Palatino Linotype"/>
          <w:sz w:val="20"/>
          <w:szCs w:val="20"/>
          <w:lang w:val="id-ID"/>
        </w:rPr>
        <w:t>students. The final result of the investment must be profitable for the student after graduating from college because studying at a university is expensive and takes quite a long time</w:t>
      </w:r>
      <w:r w:rsidR="0014691C" w:rsidRPr="0014691C">
        <w:rPr>
          <w:rFonts w:ascii="Palatino Linotype" w:hAnsi="Palatino Linotype"/>
          <w:sz w:val="20"/>
          <w:szCs w:val="20"/>
          <w:lang w:val="id-ID"/>
        </w:rPr>
        <w:t xml:space="preserve"> (</w:t>
      </w:r>
      <w:r w:rsidR="0014691C" w:rsidRPr="0014691C">
        <w:rPr>
          <w:rFonts w:ascii="Palatino Linotype" w:hAnsi="Palatino Linotype"/>
          <w:sz w:val="20"/>
          <w:szCs w:val="20"/>
          <w:lang w:val="id-ID"/>
        </w:rPr>
        <w:t>Dharmawansyah</w:t>
      </w:r>
      <w:r w:rsidR="0014691C" w:rsidRPr="0014691C">
        <w:rPr>
          <w:rFonts w:ascii="Palatino Linotype" w:hAnsi="Palatino Linotype"/>
          <w:sz w:val="20"/>
          <w:szCs w:val="20"/>
          <w:lang w:val="id-ID"/>
        </w:rPr>
        <w:t xml:space="preserve"> : 2014)</w:t>
      </w:r>
      <w:r w:rsidRPr="0014691C">
        <w:rPr>
          <w:rFonts w:ascii="Palatino Linotype" w:hAnsi="Palatino Linotype"/>
          <w:sz w:val="20"/>
          <w:szCs w:val="20"/>
          <w:lang w:val="id-ID"/>
        </w:rPr>
        <w:t xml:space="preserve">. </w:t>
      </w:r>
    </w:p>
    <w:p w14:paraId="1DB35AF6"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i/>
          <w:sz w:val="20"/>
          <w:szCs w:val="20"/>
        </w:rPr>
      </w:pPr>
      <w:r w:rsidRPr="006318C6">
        <w:rPr>
          <w:rFonts w:ascii="Palatino Linotype" w:hAnsi="Palatino Linotype"/>
          <w:sz w:val="20"/>
          <w:szCs w:val="20"/>
          <w:lang w:val="id-ID"/>
        </w:rPr>
        <w:t>Meanwhile, higher education's science and technology clusters are arranged systematically and consist of the religious sciences, humanities sciences, social sciences, natural sciences, formal sciences and applied sciences. Creative media education is included in the humanities family, covering the dominant fields in the creative industry, namely media, art and technology. The fields covered in creative media education include audio engineering, film production, interactive animation, music business, and many more, which we hope to expose</w:t>
      </w:r>
      <w:r w:rsidRPr="006318C6">
        <w:rPr>
          <w:rFonts w:ascii="Palatino Linotype" w:hAnsi="Palatino Linotype"/>
          <w:i/>
          <w:sz w:val="20"/>
          <w:szCs w:val="20"/>
        </w:rPr>
        <w:t>.</w:t>
      </w:r>
    </w:p>
    <w:p w14:paraId="04B547A4" w14:textId="5CC5E370"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 xml:space="preserve">Media literacy education is a rising field of study. Its social and academic importance has been well recognized in recent years, and it is rapidly growing around the </w:t>
      </w:r>
      <w:r w:rsidRPr="0014691C">
        <w:rPr>
          <w:rFonts w:ascii="Palatino Linotype" w:hAnsi="Palatino Linotype"/>
          <w:sz w:val="20"/>
          <w:szCs w:val="20"/>
          <w:lang w:val="id-ID"/>
        </w:rPr>
        <w:t>globe</w:t>
      </w:r>
      <w:r w:rsidR="0014691C" w:rsidRPr="0014691C">
        <w:rPr>
          <w:rFonts w:ascii="Palatino Linotype" w:hAnsi="Palatino Linotype"/>
          <w:sz w:val="20"/>
          <w:szCs w:val="20"/>
          <w:lang w:val="id-ID"/>
        </w:rPr>
        <w:t xml:space="preserve"> (</w:t>
      </w:r>
      <w:r w:rsidR="0014691C" w:rsidRPr="0014691C">
        <w:rPr>
          <w:rFonts w:ascii="Palatino Linotype" w:hAnsi="Palatino Linotype"/>
          <w:sz w:val="20"/>
          <w:szCs w:val="20"/>
          <w:lang w:val="id-ID"/>
        </w:rPr>
        <w:t>Burn  and Durran, 2007</w:t>
      </w:r>
      <w:r w:rsidR="0014691C" w:rsidRPr="0014691C">
        <w:rPr>
          <w:rFonts w:ascii="Palatino Linotype" w:hAnsi="Palatino Linotype"/>
          <w:sz w:val="20"/>
          <w:szCs w:val="20"/>
          <w:lang w:val="id-ID"/>
        </w:rPr>
        <w:t>:133)</w:t>
      </w:r>
      <w:r w:rsidRPr="0014691C">
        <w:rPr>
          <w:rFonts w:ascii="Palatino Linotype" w:hAnsi="Palatino Linotype"/>
          <w:sz w:val="20"/>
          <w:szCs w:val="20"/>
          <w:lang w:val="id-ID"/>
        </w:rPr>
        <w:t>. Media literacy education is now situated in a new technol</w:t>
      </w:r>
      <w:r w:rsidRPr="006318C6">
        <w:rPr>
          <w:rFonts w:ascii="Palatino Linotype" w:hAnsi="Palatino Linotype"/>
          <w:sz w:val="20"/>
          <w:szCs w:val="20"/>
          <w:lang w:val="id-ID"/>
        </w:rPr>
        <w:t xml:space="preserve">ogical age. In a mobile networked society, learning is not limited to the classroom. Therefore, regarding future media literacy education, whether it is for students, teachers and other media educators sholud consider new curriculum </w:t>
      </w:r>
      <w:r w:rsidRPr="0014691C">
        <w:rPr>
          <w:rFonts w:ascii="Palatino Linotype" w:hAnsi="Palatino Linotype"/>
          <w:sz w:val="20"/>
          <w:szCs w:val="20"/>
          <w:lang w:val="id-ID"/>
        </w:rPr>
        <w:t>design and a new pedagogic approach, which also fits outside school and university settings</w:t>
      </w:r>
      <w:r w:rsidR="0014691C" w:rsidRPr="0014691C">
        <w:rPr>
          <w:rFonts w:ascii="Palatino Linotype" w:hAnsi="Palatino Linotype"/>
          <w:sz w:val="20"/>
          <w:szCs w:val="20"/>
          <w:lang w:val="id-ID"/>
        </w:rPr>
        <w:t xml:space="preserve"> (</w:t>
      </w:r>
      <w:r w:rsidR="0014691C" w:rsidRPr="0014691C">
        <w:rPr>
          <w:rFonts w:ascii="Palatino Linotype" w:hAnsi="Palatino Linotype"/>
          <w:sz w:val="20"/>
          <w:szCs w:val="20"/>
          <w:lang w:val="id-ID"/>
        </w:rPr>
        <w:t>Bell</w:t>
      </w:r>
      <w:r w:rsidR="0014691C" w:rsidRPr="0014691C">
        <w:rPr>
          <w:rFonts w:ascii="Palatino Linotype" w:hAnsi="Palatino Linotype"/>
          <w:sz w:val="20"/>
          <w:szCs w:val="20"/>
          <w:lang w:val="id-ID"/>
        </w:rPr>
        <w:t>, 2007)</w:t>
      </w:r>
      <w:r w:rsidRPr="0014691C">
        <w:rPr>
          <w:rFonts w:ascii="Palatino Linotype" w:hAnsi="Palatino Linotype"/>
          <w:sz w:val="20"/>
          <w:szCs w:val="20"/>
          <w:lang w:val="id-ID"/>
        </w:rPr>
        <w:t>.</w:t>
      </w:r>
    </w:p>
    <w:p w14:paraId="398A21DD" w14:textId="42EBEB6A" w:rsidR="00204892" w:rsidRPr="0014691C" w:rsidRDefault="00204892" w:rsidP="006318C6">
      <w:pPr>
        <w:pStyle w:val="BodyText"/>
        <w:spacing w:before="235" w:after="240" w:line="254" w:lineRule="auto"/>
        <w:ind w:left="426" w:right="478" w:firstLine="567"/>
        <w:jc w:val="both"/>
        <w:rPr>
          <w:rFonts w:ascii="Palatino Linotype" w:hAnsi="Palatino Linotype"/>
          <w:w w:val="105"/>
          <w:sz w:val="20"/>
          <w:szCs w:val="20"/>
          <w:lang w:val="id-ID"/>
        </w:rPr>
      </w:pPr>
      <w:r w:rsidRPr="006318C6">
        <w:rPr>
          <w:rFonts w:ascii="Palatino Linotype" w:hAnsi="Palatino Linotype"/>
          <w:sz w:val="20"/>
          <w:szCs w:val="20"/>
          <w:lang w:val="id-ID"/>
        </w:rPr>
        <w:t xml:space="preserve">In the United States, for example, the media literacy sit quite comfortably in a place where it can be seen as a way of improving overall educational outcomes, allowing students in both schools and universities to use their developing </w:t>
      </w:r>
      <w:r w:rsidRPr="0014691C">
        <w:rPr>
          <w:rFonts w:ascii="Palatino Linotype" w:hAnsi="Palatino Linotype"/>
          <w:sz w:val="20"/>
          <w:szCs w:val="20"/>
          <w:lang w:val="id-ID"/>
        </w:rPr>
        <w:t>skills in digital media and knowledge to access a range of other learning opportunities</w:t>
      </w:r>
      <w:r w:rsidR="0014691C" w:rsidRPr="0014691C">
        <w:rPr>
          <w:rFonts w:ascii="Palatino Linotype" w:hAnsi="Palatino Linotype"/>
          <w:sz w:val="20"/>
          <w:szCs w:val="20"/>
          <w:lang w:val="id-ID"/>
        </w:rPr>
        <w:t xml:space="preserve"> (</w:t>
      </w:r>
      <w:r w:rsidR="0014691C" w:rsidRPr="0014691C">
        <w:rPr>
          <w:rFonts w:ascii="Palatino Linotype" w:hAnsi="Palatino Linotype"/>
          <w:sz w:val="20"/>
          <w:szCs w:val="20"/>
          <w:lang w:val="id-ID"/>
        </w:rPr>
        <w:t>Abreu, et al., 2017</w:t>
      </w:r>
      <w:r w:rsidR="0014691C" w:rsidRPr="0014691C">
        <w:rPr>
          <w:rFonts w:ascii="Palatino Linotype" w:hAnsi="Palatino Linotype"/>
          <w:sz w:val="20"/>
          <w:szCs w:val="20"/>
          <w:lang w:val="id-ID"/>
        </w:rPr>
        <w:t>:144)</w:t>
      </w:r>
      <w:r w:rsidR="0014691C" w:rsidRPr="0014691C">
        <w:rPr>
          <w:rFonts w:ascii="Palatino Linotype" w:hAnsi="Palatino Linotype"/>
          <w:w w:val="105"/>
          <w:sz w:val="20"/>
          <w:szCs w:val="20"/>
        </w:rPr>
        <w:t>.</w:t>
      </w:r>
      <w:r w:rsidRPr="0014691C">
        <w:rPr>
          <w:rFonts w:ascii="Palatino Linotype" w:hAnsi="Palatino Linotype"/>
          <w:w w:val="105"/>
          <w:sz w:val="20"/>
          <w:szCs w:val="20"/>
          <w:lang w:val="id-ID"/>
        </w:rPr>
        <w:t xml:space="preserve"> Creative</w:t>
      </w:r>
      <w:r w:rsidRPr="006318C6">
        <w:rPr>
          <w:rFonts w:ascii="Palatino Linotype" w:hAnsi="Palatino Linotype"/>
          <w:w w:val="105"/>
          <w:sz w:val="20"/>
          <w:szCs w:val="20"/>
          <w:lang w:val="id-ID"/>
        </w:rPr>
        <w:t xml:space="preserve"> media </w:t>
      </w:r>
      <w:r w:rsidRPr="006318C6">
        <w:rPr>
          <w:rFonts w:ascii="Palatino Linotype" w:hAnsi="Palatino Linotype"/>
          <w:w w:val="105"/>
          <w:sz w:val="20"/>
          <w:szCs w:val="20"/>
          <w:lang w:val="id-ID"/>
        </w:rPr>
        <w:lastRenderedPageBreak/>
        <w:t xml:space="preserve">literacy becomes one of a philosophical orientation towards creative </w:t>
      </w:r>
      <w:r w:rsidRPr="0014691C">
        <w:rPr>
          <w:rFonts w:ascii="Palatino Linotype" w:hAnsi="Palatino Linotype"/>
          <w:w w:val="105"/>
          <w:sz w:val="20"/>
          <w:szCs w:val="20"/>
          <w:lang w:val="id-ID"/>
        </w:rPr>
        <w:t>practice</w:t>
      </w:r>
      <w:r w:rsidR="0014691C" w:rsidRPr="0014691C">
        <w:rPr>
          <w:rFonts w:ascii="Palatino Linotype" w:hAnsi="Palatino Linotype"/>
          <w:w w:val="105"/>
          <w:sz w:val="20"/>
          <w:szCs w:val="20"/>
          <w:lang w:val="id-ID"/>
        </w:rPr>
        <w:t xml:space="preserve"> (</w:t>
      </w:r>
      <w:r w:rsidR="0014691C" w:rsidRPr="0014691C">
        <w:rPr>
          <w:rFonts w:ascii="Palatino Linotype" w:hAnsi="Palatino Linotype"/>
          <w:sz w:val="20"/>
          <w:szCs w:val="20"/>
          <w:lang w:val="id-ID"/>
        </w:rPr>
        <w:t>Connolly, S. 2013</w:t>
      </w:r>
      <w:r w:rsidR="0014691C" w:rsidRPr="0014691C">
        <w:rPr>
          <w:rFonts w:ascii="Palatino Linotype" w:hAnsi="Palatino Linotype"/>
          <w:sz w:val="20"/>
          <w:szCs w:val="20"/>
          <w:lang w:val="id-ID"/>
        </w:rPr>
        <w:t>:100)</w:t>
      </w:r>
      <w:r w:rsidRPr="0014691C">
        <w:rPr>
          <w:rFonts w:ascii="Palatino Linotype" w:hAnsi="Palatino Linotype"/>
          <w:w w:val="105"/>
          <w:sz w:val="20"/>
          <w:szCs w:val="20"/>
          <w:lang w:val="id-ID"/>
        </w:rPr>
        <w:t>. Creative media literacy entails articulation of the relationship between theory and practice</w:t>
      </w:r>
      <w:r w:rsidR="0014691C" w:rsidRPr="0014691C">
        <w:rPr>
          <w:rFonts w:ascii="Palatino Linotype" w:hAnsi="Palatino Linotype"/>
          <w:w w:val="105"/>
          <w:sz w:val="20"/>
          <w:szCs w:val="20"/>
          <w:lang w:val="id-ID"/>
        </w:rPr>
        <w:t xml:space="preserve"> (</w:t>
      </w:r>
      <w:r w:rsidR="0014691C" w:rsidRPr="0014691C">
        <w:rPr>
          <w:rFonts w:ascii="Palatino Linotype" w:hAnsi="Palatino Linotype"/>
          <w:sz w:val="20"/>
          <w:szCs w:val="20"/>
          <w:lang w:val="id-ID"/>
        </w:rPr>
        <w:t>Connolly</w:t>
      </w:r>
      <w:r w:rsidR="0014691C" w:rsidRPr="0014691C">
        <w:rPr>
          <w:rFonts w:ascii="Palatino Linotype" w:hAnsi="Palatino Linotype"/>
          <w:sz w:val="20"/>
          <w:szCs w:val="20"/>
          <w:lang w:val="id-ID"/>
        </w:rPr>
        <w:t>:2014)</w:t>
      </w:r>
      <w:r w:rsidRPr="0014691C">
        <w:rPr>
          <w:rFonts w:ascii="Palatino Linotype" w:hAnsi="Palatino Linotype"/>
          <w:w w:val="105"/>
          <w:sz w:val="20"/>
          <w:szCs w:val="20"/>
          <w:lang w:val="id-ID"/>
        </w:rPr>
        <w:t>.</w:t>
      </w:r>
    </w:p>
    <w:p w14:paraId="0341F979" w14:textId="07D459E3" w:rsidR="00204892" w:rsidRPr="0014691C" w:rsidRDefault="00204892" w:rsidP="006318C6">
      <w:pPr>
        <w:pStyle w:val="BodyText"/>
        <w:spacing w:before="235" w:after="240" w:line="254" w:lineRule="auto"/>
        <w:ind w:left="426" w:right="478" w:firstLine="567"/>
        <w:jc w:val="both"/>
        <w:rPr>
          <w:rFonts w:ascii="Palatino Linotype" w:hAnsi="Palatino Linotype"/>
          <w:w w:val="105"/>
          <w:sz w:val="20"/>
          <w:szCs w:val="20"/>
          <w:lang w:val="id-ID"/>
        </w:rPr>
      </w:pPr>
      <w:r w:rsidRPr="006318C6">
        <w:rPr>
          <w:rFonts w:ascii="Palatino Linotype" w:hAnsi="Palatino Linotype"/>
          <w:iCs/>
          <w:w w:val="105"/>
          <w:sz w:val="20"/>
          <w:szCs w:val="20"/>
          <w:lang w:val="id-ID"/>
        </w:rPr>
        <w:t xml:space="preserve">Creative Media Education or creative media education in Indonesia, according to Law Number 2 of 2012 concerning </w:t>
      </w:r>
      <w:r w:rsidRPr="006318C6">
        <w:rPr>
          <w:rFonts w:ascii="Palatino Linotype" w:hAnsi="Palatino Linotype"/>
          <w:sz w:val="20"/>
          <w:szCs w:val="20"/>
          <w:lang w:val="id-ID"/>
        </w:rPr>
        <w:t>Higher</w:t>
      </w:r>
      <w:r w:rsidRPr="006318C6">
        <w:rPr>
          <w:rFonts w:ascii="Palatino Linotype" w:hAnsi="Palatino Linotype"/>
          <w:iCs/>
          <w:w w:val="105"/>
          <w:sz w:val="20"/>
          <w:szCs w:val="20"/>
          <w:lang w:val="id-ID"/>
        </w:rPr>
        <w:t xml:space="preserve"> Education itself, is a type of vocational education seen from the curriculum structure and learning outcomes and its implementation objectives. As vocational education, creative media education </w:t>
      </w:r>
      <w:r w:rsidRPr="0014691C">
        <w:rPr>
          <w:rFonts w:ascii="Palatino Linotype" w:hAnsi="Palatino Linotype"/>
          <w:iCs/>
          <w:w w:val="105"/>
          <w:sz w:val="20"/>
          <w:szCs w:val="20"/>
          <w:lang w:val="id-ID"/>
        </w:rPr>
        <w:t>emphasizes practical development rather than theoretical because creative media higher education focuses more on preparing human resources (HR) in the creative industry sector</w:t>
      </w:r>
      <w:r w:rsidR="0014691C" w:rsidRPr="0014691C">
        <w:rPr>
          <w:rFonts w:ascii="Palatino Linotype" w:hAnsi="Palatino Linotype"/>
          <w:iCs/>
          <w:w w:val="105"/>
          <w:sz w:val="20"/>
          <w:szCs w:val="20"/>
          <w:lang w:val="id-ID"/>
        </w:rPr>
        <w:t xml:space="preserve"> (</w:t>
      </w:r>
      <w:r w:rsidR="0014691C" w:rsidRPr="0014691C">
        <w:rPr>
          <w:rFonts w:ascii="Palatino Linotype" w:hAnsi="Palatino Linotype"/>
          <w:sz w:val="20"/>
          <w:szCs w:val="20"/>
          <w:lang w:val="id-ID"/>
        </w:rPr>
        <w:t>Darsana &amp; Koerniawati, 2021</w:t>
      </w:r>
      <w:r w:rsidR="0014691C" w:rsidRPr="0014691C">
        <w:rPr>
          <w:rFonts w:ascii="Palatino Linotype" w:hAnsi="Palatino Linotype"/>
          <w:sz w:val="20"/>
          <w:szCs w:val="20"/>
          <w:lang w:val="id-ID"/>
        </w:rPr>
        <w:t>)</w:t>
      </w:r>
      <w:r w:rsidRPr="0014691C">
        <w:rPr>
          <w:rFonts w:ascii="Palatino Linotype" w:hAnsi="Palatino Linotype"/>
          <w:w w:val="105"/>
          <w:sz w:val="20"/>
          <w:szCs w:val="20"/>
          <w:lang w:val="id-ID"/>
        </w:rPr>
        <w:t>.</w:t>
      </w:r>
    </w:p>
    <w:p w14:paraId="150C56CD" w14:textId="0B3A0FFE" w:rsidR="00204892" w:rsidRPr="006318C6" w:rsidRDefault="00204892" w:rsidP="006318C6">
      <w:pPr>
        <w:pStyle w:val="BodyText"/>
        <w:spacing w:before="235" w:after="240" w:line="254" w:lineRule="auto"/>
        <w:ind w:left="426" w:right="478" w:firstLine="567"/>
        <w:jc w:val="both"/>
        <w:rPr>
          <w:rFonts w:ascii="Palatino Linotype" w:hAnsi="Palatino Linotype"/>
          <w:w w:val="105"/>
          <w:sz w:val="20"/>
          <w:szCs w:val="20"/>
          <w:lang w:val="id-ID"/>
        </w:rPr>
      </w:pPr>
      <w:r w:rsidRPr="006318C6">
        <w:rPr>
          <w:rFonts w:ascii="Palatino Linotype" w:hAnsi="Palatino Linotype"/>
          <w:sz w:val="20"/>
          <w:szCs w:val="20"/>
          <w:lang w:val="id-ID"/>
        </w:rPr>
        <w:t xml:space="preserve">The creative industry is an economic sector that involves producing, distributing and utilizing </w:t>
      </w:r>
      <w:r w:rsidRPr="0014691C">
        <w:rPr>
          <w:rFonts w:ascii="Palatino Linotype" w:hAnsi="Palatino Linotype"/>
          <w:sz w:val="20"/>
          <w:szCs w:val="20"/>
          <w:lang w:val="id-ID"/>
        </w:rPr>
        <w:t>goods and services that combine creative, artistic and intellectual elements</w:t>
      </w:r>
      <w:r w:rsidR="0014691C" w:rsidRPr="0014691C">
        <w:rPr>
          <w:rFonts w:ascii="Palatino Linotype" w:hAnsi="Palatino Linotype"/>
          <w:sz w:val="20"/>
          <w:szCs w:val="20"/>
          <w:lang w:val="id-ID"/>
        </w:rPr>
        <w:t xml:space="preserve"> (</w:t>
      </w:r>
      <w:r w:rsidR="0014691C" w:rsidRPr="0014691C">
        <w:rPr>
          <w:rFonts w:ascii="Palatino Linotype" w:hAnsi="Palatino Linotype"/>
          <w:sz w:val="20"/>
          <w:szCs w:val="20"/>
          <w:lang w:val="id-ID"/>
        </w:rPr>
        <w:t xml:space="preserve">Fiandra, Ganefri, </w:t>
      </w:r>
      <w:r w:rsidR="0014691C" w:rsidRPr="0014691C">
        <w:rPr>
          <w:rFonts w:ascii="Palatino Linotype" w:hAnsi="Palatino Linotype"/>
          <w:sz w:val="20"/>
          <w:szCs w:val="20"/>
          <w:lang w:val="id-ID"/>
        </w:rPr>
        <w:t xml:space="preserve">dan </w:t>
      </w:r>
      <w:r w:rsidR="0014691C" w:rsidRPr="0014691C">
        <w:rPr>
          <w:rFonts w:ascii="Palatino Linotype" w:hAnsi="Palatino Linotype"/>
          <w:sz w:val="20"/>
          <w:szCs w:val="20"/>
          <w:lang w:val="id-ID"/>
        </w:rPr>
        <w:t>Yulastri, 2023</w:t>
      </w:r>
      <w:r w:rsidR="0014691C" w:rsidRPr="0014691C">
        <w:rPr>
          <w:rFonts w:ascii="Palatino Linotype" w:hAnsi="Palatino Linotype"/>
          <w:sz w:val="20"/>
          <w:szCs w:val="20"/>
          <w:lang w:val="id-ID"/>
        </w:rPr>
        <w:t>:90)</w:t>
      </w:r>
      <w:r w:rsidRPr="0014691C">
        <w:rPr>
          <w:rFonts w:ascii="Palatino Linotype" w:hAnsi="Palatino Linotype"/>
          <w:sz w:val="20"/>
          <w:szCs w:val="20"/>
          <w:lang w:val="id-ID"/>
        </w:rPr>
        <w:t>. The</w:t>
      </w:r>
      <w:r w:rsidRPr="006318C6">
        <w:rPr>
          <w:rFonts w:ascii="Palatino Linotype" w:hAnsi="Palatino Linotype"/>
          <w:sz w:val="20"/>
          <w:szCs w:val="20"/>
          <w:lang w:val="id-ID"/>
        </w:rPr>
        <w:t xml:space="preserve"> creative industry includes art, design, media, music, film, television, advertising, architecture, fashion, video games and other creative sectors. The </w:t>
      </w:r>
      <w:r w:rsidRPr="0014691C">
        <w:rPr>
          <w:rFonts w:ascii="Palatino Linotype" w:hAnsi="Palatino Linotype"/>
          <w:sz w:val="20"/>
          <w:szCs w:val="20"/>
          <w:lang w:val="id-ID"/>
        </w:rPr>
        <w:t>uniqueness of the creative industry is the combination of commercial production and creative expression</w:t>
      </w:r>
      <w:r w:rsidR="0014691C" w:rsidRPr="0014691C">
        <w:rPr>
          <w:rFonts w:ascii="Palatino Linotype" w:hAnsi="Palatino Linotype"/>
          <w:sz w:val="20"/>
          <w:szCs w:val="20"/>
          <w:lang w:val="id-ID"/>
        </w:rPr>
        <w:t xml:space="preserve"> (</w:t>
      </w:r>
      <w:r w:rsidR="0014691C" w:rsidRPr="0014691C">
        <w:rPr>
          <w:rFonts w:ascii="Palatino Linotype" w:hAnsi="Palatino Linotype"/>
          <w:sz w:val="20"/>
          <w:szCs w:val="20"/>
          <w:lang w:val="id-ID"/>
        </w:rPr>
        <w:t>Firmansyah &amp; Suchaina, 2023</w:t>
      </w:r>
      <w:r w:rsidR="0014691C" w:rsidRPr="0014691C">
        <w:rPr>
          <w:rFonts w:ascii="Palatino Linotype" w:hAnsi="Palatino Linotype"/>
          <w:sz w:val="20"/>
          <w:szCs w:val="20"/>
          <w:lang w:val="id-ID"/>
        </w:rPr>
        <w:t>)</w:t>
      </w:r>
      <w:r w:rsidRPr="0014691C">
        <w:rPr>
          <w:rFonts w:ascii="Palatino Linotype" w:hAnsi="Palatino Linotype"/>
          <w:sz w:val="20"/>
          <w:szCs w:val="20"/>
          <w:lang w:val="id-ID"/>
        </w:rPr>
        <w:t>.</w:t>
      </w:r>
    </w:p>
    <w:p w14:paraId="156AA0AA" w14:textId="0DBB4A9D" w:rsidR="00204892" w:rsidRPr="006318C6" w:rsidRDefault="00204892" w:rsidP="006318C6">
      <w:pPr>
        <w:pStyle w:val="BodyText"/>
        <w:spacing w:before="235" w:after="240" w:line="254" w:lineRule="auto"/>
        <w:ind w:left="426" w:right="478" w:firstLine="567"/>
        <w:jc w:val="both"/>
        <w:rPr>
          <w:rFonts w:ascii="Palatino Linotype" w:hAnsi="Palatino Linotype"/>
          <w:w w:val="105"/>
          <w:sz w:val="20"/>
          <w:szCs w:val="20"/>
          <w:lang w:val="id-ID"/>
        </w:rPr>
      </w:pPr>
      <w:r w:rsidRPr="006318C6">
        <w:rPr>
          <w:rFonts w:ascii="Palatino Linotype" w:hAnsi="Palatino Linotype"/>
          <w:w w:val="105"/>
          <w:sz w:val="20"/>
          <w:szCs w:val="20"/>
          <w:lang w:val="id-ID"/>
        </w:rPr>
        <w:t>The creative industry requires human resources who can operate company programs. Apart from that</w:t>
      </w:r>
      <w:r w:rsidRPr="0014691C">
        <w:rPr>
          <w:rFonts w:ascii="Palatino Linotype" w:hAnsi="Palatino Linotype"/>
          <w:w w:val="105"/>
          <w:sz w:val="20"/>
          <w:szCs w:val="20"/>
          <w:lang w:val="id-ID"/>
        </w:rPr>
        <w:t>, the industry requires a high level of technical, managerial and practical competency</w:t>
      </w:r>
      <w:r w:rsidR="0014691C" w:rsidRPr="0014691C">
        <w:rPr>
          <w:rFonts w:ascii="Palatino Linotype" w:hAnsi="Palatino Linotype"/>
          <w:w w:val="105"/>
          <w:sz w:val="20"/>
          <w:szCs w:val="20"/>
          <w:lang w:val="id-ID"/>
        </w:rPr>
        <w:t xml:space="preserve"> (</w:t>
      </w:r>
      <w:r w:rsidR="0014691C" w:rsidRPr="0014691C">
        <w:rPr>
          <w:rFonts w:ascii="Palatino Linotype" w:hAnsi="Palatino Linotype"/>
          <w:sz w:val="20"/>
          <w:szCs w:val="20"/>
          <w:lang w:val="id-ID"/>
        </w:rPr>
        <w:t>Wuryaningrat, 2020</w:t>
      </w:r>
      <w:r w:rsidR="0014691C" w:rsidRPr="0014691C">
        <w:rPr>
          <w:rFonts w:ascii="Palatino Linotype" w:hAnsi="Palatino Linotype"/>
          <w:sz w:val="20"/>
          <w:szCs w:val="20"/>
          <w:lang w:val="id-ID"/>
        </w:rPr>
        <w:t>).</w:t>
      </w:r>
      <w:r w:rsidRPr="006318C6">
        <w:rPr>
          <w:rFonts w:ascii="Palatino Linotype" w:hAnsi="Palatino Linotype"/>
          <w:w w:val="105"/>
          <w:sz w:val="20"/>
          <w:szCs w:val="20"/>
          <w:lang w:val="id-ID"/>
        </w:rPr>
        <w:t xml:space="preserve"> Therefore, human resources are required to be competitive and able to do what the company needs. </w:t>
      </w:r>
      <w:r w:rsidRPr="006318C6">
        <w:rPr>
          <w:rFonts w:ascii="Palatino Linotype" w:hAnsi="Palatino Linotype"/>
          <w:sz w:val="20"/>
          <w:szCs w:val="20"/>
          <w:lang w:val="id-ID"/>
        </w:rPr>
        <w:t>Competitive</w:t>
      </w:r>
      <w:r w:rsidRPr="006318C6">
        <w:rPr>
          <w:rFonts w:ascii="Palatino Linotype" w:hAnsi="Palatino Linotype"/>
          <w:w w:val="105"/>
          <w:sz w:val="20"/>
          <w:szCs w:val="20"/>
          <w:lang w:val="id-ID"/>
        </w:rPr>
        <w:t xml:space="preserve"> human resources must be able to excel and provide solutions to existing problems. Creative media higher education teaches how to know and do processes that can improve the quality of human resources in the creative media industry in Indonesia</w:t>
      </w:r>
      <w:r w:rsidRPr="006318C6">
        <w:rPr>
          <w:rFonts w:ascii="Palatino Linotype" w:hAnsi="Palatino Linotype"/>
          <w:w w:val="105"/>
          <w:sz w:val="20"/>
          <w:szCs w:val="20"/>
        </w:rPr>
        <w:t>.</w:t>
      </w:r>
    </w:p>
    <w:p w14:paraId="36A247FD"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w w:val="105"/>
          <w:sz w:val="20"/>
          <w:szCs w:val="20"/>
          <w:lang w:val="id-ID"/>
        </w:rPr>
      </w:pPr>
      <w:r w:rsidRPr="006318C6">
        <w:rPr>
          <w:rFonts w:ascii="Palatino Linotype" w:hAnsi="Palatino Linotype"/>
          <w:w w:val="105"/>
          <w:sz w:val="20"/>
          <w:szCs w:val="20"/>
          <w:lang w:val="id-ID"/>
        </w:rPr>
        <w:t xml:space="preserve">Based on this, creative media education plays an important role in the creative industry, especially in </w:t>
      </w:r>
      <w:r w:rsidRPr="006318C6">
        <w:rPr>
          <w:rFonts w:ascii="Palatino Linotype" w:hAnsi="Palatino Linotype"/>
          <w:sz w:val="20"/>
          <w:szCs w:val="20"/>
          <w:lang w:val="id-ID"/>
        </w:rPr>
        <w:t>audio</w:t>
      </w:r>
      <w:r w:rsidRPr="006318C6">
        <w:rPr>
          <w:rFonts w:ascii="Palatino Linotype" w:hAnsi="Palatino Linotype"/>
          <w:w w:val="105"/>
          <w:sz w:val="20"/>
          <w:szCs w:val="20"/>
          <w:lang w:val="id-ID"/>
        </w:rPr>
        <w:t xml:space="preserve"> engineering, which is needed in the creative industry, especially in music, film and television. Therefore, for higher education, both private and public, it is important to have an audio engineering study program because its existence is needed in the creative industry, which is increasingly advanced in this era of the Industrial Revolution.</w:t>
      </w:r>
    </w:p>
    <w:p w14:paraId="0AB09186" w14:textId="77777777" w:rsidR="00204892" w:rsidRPr="006318C6" w:rsidRDefault="00204892" w:rsidP="006318C6">
      <w:pPr>
        <w:pStyle w:val="Heading2"/>
        <w:spacing w:after="240"/>
        <w:ind w:left="284"/>
        <w:jc w:val="both"/>
        <w:rPr>
          <w:rFonts w:ascii="Palatino Linotype" w:hAnsi="Palatino Linotype"/>
          <w:color w:val="auto"/>
          <w:w w:val="105"/>
          <w:sz w:val="20"/>
          <w:szCs w:val="20"/>
          <w:lang w:val="id-ID"/>
        </w:rPr>
      </w:pPr>
      <w:r w:rsidRPr="006318C6">
        <w:rPr>
          <w:rFonts w:ascii="Palatino Linotype" w:hAnsi="Palatino Linotype"/>
          <w:color w:val="auto"/>
          <w:w w:val="105"/>
          <w:sz w:val="20"/>
          <w:szCs w:val="20"/>
          <w:lang w:val="id-ID"/>
        </w:rPr>
        <w:t>3.2 Study Program Nomenclature: Barriers to Opening New Creative Media Higher Education Study Programs in Indonesia</w:t>
      </w:r>
    </w:p>
    <w:p w14:paraId="32CB88A3"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Style w:val="Emphasis"/>
          <w:rFonts w:ascii="Palatino Linotype" w:hAnsi="Palatino Linotype"/>
          <w:color w:val="0E101A"/>
          <w:sz w:val="20"/>
          <w:szCs w:val="20"/>
        </w:rPr>
        <w:t>Creative media education</w:t>
      </w:r>
      <w:r w:rsidRPr="006318C6">
        <w:rPr>
          <w:rFonts w:ascii="Palatino Linotype" w:hAnsi="Palatino Linotype"/>
          <w:color w:val="0E101A"/>
          <w:sz w:val="20"/>
          <w:szCs w:val="20"/>
        </w:rPr>
        <w:t xml:space="preserve"> is an interdisciplinary field that explores the intersection between media, arts and education. This education focuses on using digital and traditional media to improve learning and working experiences in creative media, increase student creativity, and be more innovative. One of the important </w:t>
      </w:r>
      <w:r w:rsidRPr="006318C6">
        <w:rPr>
          <w:rFonts w:ascii="Palatino Linotype" w:hAnsi="Palatino Linotype"/>
          <w:sz w:val="20"/>
          <w:szCs w:val="20"/>
          <w:lang w:val="id-ID"/>
        </w:rPr>
        <w:t>creative</w:t>
      </w:r>
      <w:r w:rsidRPr="006318C6">
        <w:rPr>
          <w:rFonts w:ascii="Palatino Linotype" w:hAnsi="Palatino Linotype"/>
          <w:color w:val="0E101A"/>
          <w:sz w:val="20"/>
          <w:szCs w:val="20"/>
        </w:rPr>
        <w:t xml:space="preserve"> media education study programs is audio engineering.</w:t>
      </w:r>
      <w:r w:rsidRPr="006318C6">
        <w:rPr>
          <w:rFonts w:ascii="Palatino Linotype" w:hAnsi="Palatino Linotype"/>
          <w:sz w:val="20"/>
          <w:szCs w:val="20"/>
          <w:lang w:val="id-ID"/>
        </w:rPr>
        <w:t xml:space="preserve"> Audio/sound engineering is familiar and an important factor in concerts, films, music and television.</w:t>
      </w:r>
    </w:p>
    <w:p w14:paraId="4545AF94" w14:textId="4FBBAF16"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Style w:val="Emphasis"/>
          <w:rFonts w:ascii="Palatino Linotype" w:hAnsi="Palatino Linotype"/>
          <w:color w:val="0E101A"/>
          <w:sz w:val="20"/>
          <w:szCs w:val="20"/>
        </w:rPr>
        <w:t xml:space="preserve">Audio </w:t>
      </w:r>
      <w:r w:rsidRPr="0014691C">
        <w:rPr>
          <w:rStyle w:val="Emphasis"/>
          <w:rFonts w:ascii="Palatino Linotype" w:hAnsi="Palatino Linotype"/>
          <w:color w:val="0E101A"/>
          <w:sz w:val="20"/>
          <w:szCs w:val="20"/>
        </w:rPr>
        <w:t>Engineering</w:t>
      </w:r>
      <w:r w:rsidRPr="0014691C">
        <w:rPr>
          <w:rFonts w:ascii="Palatino Linotype" w:hAnsi="Palatino Linotype"/>
          <w:color w:val="0E101A"/>
          <w:sz w:val="20"/>
          <w:szCs w:val="20"/>
        </w:rPr>
        <w:t> is a field that combines technical expertise with artistic expression</w:t>
      </w:r>
      <w:r w:rsidR="0014691C" w:rsidRPr="0014691C">
        <w:rPr>
          <w:rFonts w:ascii="Palatino Linotype" w:hAnsi="Palatino Linotype"/>
          <w:color w:val="0E101A"/>
          <w:sz w:val="20"/>
          <w:szCs w:val="20"/>
        </w:rPr>
        <w:t xml:space="preserve"> (</w:t>
      </w:r>
      <w:r w:rsidR="0014691C" w:rsidRPr="0014691C">
        <w:rPr>
          <w:rFonts w:ascii="Palatino Linotype" w:hAnsi="Palatino Linotype"/>
          <w:sz w:val="20"/>
          <w:szCs w:val="20"/>
          <w:lang w:val="id-ID"/>
        </w:rPr>
        <w:t>Whitaker, Benson, 2001</w:t>
      </w:r>
      <w:r w:rsidR="0014691C" w:rsidRPr="0014691C">
        <w:rPr>
          <w:rFonts w:ascii="Palatino Linotype" w:hAnsi="Palatino Linotype"/>
          <w:sz w:val="20"/>
          <w:szCs w:val="20"/>
          <w:lang w:val="id-ID"/>
        </w:rPr>
        <w:t>:288).</w:t>
      </w:r>
      <w:r w:rsidRPr="0014691C">
        <w:rPr>
          <w:rFonts w:ascii="Palatino Linotype" w:hAnsi="Palatino Linotype"/>
          <w:sz w:val="20"/>
          <w:szCs w:val="20"/>
          <w:lang w:val="id-ID"/>
        </w:rPr>
        <w:t xml:space="preserve"> This</w:t>
      </w:r>
      <w:r w:rsidRPr="0014691C">
        <w:rPr>
          <w:rFonts w:ascii="Palatino Linotype" w:hAnsi="Palatino Linotype"/>
          <w:sz w:val="22"/>
          <w:szCs w:val="22"/>
          <w:lang w:val="id-ID"/>
        </w:rPr>
        <w:t xml:space="preserve"> </w:t>
      </w:r>
      <w:r w:rsidRPr="006318C6">
        <w:rPr>
          <w:rFonts w:ascii="Palatino Linotype" w:hAnsi="Palatino Linotype"/>
          <w:sz w:val="20"/>
          <w:szCs w:val="20"/>
          <w:lang w:val="id-ID"/>
        </w:rPr>
        <w:t xml:space="preserve">field covers recording, manipulating and reproducing sound, from recording music in the studio to live concerts. Many audio engineers come from arts, broadcasting, music or electronics backgrounds. Many accredited universities and </w:t>
      </w:r>
      <w:r w:rsidRPr="006318C6">
        <w:rPr>
          <w:rFonts w:ascii="Palatino Linotype" w:hAnsi="Palatino Linotype"/>
          <w:sz w:val="20"/>
          <w:szCs w:val="20"/>
          <w:lang w:val="id-ID"/>
        </w:rPr>
        <w:lastRenderedPageBreak/>
        <w:t>institutions worldwide offer audio engineering schools, such as BS (audio production).</w:t>
      </w:r>
    </w:p>
    <w:p w14:paraId="1D6D9CDB"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The University of Miami Frost School of Music is the first university in the United States to offer a four-year Bachelor of Music degree for Music Engineering Technology graduates. Several contemporary music schools have started audio engineering programs with a Bachelor of Music degree award in the last twenty-five years. Meanwhile, in Indonesia itself, the audio engineering study program is still relatively new. This field of study exists because of the need for professionals in Indonesia's audio and media industry.</w:t>
      </w:r>
    </w:p>
    <w:p w14:paraId="11273A1B"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In this audio engineering study program, students will learn everything related to audio engineering for music, film and television, such as mixing and mastering using audio processing software, using and managing audio studio hardware, digital music technology, audio recording and editing techniques. This new study program is currently only available at several institutions providing audio and music education in Indonesia and generally only takes the form of short course programs; only a few provide diploma and undergraduate programs for this study program.</w:t>
      </w:r>
    </w:p>
    <w:p w14:paraId="28ECC84B"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The opening of this audio engineering study program and several study programs needed in the creative industry in universities, whether state universities or private universities, is very important to face the era of the Industrial Revolution 5.0. The Government allows campuses to open new study programs to face the era of Industrial Revolution 5.0. However, the opening of this new study program (prodi) is hampered by regulations that still need to be flexible.</w:t>
      </w:r>
    </w:p>
    <w:p w14:paraId="1ECCBEB6" w14:textId="419CDF33" w:rsidR="00204892" w:rsidRPr="0014691C"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 xml:space="preserve">It aligns with the education policy reform by the Minister of Education and Culture through the policy "Freedom to Learn in the Field of Higher Education is an Independent Campus". One of the policies implemented in the independent campus is "opening study programs through cooperation". Through independent campuses, Indonesian higher education institutions are required to be sensitive and responsive to developments in science and technology, able to provide breakthroughs and innovations, and able to produce higher education graduates who are reliable and ready to compete in the world of work both globally and nationally. In order to fulfill these needs, study programs at </w:t>
      </w:r>
      <w:r w:rsidRPr="0014691C">
        <w:rPr>
          <w:rFonts w:ascii="Palatino Linotype" w:hAnsi="Palatino Linotype"/>
          <w:sz w:val="20"/>
          <w:szCs w:val="20"/>
          <w:lang w:val="id-ID"/>
        </w:rPr>
        <w:t>Indonesian universities must be opened and developed according to the required needs.</w:t>
      </w:r>
    </w:p>
    <w:p w14:paraId="2FBD2150" w14:textId="3A2B8A82"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The Government's request for universities to be more responsive and innovative to current developments by opening new faculties and study programs to meet industry needs must be solved. This government request will only be realized if regulations chan</w:t>
      </w:r>
      <w:r w:rsidR="00A559D4" w:rsidRPr="0014691C">
        <w:rPr>
          <w:rFonts w:ascii="Palatino Linotype" w:hAnsi="Palatino Linotype"/>
          <w:sz w:val="20"/>
          <w:szCs w:val="20"/>
          <w:lang w:val="id-ID"/>
        </w:rPr>
        <w:t>(Rustandi, 2020)</w:t>
      </w:r>
      <w:r w:rsidRPr="006318C6">
        <w:rPr>
          <w:rFonts w:ascii="Palatino Linotype" w:hAnsi="Palatino Linotype"/>
          <w:sz w:val="20"/>
          <w:szCs w:val="20"/>
          <w:lang w:val="id-ID"/>
        </w:rPr>
        <w:t>ge. Labor-related nomenclature is one of the regulations that hinders the opening of new study programs. Suppose PTN (State Universities) and PTS (Private Universities) are allowed to open study programs outside the nomenclature of the Ministry of Research, Technology and Higher Education (Kemenristek Dikti). In that case, there must be a guarantee first if the nomenclature is also approved by the Ministry of State Apparatus Empowerment and Reform Bureaucracy (Kemenpan – RB). If the nomenclature does not receive approval from the Ministry of Administrative and Bureaucratic Reform, graduates of the new study program will also have difficulty being accepted for work in the Government and private sector.</w:t>
      </w:r>
    </w:p>
    <w:p w14:paraId="05B3C1B3" w14:textId="51313F8E"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 xml:space="preserve">These nomenclature constraints also hinder or even make it difficult for universities </w:t>
      </w:r>
      <w:r w:rsidRPr="006318C6">
        <w:rPr>
          <w:rFonts w:ascii="Palatino Linotype" w:hAnsi="Palatino Linotype"/>
          <w:sz w:val="20"/>
          <w:szCs w:val="20"/>
          <w:lang w:val="id-ID"/>
        </w:rPr>
        <w:lastRenderedPageBreak/>
        <w:t>that want to open study programs or add new study programs with names that are unusual or not included in the nomenclature. This concern arises about the fate of graduating students in the future because the study program's nomenclature is not on the Ministry of Research, Technology and Higher Education list and is not recognized by the Ministry of Administrative and Bureaucratic Reform. However, for the smooth implementation of the "Independent Campus" policy, especially in the opening of study programs, Minister of Education and Culture Regulation Number 7 of 2020 has been issued concerning the Establishment, Changes, and Dissolution of State Universities and the Establishment, Changes, and Revocation of Private Higher Education Licenses.</w:t>
      </w:r>
    </w:p>
    <w:p w14:paraId="5C1A9604"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rPr>
        <w:t>Specifically, additional nomenclature has also been regulated by the Government, namely that the opening of Study Programs can be carried out through a proposal for opening a Study Program by the nomenclature as in the Attachment to the Decree of the Director General of Vocational Education, Ministry of Education and Culture Number 27/D/M/2022 dated March 14, 2022 (for Vocational Study Programs ) and Attachment to the Decree of the Director General of Higher Education, Research and Technology Number 163/E/KPT/2022 dated July 18, 2022 (for Academic and Professional Study Programs).</w:t>
      </w:r>
    </w:p>
    <w:p w14:paraId="02F9F4D1" w14:textId="77777777"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 xml:space="preserve">Minister of Education and Culture Regulation Number 7 of 2020 also regulates provisions regarding opening study </w:t>
      </w:r>
      <w:r w:rsidRPr="006318C6">
        <w:rPr>
          <w:rFonts w:ascii="Palatino Linotype" w:hAnsi="Palatino Linotype"/>
          <w:sz w:val="20"/>
          <w:szCs w:val="20"/>
        </w:rPr>
        <w:t>programs</w:t>
      </w:r>
      <w:r w:rsidRPr="006318C6">
        <w:rPr>
          <w:rFonts w:ascii="Palatino Linotype" w:hAnsi="Palatino Linotype"/>
          <w:sz w:val="20"/>
          <w:szCs w:val="20"/>
          <w:lang w:val="id-ID"/>
        </w:rPr>
        <w:t xml:space="preserve"> by Indonesian universities. The opening of academic study programs can be categorized into five forms of proposals for opening study programs as follows:</w:t>
      </w:r>
    </w:p>
    <w:p w14:paraId="4A31B5D7" w14:textId="77777777" w:rsidR="00204892" w:rsidRPr="006318C6" w:rsidRDefault="00204892" w:rsidP="006318C6">
      <w:pPr>
        <w:pStyle w:val="BodyText"/>
        <w:numPr>
          <w:ilvl w:val="0"/>
          <w:numId w:val="19"/>
        </w:numPr>
        <w:spacing w:after="240"/>
        <w:jc w:val="both"/>
        <w:rPr>
          <w:rFonts w:ascii="Palatino Linotype" w:hAnsi="Palatino Linotype"/>
          <w:sz w:val="20"/>
          <w:szCs w:val="20"/>
          <w:lang w:val="id-ID"/>
        </w:rPr>
      </w:pPr>
      <w:r w:rsidRPr="006318C6">
        <w:rPr>
          <w:rFonts w:ascii="Palatino Linotype" w:hAnsi="Palatino Linotype"/>
          <w:sz w:val="20"/>
          <w:szCs w:val="20"/>
          <w:lang w:val="id-ID"/>
        </w:rPr>
        <w:t>Opening of academic study programs at the same time as the establishment of universities;</w:t>
      </w:r>
    </w:p>
    <w:p w14:paraId="7019D09F" w14:textId="77777777" w:rsidR="00204892" w:rsidRPr="006318C6" w:rsidRDefault="00204892" w:rsidP="006318C6">
      <w:pPr>
        <w:pStyle w:val="BodyText"/>
        <w:numPr>
          <w:ilvl w:val="0"/>
          <w:numId w:val="19"/>
        </w:numPr>
        <w:spacing w:after="240"/>
        <w:jc w:val="both"/>
        <w:rPr>
          <w:rFonts w:ascii="Palatino Linotype" w:hAnsi="Palatino Linotype"/>
          <w:sz w:val="20"/>
          <w:szCs w:val="20"/>
          <w:lang w:val="id-ID"/>
        </w:rPr>
      </w:pPr>
      <w:r w:rsidRPr="006318C6">
        <w:rPr>
          <w:rFonts w:ascii="Palatino Linotype" w:hAnsi="Palatino Linotype"/>
          <w:sz w:val="20"/>
          <w:szCs w:val="20"/>
          <w:lang w:val="id-ID"/>
        </w:rPr>
        <w:t>Opening of academic study programs to increase the number of study programs at established universities;</w:t>
      </w:r>
    </w:p>
    <w:p w14:paraId="29655A9A" w14:textId="77777777" w:rsidR="00204892" w:rsidRPr="006318C6" w:rsidRDefault="00204892" w:rsidP="006318C6">
      <w:pPr>
        <w:pStyle w:val="BodyText"/>
        <w:numPr>
          <w:ilvl w:val="0"/>
          <w:numId w:val="19"/>
        </w:numPr>
        <w:spacing w:after="240"/>
        <w:jc w:val="both"/>
        <w:rPr>
          <w:rFonts w:ascii="Palatino Linotype" w:hAnsi="Palatino Linotype"/>
          <w:sz w:val="20"/>
          <w:szCs w:val="20"/>
          <w:lang w:val="id-ID"/>
        </w:rPr>
      </w:pPr>
      <w:r w:rsidRPr="006318C6">
        <w:rPr>
          <w:rFonts w:ascii="Palatino Linotype" w:hAnsi="Palatino Linotype"/>
          <w:sz w:val="20"/>
          <w:szCs w:val="20"/>
          <w:lang w:val="id-ID"/>
        </w:rPr>
        <w:t>Opening of academic study programs as additional academic study programs together with the addition of names (nomenclature) of academic study programs;</w:t>
      </w:r>
    </w:p>
    <w:p w14:paraId="30517CB8" w14:textId="77777777" w:rsidR="00204892" w:rsidRPr="006318C6" w:rsidRDefault="00204892" w:rsidP="006318C6">
      <w:pPr>
        <w:pStyle w:val="BodyText"/>
        <w:numPr>
          <w:ilvl w:val="0"/>
          <w:numId w:val="19"/>
        </w:numPr>
        <w:spacing w:after="240"/>
        <w:jc w:val="both"/>
        <w:rPr>
          <w:rFonts w:ascii="Palatino Linotype" w:hAnsi="Palatino Linotype"/>
          <w:sz w:val="20"/>
          <w:szCs w:val="20"/>
          <w:lang w:val="id-ID"/>
        </w:rPr>
      </w:pPr>
      <w:r w:rsidRPr="006318C6">
        <w:rPr>
          <w:rFonts w:ascii="Palatino Linotype" w:hAnsi="Palatino Linotype"/>
          <w:sz w:val="20"/>
          <w:szCs w:val="20"/>
          <w:lang w:val="id-ID"/>
        </w:rPr>
        <w:t>The opening of academic study programs coincides with the process of changing private universities in the form of mergers, unification and changes in form;</w:t>
      </w:r>
    </w:p>
    <w:p w14:paraId="412A7037" w14:textId="239F3AE2" w:rsidR="00204892" w:rsidRPr="006318C6" w:rsidRDefault="00204892" w:rsidP="006318C6">
      <w:pPr>
        <w:pStyle w:val="BodyText"/>
        <w:numPr>
          <w:ilvl w:val="0"/>
          <w:numId w:val="19"/>
        </w:numPr>
        <w:spacing w:after="240"/>
        <w:jc w:val="both"/>
        <w:rPr>
          <w:rFonts w:ascii="Palatino Linotype" w:hAnsi="Palatino Linotype"/>
          <w:sz w:val="20"/>
          <w:szCs w:val="20"/>
          <w:lang w:val="id-ID"/>
        </w:rPr>
      </w:pPr>
      <w:r w:rsidRPr="006318C6">
        <w:rPr>
          <w:rFonts w:ascii="Palatino Linotype" w:hAnsi="Palatino Linotype"/>
          <w:sz w:val="20"/>
          <w:szCs w:val="20"/>
          <w:lang w:val="id-ID"/>
        </w:rPr>
        <w:t>Opening of academic study programs (other than health and education study programs) by universities with excellent accreditation ratings, superior accreditation, B accreditation and A accreditation through collaboration.</w:t>
      </w:r>
    </w:p>
    <w:p w14:paraId="141FD1DD" w14:textId="751CD783"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 xml:space="preserve">The proposal for opening the study program from number 1 to number 4 is what universities have submitted. Meanwhile, the form of the proposal in number 5 is one of the breakthroughs of the Ministry of Education and Culture within the framework of the "Independent Campus" program. Apart from that, referring to the Circular Letter of the Minister of Research, Technology and Higher Education dated September 21, 2016, Number: 2/M/SE/IX/2016, concerning the Establishment of New Higher Education Institutions and the Opening of Study Programs, it is stated that as of January 1, 2017, the policy of granting permits for the establishment of new private universities and the opening of the study program </w:t>
      </w:r>
      <w:r w:rsidR="00A559D4">
        <w:rPr>
          <w:rFonts w:ascii="Palatino Linotype" w:hAnsi="Palatino Linotype"/>
          <w:sz w:val="20"/>
          <w:szCs w:val="20"/>
          <w:lang w:val="id-ID"/>
        </w:rPr>
        <w:t xml:space="preserve">based on </w:t>
      </w:r>
      <w:r w:rsidR="00A559D4" w:rsidRPr="0014691C">
        <w:rPr>
          <w:rFonts w:ascii="Palatino Linotype" w:hAnsi="Palatino Linotype"/>
          <w:sz w:val="20"/>
          <w:szCs w:val="20"/>
          <w:lang w:val="id-ID"/>
        </w:rPr>
        <w:t>(Rustandi, 2020)</w:t>
      </w:r>
      <w:r w:rsidR="00A559D4">
        <w:rPr>
          <w:rFonts w:ascii="Palatino Linotype" w:hAnsi="Palatino Linotype"/>
          <w:sz w:val="20"/>
          <w:szCs w:val="20"/>
          <w:lang w:val="id-ID"/>
        </w:rPr>
        <w:t xml:space="preserve"> </w:t>
      </w:r>
      <w:r w:rsidRPr="006318C6">
        <w:rPr>
          <w:rFonts w:ascii="Palatino Linotype" w:hAnsi="Palatino Linotype"/>
          <w:sz w:val="20"/>
          <w:szCs w:val="20"/>
          <w:lang w:val="id-ID"/>
        </w:rPr>
        <w:t>as follows :</w:t>
      </w:r>
    </w:p>
    <w:p w14:paraId="23C2C3A2" w14:textId="77777777" w:rsidR="00204892" w:rsidRPr="006318C6" w:rsidRDefault="00204892" w:rsidP="006318C6">
      <w:pPr>
        <w:pStyle w:val="BodyText"/>
        <w:numPr>
          <w:ilvl w:val="0"/>
          <w:numId w:val="20"/>
        </w:numPr>
        <w:jc w:val="both"/>
        <w:rPr>
          <w:rFonts w:ascii="Palatino Linotype" w:hAnsi="Palatino Linotype"/>
          <w:sz w:val="20"/>
          <w:szCs w:val="20"/>
          <w:lang w:val="id-ID"/>
        </w:rPr>
      </w:pPr>
      <w:r w:rsidRPr="006318C6">
        <w:rPr>
          <w:rFonts w:ascii="Palatino Linotype" w:hAnsi="Palatino Linotype"/>
          <w:sz w:val="20"/>
          <w:szCs w:val="20"/>
          <w:lang w:val="id-ID"/>
        </w:rPr>
        <w:t xml:space="preserve">The establishment of new tertiary institutions that provide academic education </w:t>
      </w:r>
      <w:r w:rsidRPr="006318C6">
        <w:rPr>
          <w:rFonts w:ascii="Palatino Linotype" w:hAnsi="Palatino Linotype"/>
          <w:sz w:val="20"/>
          <w:szCs w:val="20"/>
          <w:lang w:val="id-ID"/>
        </w:rPr>
        <w:lastRenderedPageBreak/>
        <w:t>(Universities/Institutes/High Schools) will be subject to a moratorium until a time limit to be determined later;</w:t>
      </w:r>
    </w:p>
    <w:p w14:paraId="01D7E81C" w14:textId="77777777" w:rsidR="00204892" w:rsidRPr="006318C6" w:rsidRDefault="00204892" w:rsidP="006318C6">
      <w:pPr>
        <w:pStyle w:val="BodyText"/>
        <w:numPr>
          <w:ilvl w:val="0"/>
          <w:numId w:val="20"/>
        </w:numPr>
        <w:jc w:val="both"/>
        <w:rPr>
          <w:rFonts w:ascii="Palatino Linotype" w:hAnsi="Palatino Linotype"/>
          <w:sz w:val="20"/>
          <w:szCs w:val="20"/>
          <w:lang w:val="id-ID"/>
        </w:rPr>
      </w:pPr>
      <w:r w:rsidRPr="006318C6">
        <w:rPr>
          <w:rFonts w:ascii="Palatino Linotype" w:hAnsi="Palatino Linotype"/>
          <w:sz w:val="20"/>
          <w:szCs w:val="20"/>
          <w:lang w:val="id-ID"/>
        </w:rPr>
        <w:t>The establishment of new universities is only given to vocational colleges and institutes of technology;.</w:t>
      </w:r>
    </w:p>
    <w:p w14:paraId="52F02DDF" w14:textId="77777777" w:rsidR="00204892" w:rsidRPr="006318C6" w:rsidRDefault="00204892" w:rsidP="006318C6">
      <w:pPr>
        <w:pStyle w:val="BodyText"/>
        <w:numPr>
          <w:ilvl w:val="0"/>
          <w:numId w:val="20"/>
        </w:numPr>
        <w:jc w:val="both"/>
        <w:rPr>
          <w:rFonts w:ascii="Palatino Linotype" w:hAnsi="Palatino Linotype"/>
          <w:sz w:val="20"/>
          <w:szCs w:val="20"/>
          <w:lang w:val="id-ID"/>
        </w:rPr>
      </w:pPr>
      <w:r w:rsidRPr="006318C6">
        <w:rPr>
          <w:rFonts w:ascii="Palatino Linotype" w:hAnsi="Palatino Linotype"/>
          <w:sz w:val="20"/>
          <w:szCs w:val="20"/>
          <w:lang w:val="id-ID"/>
        </w:rPr>
        <w:t>The opening of undergraduate education study programs will be for study programs in the fields of science, technology, engineering and mathematics (STEM);</w:t>
      </w:r>
    </w:p>
    <w:p w14:paraId="631CAA97" w14:textId="77777777" w:rsidR="00204892" w:rsidRPr="006318C6" w:rsidRDefault="00204892" w:rsidP="006318C6">
      <w:pPr>
        <w:pStyle w:val="BodyText"/>
        <w:numPr>
          <w:ilvl w:val="0"/>
          <w:numId w:val="20"/>
        </w:numPr>
        <w:spacing w:after="240"/>
        <w:jc w:val="both"/>
        <w:rPr>
          <w:rFonts w:ascii="Palatino Linotype" w:hAnsi="Palatino Linotype"/>
          <w:sz w:val="20"/>
          <w:szCs w:val="20"/>
          <w:lang w:val="id-ID"/>
        </w:rPr>
      </w:pPr>
      <w:r w:rsidRPr="006318C6">
        <w:rPr>
          <w:rFonts w:ascii="Palatino Linotype" w:hAnsi="Palatino Linotype"/>
          <w:sz w:val="20"/>
          <w:szCs w:val="20"/>
          <w:lang w:val="id-ID"/>
        </w:rPr>
        <w:t>The establishment of higher education institutions and the opening of study programs, as referred to in numbers 1, 2 and 3, may be excluded for: a) frontier, infected and underdeveloped areas (3T); b) certain areas with special conditions and needs.</w:t>
      </w:r>
    </w:p>
    <w:p w14:paraId="5DC946E2" w14:textId="01A61E7E"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In order to encourage proposals for changes to private universities in the form of unification and merger, the proposer can submit a proposal to open study programs in STEM and non-STEM fields as additions to existing study programs. In Minister of Education and Culture Regulation Number 7 of 2020, it has been explained that opening a new study program that has met the minimum requirements for accreditation will receive accreditation with a good rating when obtaining an implementation permit from the Minister of Education and Culture. After the issuance of the Ministerial Decree regarding the implementation permit, BAN-PT or LAM has the authority to monitor and evaluate the accreditation rating of the study program that has been given. Based on the monitoring and evaluation results, the Minister has the authority to evaluate the implementation of the Decree by the provisions of statutory regulations</w:t>
      </w:r>
      <w:r w:rsidR="00A559D4">
        <w:rPr>
          <w:rFonts w:ascii="Palatino Linotype" w:hAnsi="Palatino Linotype"/>
          <w:sz w:val="20"/>
          <w:szCs w:val="20"/>
          <w:lang w:val="id-ID"/>
        </w:rPr>
        <w:t xml:space="preserve"> </w:t>
      </w:r>
      <w:r w:rsidR="00A559D4" w:rsidRPr="0014691C">
        <w:rPr>
          <w:rFonts w:ascii="Palatino Linotype" w:hAnsi="Palatino Linotype"/>
          <w:sz w:val="20"/>
          <w:szCs w:val="20"/>
          <w:lang w:val="id-ID"/>
        </w:rPr>
        <w:t>(Rustandi, 2020)</w:t>
      </w:r>
      <w:r w:rsidRPr="006318C6">
        <w:rPr>
          <w:rFonts w:ascii="Palatino Linotype" w:hAnsi="Palatino Linotype"/>
          <w:sz w:val="20"/>
          <w:szCs w:val="20"/>
          <w:lang w:val="id-ID"/>
        </w:rPr>
        <w:t>.</w:t>
      </w:r>
    </w:p>
    <w:p w14:paraId="0DB138C0" w14:textId="52FE4FA5"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In connection with the opening of study programs through collaboration in Article 36 paragraph (2) of Minister of Education and Culture Regulation Number 7 of 2020, it is stated that apart from meeting the minimum requirements, they have also: a) entered into cooperation agreements with related organizations or institutions to support learning outcomes; b) declare the ability to carry out research on study program graduates in the world of work regarding the implementation of newly opened study programs.</w:t>
      </w:r>
    </w:p>
    <w:p w14:paraId="62DADFC3" w14:textId="0152982B" w:rsidR="00204892" w:rsidRPr="006318C6" w:rsidRDefault="00204892" w:rsidP="006318C6">
      <w:pPr>
        <w:pStyle w:val="BodyText"/>
        <w:spacing w:before="235" w:after="240" w:line="254" w:lineRule="auto"/>
        <w:ind w:left="426" w:right="478" w:firstLine="567"/>
        <w:jc w:val="both"/>
        <w:rPr>
          <w:rFonts w:ascii="Palatino Linotype" w:hAnsi="Palatino Linotype"/>
          <w:sz w:val="20"/>
          <w:szCs w:val="20"/>
          <w:lang w:val="id-ID"/>
        </w:rPr>
      </w:pPr>
      <w:r w:rsidRPr="006318C6">
        <w:rPr>
          <w:rFonts w:ascii="Palatino Linotype" w:hAnsi="Palatino Linotype"/>
          <w:sz w:val="20"/>
          <w:szCs w:val="20"/>
          <w:lang w:val="id-ID"/>
        </w:rPr>
        <w:t>Creative media higher education students who wish to open a new study program but need more than nomenclature due to the use of an unusual name can still open a study program while adding the name of the study program. The following procedures can be carried out to open a study program at the same time as adding the name of the study program</w:t>
      </w:r>
      <w:r w:rsidR="00A559D4">
        <w:rPr>
          <w:rFonts w:ascii="Palatino Linotype" w:hAnsi="Palatino Linotype"/>
          <w:sz w:val="20"/>
          <w:szCs w:val="20"/>
          <w:lang w:val="id-ID"/>
        </w:rPr>
        <w:t xml:space="preserve"> </w:t>
      </w:r>
      <w:r w:rsidR="00A559D4" w:rsidRPr="00A559D4">
        <w:rPr>
          <w:rFonts w:ascii="Palatino Linotype" w:hAnsi="Palatino Linotype"/>
          <w:sz w:val="20"/>
          <w:szCs w:val="20"/>
          <w:lang w:val="id-ID"/>
        </w:rPr>
        <w:t>(</w:t>
      </w:r>
      <w:r w:rsidR="00A559D4" w:rsidRPr="00A559D4">
        <w:rPr>
          <w:rFonts w:ascii="Palatino Linotype" w:hAnsi="Palatino Linotype"/>
          <w:sz w:val="20"/>
          <w:szCs w:val="20"/>
          <w:lang w:val="id-ID"/>
        </w:rPr>
        <w:t>RISTEKDIKTI, 2019</w:t>
      </w:r>
      <w:r w:rsidR="00A559D4" w:rsidRPr="00A559D4">
        <w:rPr>
          <w:rFonts w:ascii="Palatino Linotype" w:hAnsi="Palatino Linotype"/>
          <w:sz w:val="20"/>
          <w:szCs w:val="20"/>
          <w:lang w:val="id-ID"/>
        </w:rPr>
        <w:t>)</w:t>
      </w:r>
      <w:r w:rsidRPr="006318C6">
        <w:rPr>
          <w:rFonts w:ascii="Palatino Linotype" w:hAnsi="Palatino Linotype"/>
          <w:sz w:val="20"/>
          <w:szCs w:val="20"/>
          <w:lang w:val="id-ID"/>
        </w:rPr>
        <w:t xml:space="preserve"> :</w:t>
      </w:r>
    </w:p>
    <w:p w14:paraId="01C716A8"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Higher education leaders who already have an account prepare and upload documents in the form of a) Letter requesting the opening of a study program along with adding the name of the study program; b) Recommendations from LLDIKTI; c) Instrument for fulfilling the minimum requirements for accreditation for opening a study program which has been filled in and signed; d) Attachment to the instrument for fulfilling the requirements minimal general accreditation; and e) document adding the name of the study program.</w:t>
      </w:r>
    </w:p>
    <w:p w14:paraId="4DBCE433"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The Directorate General of Learning and Student Affairs evaluates the addition of study program names (nomenclature);</w:t>
      </w:r>
    </w:p>
    <w:p w14:paraId="628B6912"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If the requirements for adding the name of the study program have yet to be approved, the proposal is declared not approved. The higher education leader can re-upload the proposal, and the proposal for opening the study program will be processed only after a period of time. If the additional study program name is approved, it will be processed to the next stage;</w:t>
      </w:r>
    </w:p>
    <w:p w14:paraId="194AC1A4"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lastRenderedPageBreak/>
        <w:t>The Directorate General of Institutional Science and Technology and Higher Education, together with the Directorate General of SDID, evaluated the fulfillment of the number and suitability of the qualifications of prospective lecturers and instructors (especially for community colleges);</w:t>
      </w:r>
    </w:p>
    <w:p w14:paraId="63F36BD8"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If the number and qualifications of prospective lecturers and instructors (especially community colleges) do not meet the requirements, the proposal is declared unapproved, and the higher education leader can re-upload the proposal. If the number and suitability of the qualifications of prospective lecturers and instructors (especially community colleges) meet the requirements, they will be processed to the next stage;</w:t>
      </w:r>
    </w:p>
    <w:p w14:paraId="0C7D3150"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If the results of the document evaluation, as referred to in number 6, are declared approved, the Director General of Institutional Science, Technology and Higher Education will provide "Continued Process Approval" via the silemkerma.ristekdikti.go.id page for processing at the next stage;</w:t>
      </w:r>
    </w:p>
    <w:p w14:paraId="39D9767F"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If "Continuing Process Approval" has been given, LLDIKTI evaluates the non-lecturer criteria (facilities and curriculum);</w:t>
      </w:r>
    </w:p>
    <w:p w14:paraId="66A3B4F6"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If the results of the non-lecturer evaluation criteria do not meet the requirements, the proposal is declared not approved, then the higher education leader can re-upload the proposal. If it meets the requirements, LLDIKTI can provide recommendations for conducting field evaluations, if necessary;</w:t>
      </w:r>
    </w:p>
    <w:p w14:paraId="31621E81"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LLDIKTI submits the results of the evaluation of non-lecturer criteria to the Directorate General of Institutional Science, Technology and Higher Education for validation;</w:t>
      </w:r>
    </w:p>
    <w:p w14:paraId="1C390C3D"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 xml:space="preserve"> The Directorate General of Institutional Science, Technology and Higher Education validates the evaluation of non-lecturer criteria by LLDIKTI.</w:t>
      </w:r>
    </w:p>
    <w:p w14:paraId="53973DAD"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 xml:space="preserve"> If the validation results do not meet the requirements, the proposal is returned to LLDIKTI for re-evaluation. If the validation results meet the requirements, the Directorate General of Institutional Science, Technology and Higher Education submits a written proposal for the issuance of a permit to open a study program to the Minister of Research, Technology and Higher Education;</w:t>
      </w:r>
    </w:p>
    <w:p w14:paraId="6C25F48E" w14:textId="77777777" w:rsidR="00204892" w:rsidRPr="006318C6" w:rsidRDefault="00204892" w:rsidP="006318C6">
      <w:pPr>
        <w:pStyle w:val="BodyText"/>
        <w:numPr>
          <w:ilvl w:val="0"/>
          <w:numId w:val="21"/>
        </w:numPr>
        <w:spacing w:after="240"/>
        <w:ind w:left="567" w:hanging="283"/>
        <w:jc w:val="both"/>
        <w:rPr>
          <w:rFonts w:ascii="Palatino Linotype" w:hAnsi="Palatino Linotype"/>
          <w:sz w:val="20"/>
          <w:szCs w:val="20"/>
          <w:lang w:val="id-ID"/>
        </w:rPr>
      </w:pPr>
      <w:r w:rsidRPr="006318C6">
        <w:rPr>
          <w:rFonts w:ascii="Palatino Linotype" w:hAnsi="Palatino Linotype"/>
          <w:sz w:val="20"/>
          <w:szCs w:val="20"/>
          <w:lang w:val="id-ID"/>
        </w:rPr>
        <w:t xml:space="preserve"> On behalf of the Mini,ster of Research, Technology and Higher Education, the Secretary-General issued a Decree regarding the Opening of Study Programs.</w:t>
      </w:r>
    </w:p>
    <w:p w14:paraId="6D47D5E7" w14:textId="77777777" w:rsidR="00204892" w:rsidRPr="002B402C" w:rsidRDefault="00204892" w:rsidP="002A02C2">
      <w:pPr>
        <w:pStyle w:val="Alishlah31text"/>
        <w:rPr>
          <w:rFonts w:eastAsia="Arial"/>
        </w:rPr>
      </w:pPr>
    </w:p>
    <w:p w14:paraId="2571AA80" w14:textId="77777777" w:rsidR="005B5AEC" w:rsidRPr="00723B12" w:rsidRDefault="005B5AEC" w:rsidP="002A02C2">
      <w:pPr>
        <w:pStyle w:val="Alishlah21heading1"/>
        <w:rPr>
          <w:rFonts w:eastAsia="Arial"/>
        </w:rPr>
      </w:pPr>
      <w:r w:rsidRPr="00723B12">
        <w:rPr>
          <w:rFonts w:eastAsia="Arial"/>
        </w:rPr>
        <w:t xml:space="preserve">CONCLUSION </w:t>
      </w:r>
    </w:p>
    <w:p w14:paraId="329108F2" w14:textId="77777777" w:rsidR="00204892" w:rsidRPr="00794F38" w:rsidRDefault="00204892" w:rsidP="00204892">
      <w:pPr>
        <w:pStyle w:val="BodyText"/>
        <w:spacing w:line="279" w:lineRule="exact"/>
        <w:ind w:left="284"/>
        <w:rPr>
          <w:rFonts w:ascii="Palatino Linotype" w:hAnsi="Palatino Linotype"/>
          <w:w w:val="105"/>
          <w:sz w:val="20"/>
          <w:szCs w:val="20"/>
          <w:lang w:val="id-ID"/>
        </w:rPr>
      </w:pPr>
      <w:r w:rsidRPr="00794F38">
        <w:rPr>
          <w:rFonts w:ascii="Palatino Linotype" w:hAnsi="Palatino Linotype"/>
          <w:w w:val="105"/>
          <w:sz w:val="20"/>
          <w:szCs w:val="20"/>
        </w:rPr>
        <w:t>The</w:t>
      </w:r>
      <w:r w:rsidRPr="00794F38">
        <w:rPr>
          <w:rFonts w:ascii="Palatino Linotype" w:hAnsi="Palatino Linotype"/>
          <w:spacing w:val="-7"/>
          <w:w w:val="105"/>
          <w:sz w:val="20"/>
          <w:szCs w:val="20"/>
        </w:rPr>
        <w:t xml:space="preserve"> </w:t>
      </w:r>
      <w:r w:rsidRPr="00794F38">
        <w:rPr>
          <w:rFonts w:ascii="Palatino Linotype" w:hAnsi="Palatino Linotype"/>
          <w:w w:val="105"/>
          <w:sz w:val="20"/>
          <w:szCs w:val="20"/>
        </w:rPr>
        <w:t>conclusions</w:t>
      </w:r>
      <w:r w:rsidRPr="00794F38">
        <w:rPr>
          <w:rFonts w:ascii="Palatino Linotype" w:hAnsi="Palatino Linotype"/>
          <w:spacing w:val="-8"/>
          <w:w w:val="105"/>
          <w:sz w:val="20"/>
          <w:szCs w:val="20"/>
        </w:rPr>
        <w:t xml:space="preserve"> </w:t>
      </w:r>
      <w:r w:rsidRPr="00794F38">
        <w:rPr>
          <w:rFonts w:ascii="Palatino Linotype" w:hAnsi="Palatino Linotype"/>
          <w:w w:val="105"/>
          <w:sz w:val="20"/>
          <w:szCs w:val="20"/>
        </w:rPr>
        <w:t>of</w:t>
      </w:r>
      <w:r w:rsidRPr="00794F38">
        <w:rPr>
          <w:rFonts w:ascii="Palatino Linotype" w:hAnsi="Palatino Linotype"/>
          <w:spacing w:val="-6"/>
          <w:w w:val="105"/>
          <w:sz w:val="20"/>
          <w:szCs w:val="20"/>
        </w:rPr>
        <w:t xml:space="preserve"> </w:t>
      </w:r>
      <w:r w:rsidRPr="00794F38">
        <w:rPr>
          <w:rFonts w:ascii="Palatino Linotype" w:hAnsi="Palatino Linotype"/>
          <w:w w:val="105"/>
          <w:sz w:val="20"/>
          <w:szCs w:val="20"/>
        </w:rPr>
        <w:t>this</w:t>
      </w:r>
      <w:r w:rsidRPr="00794F38">
        <w:rPr>
          <w:rFonts w:ascii="Palatino Linotype" w:hAnsi="Palatino Linotype"/>
          <w:spacing w:val="-6"/>
          <w:w w:val="105"/>
          <w:sz w:val="20"/>
          <w:szCs w:val="20"/>
        </w:rPr>
        <w:t xml:space="preserve"> </w:t>
      </w:r>
      <w:r w:rsidRPr="00794F38">
        <w:rPr>
          <w:rFonts w:ascii="Palatino Linotype" w:hAnsi="Palatino Linotype"/>
          <w:w w:val="105"/>
          <w:sz w:val="20"/>
          <w:szCs w:val="20"/>
        </w:rPr>
        <w:t>study</w:t>
      </w:r>
      <w:r w:rsidRPr="00794F38">
        <w:rPr>
          <w:rFonts w:ascii="Palatino Linotype" w:hAnsi="Palatino Linotype"/>
          <w:spacing w:val="-7"/>
          <w:w w:val="105"/>
          <w:sz w:val="20"/>
          <w:szCs w:val="20"/>
        </w:rPr>
        <w:t xml:space="preserve"> </w:t>
      </w:r>
      <w:r w:rsidRPr="00794F38">
        <w:rPr>
          <w:rFonts w:ascii="Palatino Linotype" w:hAnsi="Palatino Linotype"/>
          <w:w w:val="105"/>
          <w:sz w:val="20"/>
          <w:szCs w:val="20"/>
        </w:rPr>
        <w:t>are</w:t>
      </w:r>
      <w:r w:rsidRPr="00794F38">
        <w:rPr>
          <w:rFonts w:ascii="Palatino Linotype" w:hAnsi="Palatino Linotype"/>
          <w:spacing w:val="-6"/>
          <w:w w:val="105"/>
          <w:sz w:val="20"/>
          <w:szCs w:val="20"/>
        </w:rPr>
        <w:t xml:space="preserve"> </w:t>
      </w:r>
      <w:r w:rsidRPr="00794F38">
        <w:rPr>
          <w:rFonts w:ascii="Palatino Linotype" w:hAnsi="Palatino Linotype"/>
          <w:w w:val="105"/>
          <w:sz w:val="20"/>
          <w:szCs w:val="20"/>
        </w:rPr>
        <w:t>as</w:t>
      </w:r>
      <w:r w:rsidRPr="00794F38">
        <w:rPr>
          <w:rFonts w:ascii="Palatino Linotype" w:hAnsi="Palatino Linotype"/>
          <w:spacing w:val="-7"/>
          <w:w w:val="105"/>
          <w:sz w:val="20"/>
          <w:szCs w:val="20"/>
        </w:rPr>
        <w:t xml:space="preserve"> </w:t>
      </w:r>
      <w:r w:rsidRPr="00794F38">
        <w:rPr>
          <w:rFonts w:ascii="Palatino Linotype" w:hAnsi="Palatino Linotype"/>
          <w:w w:val="105"/>
          <w:sz w:val="20"/>
          <w:szCs w:val="20"/>
        </w:rPr>
        <w:t>follows:</w:t>
      </w:r>
    </w:p>
    <w:p w14:paraId="01110B27" w14:textId="77777777" w:rsidR="00204892" w:rsidRPr="00794F38" w:rsidRDefault="00204892" w:rsidP="00204892">
      <w:pPr>
        <w:pStyle w:val="BodyText"/>
        <w:numPr>
          <w:ilvl w:val="0"/>
          <w:numId w:val="22"/>
        </w:numPr>
        <w:spacing w:line="279" w:lineRule="exact"/>
        <w:jc w:val="both"/>
        <w:rPr>
          <w:rFonts w:ascii="Palatino Linotype" w:hAnsi="Palatino Linotype"/>
          <w:w w:val="105"/>
          <w:sz w:val="20"/>
          <w:szCs w:val="20"/>
          <w:lang w:val="id-ID"/>
        </w:rPr>
      </w:pPr>
      <w:r w:rsidRPr="00794F38">
        <w:rPr>
          <w:rFonts w:ascii="Palatino Linotype" w:hAnsi="Palatino Linotype"/>
          <w:w w:val="105"/>
          <w:sz w:val="20"/>
          <w:szCs w:val="20"/>
          <w:lang w:val="id-ID"/>
        </w:rPr>
        <w:t>As with vocational education, creative media education emphasizes practical development rather than theoretical ones. Creative media education plays a very important role in the creative industry, including in the field of audio engineering, which is needed in the creative industry, especially in music, film and television. Currently, Audio Engineering education still needs to be implemented in Indonesia. Therefore, for higher education, both private and public, it is important to have an audio engineering study program because its existence is needed in the creative industry, which is increasingly advanced in this era of the industrial revolution.</w:t>
      </w:r>
    </w:p>
    <w:p w14:paraId="0EA2394A" w14:textId="77777777" w:rsidR="00204892" w:rsidRPr="00794F38" w:rsidRDefault="00204892" w:rsidP="00204892">
      <w:pPr>
        <w:pStyle w:val="BodyText"/>
        <w:numPr>
          <w:ilvl w:val="0"/>
          <w:numId w:val="22"/>
        </w:numPr>
        <w:spacing w:line="279" w:lineRule="exact"/>
        <w:jc w:val="both"/>
        <w:rPr>
          <w:rFonts w:ascii="Palatino Linotype" w:hAnsi="Palatino Linotype"/>
          <w:sz w:val="20"/>
          <w:szCs w:val="20"/>
        </w:rPr>
      </w:pPr>
      <w:r w:rsidRPr="00794F38">
        <w:rPr>
          <w:rFonts w:ascii="Palatino Linotype" w:hAnsi="Palatino Linotype"/>
          <w:w w:val="105"/>
          <w:sz w:val="20"/>
          <w:szCs w:val="20"/>
          <w:lang w:val="id-ID"/>
        </w:rPr>
        <w:lastRenderedPageBreak/>
        <w:t>For creative media higher education who wish to open a new study program but are hampered by the nomenclature due to the use of an unusual name, they can still open a study program at the same time as adding the name of the study program as long as it complies with the applicable terms and procedures.</w:t>
      </w:r>
    </w:p>
    <w:p w14:paraId="433D1D72" w14:textId="77777777" w:rsidR="00794F38" w:rsidRDefault="00794F38" w:rsidP="00794F38">
      <w:pPr>
        <w:pStyle w:val="BodyText"/>
        <w:spacing w:line="279" w:lineRule="exact"/>
        <w:jc w:val="both"/>
        <w:rPr>
          <w:rFonts w:ascii="Palatino Linotype" w:hAnsi="Palatino Linotype"/>
          <w:sz w:val="20"/>
          <w:szCs w:val="20"/>
          <w:lang w:val="id-ID"/>
        </w:rPr>
      </w:pPr>
    </w:p>
    <w:p w14:paraId="756D34DF" w14:textId="77777777" w:rsidR="00794F38" w:rsidRDefault="00794F38" w:rsidP="00794F38">
      <w:pPr>
        <w:pStyle w:val="BodyText"/>
        <w:spacing w:line="279" w:lineRule="exact"/>
        <w:jc w:val="both"/>
        <w:rPr>
          <w:rFonts w:ascii="Palatino Linotype" w:hAnsi="Palatino Linotype"/>
          <w:sz w:val="20"/>
          <w:szCs w:val="20"/>
          <w:lang w:val="id-ID"/>
        </w:rPr>
      </w:pPr>
    </w:p>
    <w:p w14:paraId="79CD7915" w14:textId="4F91AC59" w:rsidR="005B5AEC" w:rsidRDefault="005B5AEC" w:rsidP="002A02C2">
      <w:pPr>
        <w:pStyle w:val="Alishlah21heading1"/>
        <w:numPr>
          <w:ilvl w:val="0"/>
          <w:numId w:val="0"/>
        </w:numPr>
        <w:rPr>
          <w:rFonts w:eastAsia="Arial"/>
        </w:rPr>
      </w:pPr>
      <w:r w:rsidRPr="00723B12">
        <w:rPr>
          <w:rFonts w:eastAsia="Arial"/>
        </w:rPr>
        <w:t>REFERENCES</w:t>
      </w:r>
    </w:p>
    <w:p w14:paraId="0F129CE9" w14:textId="5F205360" w:rsidR="00143989" w:rsidRDefault="00143989" w:rsidP="002B31FD">
      <w:pPr>
        <w:pStyle w:val="Alishlah71References"/>
      </w:pPr>
    </w:p>
    <w:p w14:paraId="18605EC4" w14:textId="77777777" w:rsidR="00204892" w:rsidRPr="006639B1" w:rsidRDefault="00204892" w:rsidP="00204892">
      <w:pPr>
        <w:spacing w:line="242" w:lineRule="auto"/>
        <w:ind w:left="1181" w:right="479" w:hanging="720"/>
        <w:jc w:val="both"/>
        <w:rPr>
          <w:rFonts w:ascii="Palatino Linotype" w:hAnsi="Palatino Linotype"/>
          <w:sz w:val="20"/>
          <w:szCs w:val="20"/>
          <w:lang w:val="id-ID"/>
        </w:rPr>
      </w:pPr>
      <w:r w:rsidRPr="006639B1">
        <w:rPr>
          <w:rFonts w:ascii="Palatino Linotype" w:hAnsi="Palatino Linotype"/>
          <w:sz w:val="20"/>
          <w:szCs w:val="20"/>
          <w:lang w:val="id-ID"/>
        </w:rPr>
        <w:t xml:space="preserve">Afriantoni, Edy Karno dan E. Hamzah Suaidi, 2016, </w:t>
      </w:r>
      <w:r w:rsidRPr="006639B1">
        <w:rPr>
          <w:rFonts w:ascii="Palatino Linotype" w:hAnsi="Palatino Linotype"/>
          <w:i/>
          <w:sz w:val="20"/>
          <w:szCs w:val="20"/>
          <w:lang w:val="id-ID"/>
        </w:rPr>
        <w:t xml:space="preserve">Isu-Isu Kritis dalam Pendidikan Tinggi : Sebuah Tinjauan Aktual Terhadap Praktik Pendidikan Tinggi di Indonesia, </w:t>
      </w:r>
      <w:r w:rsidRPr="006639B1">
        <w:rPr>
          <w:rFonts w:ascii="Palatino Linotype" w:hAnsi="Palatino Linotype"/>
          <w:sz w:val="20"/>
          <w:szCs w:val="20"/>
          <w:lang w:val="id-ID"/>
        </w:rPr>
        <w:t>Yogyakarta : Deepublish, p.3</w:t>
      </w:r>
    </w:p>
    <w:p w14:paraId="44205022"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1420FC">
        <w:rPr>
          <w:rFonts w:ascii="Palatino Linotype" w:hAnsi="Palatino Linotype"/>
          <w:sz w:val="20"/>
          <w:szCs w:val="20"/>
          <w:lang w:val="id-ID"/>
        </w:rPr>
        <w:t xml:space="preserve">Burn A and Durran, J, 2007, </w:t>
      </w:r>
      <w:r w:rsidRPr="001420FC">
        <w:rPr>
          <w:rFonts w:ascii="Palatino Linotype" w:hAnsi="Palatino Linotype"/>
          <w:i/>
          <w:sz w:val="20"/>
          <w:szCs w:val="20"/>
          <w:lang w:val="id-ID"/>
        </w:rPr>
        <w:t>Media Literacy in Schools : Practice, Production and Progression,</w:t>
      </w:r>
      <w:r w:rsidRPr="001420FC">
        <w:rPr>
          <w:rFonts w:ascii="Palatino Linotype" w:hAnsi="Palatino Linotype"/>
          <w:sz w:val="20"/>
          <w:szCs w:val="20"/>
          <w:lang w:val="id-ID"/>
        </w:rPr>
        <w:t xml:space="preserve"> London : Paul Chapman Publishing, p133.</w:t>
      </w:r>
    </w:p>
    <w:p w14:paraId="26AEF468"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Bell, D. “Creative Film and Media Practice as Research: In Pursuit of that Obscure Object of Knowledge”, </w:t>
      </w:r>
      <w:r w:rsidRPr="007B5F92">
        <w:rPr>
          <w:rFonts w:ascii="Palatino Linotype" w:hAnsi="Palatino Linotype"/>
          <w:i/>
          <w:sz w:val="20"/>
          <w:szCs w:val="20"/>
          <w:lang w:val="id-ID"/>
        </w:rPr>
        <w:t xml:space="preserve">Journal of Media Practice </w:t>
      </w:r>
      <w:r w:rsidRPr="007B5F92">
        <w:rPr>
          <w:rFonts w:ascii="Palatino Linotype" w:hAnsi="Palatino Linotype"/>
          <w:sz w:val="20"/>
          <w:szCs w:val="20"/>
          <w:lang w:val="id-ID"/>
        </w:rPr>
        <w:t>7 (2), 2007, p. 85-100.</w:t>
      </w:r>
    </w:p>
    <w:p w14:paraId="20E2FB45"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Belinha S. De Abreu (ed), et al., 2017, </w:t>
      </w:r>
      <w:r w:rsidRPr="007B5F92">
        <w:rPr>
          <w:rFonts w:ascii="Palatino Linotype" w:hAnsi="Palatino Linotype"/>
          <w:i/>
          <w:sz w:val="20"/>
          <w:szCs w:val="20"/>
          <w:lang w:val="id-ID"/>
        </w:rPr>
        <w:t xml:space="preserve">International Handbook of Media Literacy Education, </w:t>
      </w:r>
      <w:r w:rsidRPr="007B5F92">
        <w:rPr>
          <w:rFonts w:ascii="Palatino Linotype" w:hAnsi="Palatino Linotype"/>
          <w:sz w:val="20"/>
          <w:szCs w:val="20"/>
          <w:lang w:val="id-ID"/>
        </w:rPr>
        <w:t>New York and London : Rouledge, p.144.</w:t>
      </w:r>
    </w:p>
    <w:p w14:paraId="3ECE5677"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Connolly, S. 2013,  </w:t>
      </w:r>
      <w:r w:rsidRPr="007B5F92">
        <w:rPr>
          <w:rFonts w:ascii="Palatino Linotype" w:hAnsi="Palatino Linotype"/>
          <w:i/>
          <w:sz w:val="20"/>
          <w:szCs w:val="20"/>
          <w:lang w:val="id-ID"/>
        </w:rPr>
        <w:t xml:space="preserve">Learning Progression in Secondary Digital Video Production, </w:t>
      </w:r>
      <w:r w:rsidRPr="007B5F92">
        <w:rPr>
          <w:rFonts w:ascii="Palatino Linotype" w:hAnsi="Palatino Linotype"/>
          <w:sz w:val="20"/>
          <w:szCs w:val="20"/>
          <w:lang w:val="id-ID"/>
        </w:rPr>
        <w:t>PhD Thesis, London, p.100</w:t>
      </w:r>
    </w:p>
    <w:p w14:paraId="0CD7E940"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Connolly, S. “21st Century Artisans: Creativity, Craft and Techne in Digital Video Production”, </w:t>
      </w:r>
      <w:r w:rsidRPr="007B5F92">
        <w:rPr>
          <w:rFonts w:ascii="Palatino Linotype" w:hAnsi="Palatino Linotype"/>
          <w:i/>
          <w:sz w:val="20"/>
          <w:szCs w:val="20"/>
          <w:lang w:val="id-ID"/>
        </w:rPr>
        <w:t xml:space="preserve">Media Education Research Journal </w:t>
      </w:r>
      <w:r w:rsidRPr="007B5F92">
        <w:rPr>
          <w:rFonts w:ascii="Palatino Linotype" w:hAnsi="Palatino Linotype"/>
          <w:sz w:val="20"/>
          <w:szCs w:val="20"/>
          <w:lang w:val="id-ID"/>
        </w:rPr>
        <w:t>5 (1), 2014, p. 32 – 45.</w:t>
      </w:r>
    </w:p>
    <w:p w14:paraId="521C03CE" w14:textId="77777777" w:rsidR="00204892" w:rsidRPr="007B5F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Dwi Rustandi, 2020, “Pembukaan Program Studi Baru Pada Perguruan Tinggi Akademik Dalam Kebijakan Kampus Merdeka”, Siaran Pers Nomor 63/Sipers/V/2020</w:t>
      </w:r>
    </w:p>
    <w:p w14:paraId="17CAE196"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I Made Darsana &amp; Francisca Titing Koerniawati, 2021, </w:t>
      </w:r>
      <w:r w:rsidRPr="007B5F92">
        <w:rPr>
          <w:rFonts w:ascii="Palatino Linotype" w:hAnsi="Palatino Linotype"/>
          <w:i/>
          <w:sz w:val="20"/>
          <w:szCs w:val="20"/>
          <w:lang w:val="id-ID"/>
        </w:rPr>
        <w:t xml:space="preserve">Organizational Citizenship Behavior, Personality, Budaya Organisasi dan Kinerja Karyawan : Aplikasi pada Manajemen Sumber Daya Manusia Kepariwisataan, </w:t>
      </w:r>
      <w:r w:rsidRPr="007B5F92">
        <w:rPr>
          <w:rFonts w:ascii="Palatino Linotype" w:hAnsi="Palatino Linotype"/>
          <w:sz w:val="20"/>
          <w:szCs w:val="20"/>
          <w:lang w:val="id-ID"/>
        </w:rPr>
        <w:t>Bali : Nilacakra</w:t>
      </w:r>
    </w:p>
    <w:p w14:paraId="5D3CF29C"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Jerry C. Whitaker, Blair K. Benson, 2001, </w:t>
      </w:r>
      <w:r w:rsidRPr="007B5F92">
        <w:rPr>
          <w:rFonts w:ascii="Palatino Linotype" w:hAnsi="Palatino Linotype"/>
          <w:i/>
          <w:sz w:val="20"/>
          <w:szCs w:val="20"/>
          <w:lang w:val="id-ID"/>
        </w:rPr>
        <w:t xml:space="preserve">Standard Handbook of Audio and Radio Engineering, </w:t>
      </w:r>
      <w:r w:rsidRPr="007B5F92">
        <w:rPr>
          <w:rFonts w:ascii="Palatino Linotype" w:hAnsi="Palatino Linotype"/>
          <w:sz w:val="20"/>
          <w:szCs w:val="20"/>
          <w:lang w:val="id-ID"/>
        </w:rPr>
        <w:t>New York: McGraw-Hill Education</w:t>
      </w:r>
    </w:p>
    <w:p w14:paraId="06343094" w14:textId="77777777" w:rsidR="00204892" w:rsidRPr="00E665E4" w:rsidRDefault="00204892" w:rsidP="00204892">
      <w:pPr>
        <w:spacing w:line="242" w:lineRule="auto"/>
        <w:ind w:left="1181" w:right="479" w:hanging="720"/>
        <w:jc w:val="both"/>
        <w:rPr>
          <w:rFonts w:ascii="Palatino Linotype" w:hAnsi="Palatino Linotype"/>
          <w:sz w:val="20"/>
          <w:szCs w:val="20"/>
          <w:lang w:val="id-ID"/>
        </w:rPr>
      </w:pPr>
      <w:r w:rsidRPr="00E665E4">
        <w:rPr>
          <w:rFonts w:ascii="Palatino Linotype" w:hAnsi="Palatino Linotype"/>
          <w:sz w:val="20"/>
          <w:szCs w:val="20"/>
          <w:lang w:val="id-ID"/>
        </w:rPr>
        <w:t xml:space="preserve">M. Imam Hidayat dan Yusnidah, 2020, </w:t>
      </w:r>
      <w:r w:rsidRPr="00E665E4">
        <w:rPr>
          <w:rFonts w:ascii="Palatino Linotype" w:hAnsi="Palatino Linotype"/>
          <w:i/>
          <w:sz w:val="20"/>
          <w:szCs w:val="20"/>
          <w:lang w:val="id-ID"/>
        </w:rPr>
        <w:t>Revolusi Pendidikan Tinggi Di Era Industri,</w:t>
      </w:r>
      <w:r w:rsidRPr="00E665E4">
        <w:rPr>
          <w:rFonts w:ascii="Palatino Linotype" w:hAnsi="Palatino Linotype"/>
          <w:sz w:val="20"/>
          <w:szCs w:val="20"/>
          <w:lang w:val="id-ID"/>
        </w:rPr>
        <w:t xml:space="preserve"> Yogyakarta : Deepublish, p.88</w:t>
      </w:r>
    </w:p>
    <w:p w14:paraId="1B385271" w14:textId="77777777" w:rsidR="002048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Mochammad Bayu Firmansyah &amp; Suchaina, 2023, </w:t>
      </w:r>
      <w:r w:rsidRPr="007B5F92">
        <w:rPr>
          <w:rFonts w:ascii="Palatino Linotype" w:hAnsi="Palatino Linotype"/>
          <w:i/>
          <w:sz w:val="20"/>
          <w:szCs w:val="20"/>
          <w:lang w:val="id-ID"/>
        </w:rPr>
        <w:t xml:space="preserve">Model Pembelajaran Multimodal Bermuatan Ekonomi Kreatif : Panduan Praktis Pembelajaran Multimodal di Perguruan Tinggi, </w:t>
      </w:r>
      <w:r w:rsidRPr="007B5F92">
        <w:rPr>
          <w:rFonts w:ascii="Palatino Linotype" w:hAnsi="Palatino Linotype"/>
          <w:sz w:val="20"/>
          <w:szCs w:val="20"/>
          <w:lang w:val="id-ID"/>
        </w:rPr>
        <w:t>Pasuruan : Aqilian Publika</w:t>
      </w:r>
    </w:p>
    <w:p w14:paraId="5ABF8720" w14:textId="77777777" w:rsidR="00204892" w:rsidRPr="007B5F92" w:rsidRDefault="00204892" w:rsidP="00204892">
      <w:pPr>
        <w:spacing w:line="242" w:lineRule="auto"/>
        <w:ind w:left="1181" w:right="479"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Nikolas F. Wuryaningrat, 2020, </w:t>
      </w:r>
      <w:r w:rsidRPr="007B5F92">
        <w:rPr>
          <w:rFonts w:ascii="Palatino Linotype" w:hAnsi="Palatino Linotype"/>
          <w:i/>
          <w:sz w:val="20"/>
          <w:szCs w:val="20"/>
          <w:lang w:val="id-ID"/>
        </w:rPr>
        <w:t xml:space="preserve">Kemampuan Inovasi Industri Kreatif Di Indonesia, </w:t>
      </w:r>
      <w:r w:rsidRPr="007B5F92">
        <w:rPr>
          <w:rFonts w:ascii="Palatino Linotype" w:hAnsi="Palatino Linotype"/>
          <w:sz w:val="20"/>
          <w:szCs w:val="20"/>
          <w:lang w:val="id-ID"/>
        </w:rPr>
        <w:t>Praya : FP. Aswaja</w:t>
      </w:r>
    </w:p>
    <w:p w14:paraId="00AFBACF" w14:textId="77777777" w:rsidR="00204892" w:rsidRPr="001420FC" w:rsidRDefault="00204892" w:rsidP="00204892">
      <w:pPr>
        <w:spacing w:line="242" w:lineRule="auto"/>
        <w:ind w:left="1181" w:right="479" w:hanging="720"/>
        <w:jc w:val="both"/>
        <w:rPr>
          <w:rFonts w:ascii="Palatino Linotype" w:hAnsi="Palatino Linotype"/>
          <w:sz w:val="20"/>
          <w:szCs w:val="20"/>
          <w:lang w:val="id-ID"/>
        </w:rPr>
      </w:pPr>
      <w:r w:rsidRPr="001420FC">
        <w:rPr>
          <w:rFonts w:ascii="Palatino Linotype" w:hAnsi="Palatino Linotype"/>
          <w:sz w:val="20"/>
          <w:szCs w:val="20"/>
          <w:lang w:val="id-ID"/>
        </w:rPr>
        <w:t xml:space="preserve">Soerjono Soekanto, 2010, </w:t>
      </w:r>
      <w:r w:rsidRPr="001420FC">
        <w:rPr>
          <w:rFonts w:ascii="Palatino Linotype" w:hAnsi="Palatino Linotype"/>
          <w:i/>
          <w:sz w:val="20"/>
          <w:szCs w:val="20"/>
          <w:lang w:val="id-ID"/>
        </w:rPr>
        <w:t xml:space="preserve">Pengantar Penelitian Hukum, </w:t>
      </w:r>
      <w:r w:rsidRPr="001420FC">
        <w:rPr>
          <w:rFonts w:ascii="Palatino Linotype" w:hAnsi="Palatino Linotype"/>
          <w:sz w:val="20"/>
          <w:szCs w:val="20"/>
          <w:lang w:val="id-ID"/>
        </w:rPr>
        <w:t>Jakarta : UI Press</w:t>
      </w:r>
    </w:p>
    <w:p w14:paraId="709E450D" w14:textId="77777777" w:rsidR="00204892" w:rsidRDefault="00204892" w:rsidP="00204892">
      <w:pPr>
        <w:spacing w:line="242" w:lineRule="auto"/>
        <w:ind w:left="1181" w:right="378" w:hanging="720"/>
        <w:jc w:val="both"/>
        <w:rPr>
          <w:rFonts w:ascii="Palatino Linotype" w:hAnsi="Palatino Linotype"/>
          <w:sz w:val="20"/>
          <w:szCs w:val="20"/>
          <w:lang w:val="id-ID"/>
        </w:rPr>
      </w:pPr>
      <w:r w:rsidRPr="001420FC">
        <w:rPr>
          <w:rFonts w:ascii="Palatino Linotype" w:hAnsi="Palatino Linotype"/>
          <w:sz w:val="20"/>
          <w:szCs w:val="20"/>
          <w:lang w:val="id-ID"/>
        </w:rPr>
        <w:t xml:space="preserve">Surya Dharmawansyah, Hafied Cangara, M. Iqbal Sultan. “Strategi Promosi Dalam Meningkatkan Jumlah Mahasiswa Pada Politeknik Negeri Media Kreatif Makasar”, </w:t>
      </w:r>
      <w:r w:rsidRPr="001420FC">
        <w:rPr>
          <w:rFonts w:ascii="Palatino Linotype" w:hAnsi="Palatino Linotype"/>
          <w:i/>
          <w:sz w:val="20"/>
          <w:szCs w:val="20"/>
          <w:lang w:val="id-ID"/>
        </w:rPr>
        <w:t xml:space="preserve">Jurnal Komunikasi KAREBA </w:t>
      </w:r>
      <w:r w:rsidRPr="001420FC">
        <w:rPr>
          <w:rFonts w:ascii="Palatino Linotype" w:hAnsi="Palatino Linotype"/>
          <w:sz w:val="20"/>
          <w:szCs w:val="20"/>
          <w:lang w:val="id-ID"/>
        </w:rPr>
        <w:t>Vol 3 No.4, 2014, p. 256-263.</w:t>
      </w:r>
    </w:p>
    <w:p w14:paraId="02CC0A39" w14:textId="77777777" w:rsidR="00204892" w:rsidRPr="006639B1" w:rsidRDefault="00204892" w:rsidP="00204892">
      <w:pPr>
        <w:spacing w:line="242" w:lineRule="auto"/>
        <w:ind w:left="1181" w:right="378" w:hanging="720"/>
        <w:jc w:val="both"/>
        <w:rPr>
          <w:rFonts w:ascii="Palatino Linotype" w:hAnsi="Palatino Linotype"/>
          <w:sz w:val="20"/>
          <w:szCs w:val="20"/>
          <w:lang w:val="id-ID"/>
        </w:rPr>
      </w:pPr>
      <w:r w:rsidRPr="006639B1">
        <w:rPr>
          <w:rFonts w:ascii="Palatino Linotype" w:hAnsi="Palatino Linotype"/>
          <w:sz w:val="20"/>
          <w:szCs w:val="20"/>
          <w:lang w:val="id-ID"/>
        </w:rPr>
        <w:lastRenderedPageBreak/>
        <w:t xml:space="preserve">Yudha Aditya Fiandra, Ganefri, Asmar Yulastri, 2023, </w:t>
      </w:r>
      <w:r w:rsidRPr="006639B1">
        <w:rPr>
          <w:rFonts w:ascii="Palatino Linotype" w:hAnsi="Palatino Linotype"/>
          <w:i/>
          <w:sz w:val="20"/>
          <w:szCs w:val="20"/>
          <w:lang w:val="id-ID"/>
        </w:rPr>
        <w:t>Digital Entrepreneurship : Digital Technology For Sustainable Entrepreneurship,</w:t>
      </w:r>
      <w:r w:rsidRPr="006639B1">
        <w:rPr>
          <w:rFonts w:ascii="Palatino Linotype" w:hAnsi="Palatino Linotype"/>
          <w:sz w:val="20"/>
          <w:szCs w:val="20"/>
          <w:lang w:val="id-ID"/>
        </w:rPr>
        <w:t xml:space="preserve"> Padang : CV. Berkah Prima, p.80</w:t>
      </w:r>
    </w:p>
    <w:p w14:paraId="68B0ED85" w14:textId="77777777" w:rsidR="00204892" w:rsidRDefault="00204892" w:rsidP="00204892">
      <w:pPr>
        <w:spacing w:line="269" w:lineRule="exact"/>
        <w:ind w:left="462"/>
        <w:jc w:val="both"/>
        <w:rPr>
          <w:rFonts w:ascii="Palatino Linotype"/>
          <w:sz w:val="20"/>
        </w:rPr>
      </w:pPr>
      <w:r>
        <w:rPr>
          <w:rFonts w:ascii="Palatino Linotype"/>
          <w:sz w:val="20"/>
        </w:rPr>
        <w:t>1945</w:t>
      </w:r>
      <w:r>
        <w:rPr>
          <w:rFonts w:ascii="Palatino Linotype"/>
          <w:spacing w:val="-3"/>
          <w:sz w:val="20"/>
        </w:rPr>
        <w:t xml:space="preserve"> </w:t>
      </w:r>
      <w:r>
        <w:rPr>
          <w:rFonts w:ascii="Palatino Linotype"/>
          <w:sz w:val="20"/>
        </w:rPr>
        <w:t>Constitution</w:t>
      </w:r>
      <w:r>
        <w:rPr>
          <w:rFonts w:ascii="Palatino Linotype"/>
          <w:spacing w:val="-2"/>
          <w:sz w:val="20"/>
        </w:rPr>
        <w:t xml:space="preserve"> </w:t>
      </w:r>
      <w:r>
        <w:rPr>
          <w:rFonts w:ascii="Palatino Linotype"/>
          <w:sz w:val="20"/>
        </w:rPr>
        <w:t>of</w:t>
      </w:r>
      <w:r>
        <w:rPr>
          <w:rFonts w:ascii="Palatino Linotype"/>
          <w:spacing w:val="-3"/>
          <w:sz w:val="20"/>
        </w:rPr>
        <w:t xml:space="preserve"> </w:t>
      </w:r>
      <w:r>
        <w:rPr>
          <w:rFonts w:ascii="Palatino Linotype"/>
          <w:sz w:val="20"/>
        </w:rPr>
        <w:t>the</w:t>
      </w:r>
      <w:r>
        <w:rPr>
          <w:rFonts w:ascii="Palatino Linotype"/>
          <w:spacing w:val="-4"/>
          <w:sz w:val="20"/>
        </w:rPr>
        <w:t xml:space="preserve"> </w:t>
      </w:r>
      <w:r>
        <w:rPr>
          <w:rFonts w:ascii="Palatino Linotype"/>
          <w:sz w:val="20"/>
        </w:rPr>
        <w:t>Republic</w:t>
      </w:r>
      <w:r>
        <w:rPr>
          <w:rFonts w:ascii="Palatino Linotype"/>
          <w:spacing w:val="-3"/>
          <w:sz w:val="20"/>
        </w:rPr>
        <w:t xml:space="preserve"> </w:t>
      </w:r>
      <w:r>
        <w:rPr>
          <w:rFonts w:ascii="Palatino Linotype"/>
          <w:sz w:val="20"/>
        </w:rPr>
        <w:t>of</w:t>
      </w:r>
      <w:r>
        <w:rPr>
          <w:rFonts w:ascii="Palatino Linotype"/>
          <w:spacing w:val="-3"/>
          <w:sz w:val="20"/>
        </w:rPr>
        <w:t xml:space="preserve"> </w:t>
      </w:r>
      <w:r>
        <w:rPr>
          <w:rFonts w:ascii="Palatino Linotype"/>
          <w:sz w:val="20"/>
        </w:rPr>
        <w:t>Indonesia</w:t>
      </w:r>
    </w:p>
    <w:p w14:paraId="6694E5BA" w14:textId="77777777" w:rsidR="00204892" w:rsidRPr="001420FC" w:rsidRDefault="00204892" w:rsidP="00204892">
      <w:pPr>
        <w:ind w:left="1181" w:right="486" w:hanging="720"/>
        <w:jc w:val="both"/>
        <w:rPr>
          <w:rFonts w:ascii="Palatino Linotype" w:hAnsi="Palatino Linotype"/>
          <w:sz w:val="20"/>
          <w:szCs w:val="20"/>
          <w:lang w:val="id-ID"/>
        </w:rPr>
      </w:pPr>
      <w:r w:rsidRPr="001420FC">
        <w:rPr>
          <w:rFonts w:ascii="Palatino Linotype" w:hAnsi="Palatino Linotype"/>
          <w:sz w:val="20"/>
          <w:szCs w:val="20"/>
          <w:lang w:val="id-ID"/>
        </w:rPr>
        <w:t>Undang-Undang Nomor 20 Tahun 2003 tentang Sistem Pendidikan Nasional</w:t>
      </w:r>
      <w:r w:rsidRPr="001420FC">
        <w:rPr>
          <w:rFonts w:ascii="Palatino Linotype" w:hAnsi="Palatino Linotype"/>
          <w:sz w:val="20"/>
          <w:szCs w:val="20"/>
        </w:rPr>
        <w:t xml:space="preserve"> </w:t>
      </w:r>
    </w:p>
    <w:p w14:paraId="793DFC50" w14:textId="77777777" w:rsidR="00204892" w:rsidRPr="007B5F92" w:rsidRDefault="00204892" w:rsidP="00204892">
      <w:pPr>
        <w:ind w:left="1181" w:right="483" w:hanging="720"/>
        <w:jc w:val="both"/>
        <w:rPr>
          <w:rFonts w:ascii="Palatino Linotype" w:hAnsi="Palatino Linotype"/>
          <w:sz w:val="20"/>
          <w:szCs w:val="20"/>
          <w:lang w:val="id-ID"/>
        </w:rPr>
      </w:pPr>
      <w:r w:rsidRPr="007B5F92">
        <w:rPr>
          <w:rFonts w:ascii="Palatino Linotype" w:hAnsi="Palatino Linotype"/>
          <w:sz w:val="20"/>
          <w:szCs w:val="20"/>
          <w:lang w:val="id-ID"/>
        </w:rPr>
        <w:t>Permendikbud Nomor 7 Tahun 2020 tentang Pendirian, Perubahan, Pembubaran Perguruan Tinggi Negeri dan Pendirian, Perubahan, Pencabutan Izin Perguruan Tinggi Swasta</w:t>
      </w:r>
      <w:r w:rsidRPr="007B5F92">
        <w:rPr>
          <w:rFonts w:ascii="Palatino Linotype" w:hAnsi="Palatino Linotype"/>
          <w:sz w:val="20"/>
          <w:szCs w:val="20"/>
        </w:rPr>
        <w:t xml:space="preserve"> </w:t>
      </w:r>
    </w:p>
    <w:p w14:paraId="5A0590E8" w14:textId="77777777" w:rsidR="00204892" w:rsidRDefault="00204892" w:rsidP="00204892">
      <w:pPr>
        <w:ind w:left="1181" w:right="483" w:hanging="720"/>
        <w:jc w:val="both"/>
        <w:rPr>
          <w:rFonts w:ascii="Palatino Linotype" w:hAnsi="Palatino Linotype"/>
          <w:sz w:val="20"/>
          <w:szCs w:val="20"/>
          <w:lang w:val="id-ID"/>
        </w:rPr>
      </w:pPr>
      <w:r w:rsidRPr="007B5F92">
        <w:rPr>
          <w:rFonts w:ascii="Palatino Linotype" w:hAnsi="Palatino Linotype"/>
          <w:sz w:val="20"/>
          <w:szCs w:val="20"/>
          <w:lang w:val="id-ID"/>
        </w:rPr>
        <w:t xml:space="preserve">Ristekdikti, 2019, </w:t>
      </w:r>
      <w:r w:rsidRPr="007B5F92">
        <w:rPr>
          <w:rFonts w:ascii="Palatino Linotype" w:hAnsi="Palatino Linotype"/>
          <w:i/>
          <w:sz w:val="20"/>
          <w:szCs w:val="20"/>
          <w:lang w:val="id-ID"/>
        </w:rPr>
        <w:t xml:space="preserve">Persyaratan dan Prosedur Pendirian dan Perubahan Perguruan Tinggi Swasta serta Pembukaan Program Studi Pada Perguruan Tinggi, </w:t>
      </w:r>
      <w:r w:rsidRPr="007B5F92">
        <w:rPr>
          <w:rFonts w:ascii="Palatino Linotype" w:hAnsi="Palatino Linotype"/>
          <w:sz w:val="20"/>
          <w:szCs w:val="20"/>
          <w:lang w:val="id-ID"/>
        </w:rPr>
        <w:t>Kementerian Riset, Teknologi, dan Pendidikan Tinggi :  Direktorat Jenderal Kelembagaan Iptek dan Dikti</w:t>
      </w:r>
      <w:r>
        <w:rPr>
          <w:rFonts w:ascii="Palatino Linotype" w:hAnsi="Palatino Linotype"/>
          <w:sz w:val="20"/>
          <w:szCs w:val="20"/>
          <w:lang w:val="id-ID"/>
        </w:rPr>
        <w:t>.</w:t>
      </w:r>
    </w:p>
    <w:p w14:paraId="2294FA43" w14:textId="77777777" w:rsidR="00204892" w:rsidRPr="007B5F92" w:rsidRDefault="00204892" w:rsidP="00204892">
      <w:pPr>
        <w:ind w:left="1181" w:right="483" w:hanging="720"/>
        <w:jc w:val="both"/>
        <w:rPr>
          <w:rFonts w:ascii="Palatino Linotype" w:hAnsi="Palatino Linotype"/>
          <w:sz w:val="20"/>
          <w:szCs w:val="20"/>
        </w:rPr>
      </w:pPr>
      <w:r w:rsidRPr="007B5F92">
        <w:rPr>
          <w:rFonts w:ascii="Palatino Linotype" w:hAnsi="Palatino Linotype"/>
          <w:sz w:val="20"/>
          <w:szCs w:val="20"/>
          <w:lang w:val="id-ID"/>
        </w:rPr>
        <w:t>Surat Edaran Menristekdikti tanggal 21 September 2016 Nomor: 2/M/SE/IX/2016 Tentang Pendirian Perguruan Tinggi Baru dan Pembukaan Program</w:t>
      </w:r>
      <w:r>
        <w:rPr>
          <w:rFonts w:ascii="Palatino Linotype" w:hAnsi="Palatino Linotype"/>
          <w:sz w:val="20"/>
          <w:szCs w:val="20"/>
          <w:lang w:val="id-ID"/>
        </w:rPr>
        <w:t xml:space="preserve"> Studi</w:t>
      </w:r>
    </w:p>
    <w:p w14:paraId="35A01472" w14:textId="77777777" w:rsidR="00204892" w:rsidRPr="00723B12" w:rsidRDefault="00204892" w:rsidP="002B31FD">
      <w:pPr>
        <w:pStyle w:val="Alishlah71References"/>
      </w:pPr>
    </w:p>
    <w:sectPr w:rsidR="00204892" w:rsidRPr="00723B12"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55132" w14:textId="77777777" w:rsidR="00913698" w:rsidRDefault="00913698" w:rsidP="008E64A2">
      <w:pPr>
        <w:spacing w:after="0" w:line="240" w:lineRule="auto"/>
      </w:pPr>
      <w:r>
        <w:separator/>
      </w:r>
    </w:p>
    <w:p w14:paraId="1A18B785" w14:textId="77777777" w:rsidR="00913698" w:rsidRDefault="00913698"/>
  </w:endnote>
  <w:endnote w:type="continuationSeparator" w:id="0">
    <w:p w14:paraId="13F58358" w14:textId="77777777" w:rsidR="00913698" w:rsidRDefault="00913698" w:rsidP="008E64A2">
      <w:pPr>
        <w:spacing w:after="0" w:line="240" w:lineRule="auto"/>
      </w:pPr>
      <w:r>
        <w:continuationSeparator/>
      </w:r>
    </w:p>
    <w:p w14:paraId="4CBC781F" w14:textId="77777777" w:rsidR="00913698" w:rsidRDefault="00913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C5827"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B0B6F"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C1D9F" w14:textId="77777777" w:rsidR="00913698" w:rsidRDefault="00913698" w:rsidP="008E64A2">
      <w:pPr>
        <w:spacing w:after="0" w:line="240" w:lineRule="auto"/>
      </w:pPr>
      <w:r>
        <w:separator/>
      </w:r>
    </w:p>
    <w:p w14:paraId="7849096A" w14:textId="77777777" w:rsidR="00913698" w:rsidRDefault="00913698"/>
  </w:footnote>
  <w:footnote w:type="continuationSeparator" w:id="0">
    <w:p w14:paraId="53AAB1CB" w14:textId="77777777" w:rsidR="00913698" w:rsidRDefault="00913698" w:rsidP="008E64A2">
      <w:pPr>
        <w:spacing w:after="0" w:line="240" w:lineRule="auto"/>
      </w:pPr>
      <w:r>
        <w:continuationSeparator/>
      </w:r>
    </w:p>
    <w:p w14:paraId="56739236" w14:textId="77777777" w:rsidR="00913698" w:rsidRDefault="00913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A984F"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7BFC2C4" wp14:editId="429FD655">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3428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21F1EEC2" w14:textId="77777777" w:rsidR="009743C4" w:rsidRDefault="009743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880FE"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02094600"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8CF2A8B"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8EE61C2" wp14:editId="3C29120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7835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9D26DC8"/>
    <w:multiLevelType w:val="hybridMultilevel"/>
    <w:tmpl w:val="0A7445F4"/>
    <w:lvl w:ilvl="0" w:tplc="BE0EC7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116583B"/>
    <w:multiLevelType w:val="hybridMultilevel"/>
    <w:tmpl w:val="34CA8C7E"/>
    <w:lvl w:ilvl="0" w:tplc="4F2A527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3B4867"/>
    <w:multiLevelType w:val="hybridMultilevel"/>
    <w:tmpl w:val="A5E85378"/>
    <w:lvl w:ilvl="0" w:tplc="68945B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45BA292B"/>
    <w:multiLevelType w:val="hybridMultilevel"/>
    <w:tmpl w:val="6DE46318"/>
    <w:lvl w:ilvl="0" w:tplc="91027114">
      <w:start w:val="1"/>
      <w:numFmt w:val="lowerLetter"/>
      <w:lvlText w:val="%1."/>
      <w:lvlJc w:val="left"/>
      <w:pPr>
        <w:ind w:left="644" w:hanging="360"/>
      </w:pPr>
      <w:rPr>
        <w:rFonts w:hint="default"/>
        <w:w w:val="105"/>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87704436">
    <w:abstractNumId w:val="10"/>
  </w:num>
  <w:num w:numId="2" w16cid:durableId="1963878531">
    <w:abstractNumId w:val="12"/>
  </w:num>
  <w:num w:numId="3" w16cid:durableId="907376214">
    <w:abstractNumId w:val="7"/>
  </w:num>
  <w:num w:numId="4" w16cid:durableId="1536502896">
    <w:abstractNumId w:val="6"/>
  </w:num>
  <w:num w:numId="5" w16cid:durableId="1628658106">
    <w:abstractNumId w:val="17"/>
  </w:num>
  <w:num w:numId="6" w16cid:durableId="962618283">
    <w:abstractNumId w:val="20"/>
  </w:num>
  <w:num w:numId="7" w16cid:durableId="195896637">
    <w:abstractNumId w:val="1"/>
  </w:num>
  <w:num w:numId="8" w16cid:durableId="1167089683">
    <w:abstractNumId w:val="19"/>
  </w:num>
  <w:num w:numId="9" w16cid:durableId="2060549577">
    <w:abstractNumId w:val="9"/>
  </w:num>
  <w:num w:numId="10" w16cid:durableId="113794805">
    <w:abstractNumId w:val="18"/>
  </w:num>
  <w:num w:numId="11" w16cid:durableId="1064109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3137064">
    <w:abstractNumId w:val="21"/>
  </w:num>
  <w:num w:numId="13" w16cid:durableId="1208224144">
    <w:abstractNumId w:val="3"/>
  </w:num>
  <w:num w:numId="14" w16cid:durableId="1697466960">
    <w:abstractNumId w:val="13"/>
  </w:num>
  <w:num w:numId="15" w16cid:durableId="1035736345">
    <w:abstractNumId w:val="16"/>
  </w:num>
  <w:num w:numId="16" w16cid:durableId="486896493">
    <w:abstractNumId w:val="0"/>
  </w:num>
  <w:num w:numId="17" w16cid:durableId="1697659372">
    <w:abstractNumId w:val="5"/>
  </w:num>
  <w:num w:numId="18" w16cid:durableId="1368606451">
    <w:abstractNumId w:val="8"/>
  </w:num>
  <w:num w:numId="19" w16cid:durableId="511799592">
    <w:abstractNumId w:val="14"/>
  </w:num>
  <w:num w:numId="20" w16cid:durableId="841745869">
    <w:abstractNumId w:val="2"/>
  </w:num>
  <w:num w:numId="21" w16cid:durableId="1475950599">
    <w:abstractNumId w:val="11"/>
  </w:num>
  <w:num w:numId="22" w16cid:durableId="70020767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1F5DFD"/>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691C"/>
    <w:rsid w:val="00147524"/>
    <w:rsid w:val="00151740"/>
    <w:rsid w:val="001603B5"/>
    <w:rsid w:val="00175AF2"/>
    <w:rsid w:val="00182EA2"/>
    <w:rsid w:val="001914CF"/>
    <w:rsid w:val="001A4292"/>
    <w:rsid w:val="001A581B"/>
    <w:rsid w:val="001C1084"/>
    <w:rsid w:val="001C18FA"/>
    <w:rsid w:val="001C30E8"/>
    <w:rsid w:val="001C7B8C"/>
    <w:rsid w:val="001E42C1"/>
    <w:rsid w:val="001F4625"/>
    <w:rsid w:val="001F5DFD"/>
    <w:rsid w:val="002001C5"/>
    <w:rsid w:val="00202D95"/>
    <w:rsid w:val="00204892"/>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318C6"/>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94F3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3698"/>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743C4"/>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559D4"/>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1EF5"/>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5376"/>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179E"/>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2679"/>
  <w15:chartTrackingRefBased/>
  <w15:docId w15:val="{15575B8B-095E-40CF-A2F8-89C51901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204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vrita@sae.edu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ugas\publish\16%20juni%20hukum%20pend%20sinta%202\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29</TotalTime>
  <Pages>11</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john researcher</cp:lastModifiedBy>
  <cp:revision>5</cp:revision>
  <cp:lastPrinted>2022-03-12T14:54:00Z</cp:lastPrinted>
  <dcterms:created xsi:type="dcterms:W3CDTF">2024-06-16T02:41:00Z</dcterms:created>
  <dcterms:modified xsi:type="dcterms:W3CDTF">2024-06-16T03:19:00Z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