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54D" w:rsidRDefault="0078554D" w:rsidP="002C57D4">
      <w:pPr>
        <w:pStyle w:val="Alishlah13authornames"/>
        <w:rPr>
          <w:snapToGrid w:val="0"/>
          <w:sz w:val="28"/>
          <w:szCs w:val="28"/>
          <w:lang w:val="en-GB"/>
        </w:rPr>
      </w:pPr>
      <w:r w:rsidRPr="0078554D">
        <w:rPr>
          <w:snapToGrid w:val="0"/>
          <w:sz w:val="28"/>
          <w:szCs w:val="28"/>
          <w:lang w:val="en-GB"/>
        </w:rPr>
        <w:t xml:space="preserve">Development of Local Wisdom Teaching Materials to Improve Reading Skills of Fifth Grade Students of </w:t>
      </w:r>
      <w:proofErr w:type="spellStart"/>
      <w:r w:rsidRPr="0078554D">
        <w:rPr>
          <w:snapToGrid w:val="0"/>
          <w:sz w:val="28"/>
          <w:szCs w:val="28"/>
          <w:lang w:val="en-GB"/>
        </w:rPr>
        <w:t>Sdn</w:t>
      </w:r>
      <w:proofErr w:type="spellEnd"/>
      <w:r w:rsidRPr="0078554D">
        <w:rPr>
          <w:snapToGrid w:val="0"/>
          <w:sz w:val="28"/>
          <w:szCs w:val="28"/>
          <w:lang w:val="en-GB"/>
        </w:rPr>
        <w:t xml:space="preserve"> 15 </w:t>
      </w:r>
      <w:proofErr w:type="spellStart"/>
      <w:r>
        <w:rPr>
          <w:snapToGrid w:val="0"/>
          <w:sz w:val="28"/>
          <w:szCs w:val="28"/>
          <w:lang w:val="en-GB"/>
        </w:rPr>
        <w:t>Bengkayang</w:t>
      </w:r>
      <w:proofErr w:type="spellEnd"/>
    </w:p>
    <w:p w:rsidR="0064298B" w:rsidRDefault="0064298B" w:rsidP="00A32FC3">
      <w:pPr>
        <w:pStyle w:val="Alishlah16affiliation"/>
        <w:ind w:left="142" w:hanging="29"/>
        <w:rPr>
          <w:color w:val="auto"/>
          <w:lang w:val="en-GB"/>
        </w:rPr>
      </w:pPr>
      <w:r w:rsidRPr="0064298B">
        <w:rPr>
          <w:b/>
          <w:sz w:val="20"/>
          <w:szCs w:val="22"/>
          <w:lang w:val="en-GB"/>
        </w:rPr>
        <w:t>Paulina Rete</w:t>
      </w:r>
      <w:r>
        <w:rPr>
          <w:b/>
          <w:sz w:val="20"/>
          <w:szCs w:val="22"/>
          <w:vertAlign w:val="superscript"/>
          <w:lang w:val="en-GB"/>
        </w:rPr>
        <w:t>1</w:t>
      </w:r>
      <w:r w:rsidRPr="0064298B">
        <w:rPr>
          <w:b/>
          <w:sz w:val="20"/>
          <w:szCs w:val="22"/>
          <w:lang w:val="en-GB"/>
        </w:rPr>
        <w:t xml:space="preserve">*, </w:t>
      </w:r>
      <w:proofErr w:type="spellStart"/>
      <w:r w:rsidRPr="0064298B">
        <w:rPr>
          <w:b/>
          <w:sz w:val="20"/>
          <w:szCs w:val="22"/>
          <w:lang w:val="en-GB"/>
        </w:rPr>
        <w:t>Unik</w:t>
      </w:r>
      <w:proofErr w:type="spellEnd"/>
      <w:r w:rsidRPr="0064298B">
        <w:rPr>
          <w:b/>
          <w:sz w:val="20"/>
          <w:szCs w:val="22"/>
          <w:lang w:val="en-GB"/>
        </w:rPr>
        <w:t xml:space="preserve"> Ambar Wati</w:t>
      </w:r>
      <w:r>
        <w:rPr>
          <w:b/>
          <w:sz w:val="20"/>
          <w:szCs w:val="22"/>
          <w:vertAlign w:val="superscript"/>
          <w:lang w:val="en-GB"/>
        </w:rPr>
        <w:t>2</w:t>
      </w:r>
      <w:r w:rsidRPr="0064298B">
        <w:rPr>
          <w:b/>
          <w:sz w:val="20"/>
          <w:szCs w:val="22"/>
          <w:lang w:val="en-GB"/>
        </w:rPr>
        <w:t>, Marwan</w:t>
      </w:r>
      <w:r>
        <w:rPr>
          <w:b/>
          <w:sz w:val="20"/>
          <w:szCs w:val="22"/>
          <w:vertAlign w:val="superscript"/>
          <w:lang w:val="en-GB"/>
        </w:rPr>
        <w:t>3</w:t>
      </w:r>
      <w:r w:rsidRPr="0064298B">
        <w:rPr>
          <w:b/>
          <w:sz w:val="20"/>
          <w:szCs w:val="22"/>
          <w:lang w:val="en-GB"/>
        </w:rPr>
        <w:t xml:space="preserve">, </w:t>
      </w:r>
      <w:proofErr w:type="spellStart"/>
      <w:r w:rsidRPr="0064298B">
        <w:rPr>
          <w:b/>
          <w:sz w:val="20"/>
          <w:szCs w:val="22"/>
          <w:lang w:val="en-GB"/>
        </w:rPr>
        <w:t>Agus</w:t>
      </w:r>
      <w:proofErr w:type="spellEnd"/>
      <w:r w:rsidRPr="0064298B">
        <w:rPr>
          <w:b/>
          <w:sz w:val="20"/>
          <w:szCs w:val="22"/>
          <w:lang w:val="en-GB"/>
        </w:rPr>
        <w:t xml:space="preserve"> Herwanto</w:t>
      </w:r>
      <w:r>
        <w:rPr>
          <w:b/>
          <w:sz w:val="20"/>
          <w:szCs w:val="22"/>
          <w:vertAlign w:val="superscript"/>
          <w:lang w:val="en-GB"/>
        </w:rPr>
        <w:t>4</w:t>
      </w:r>
      <w:r w:rsidRPr="0064298B">
        <w:rPr>
          <w:b/>
          <w:sz w:val="20"/>
          <w:szCs w:val="22"/>
          <w:lang w:val="en-GB"/>
        </w:rPr>
        <w:t>,</w:t>
      </w:r>
      <w:r w:rsidRPr="0064298B">
        <w:t xml:space="preserve"> </w:t>
      </w:r>
      <w:proofErr w:type="spellStart"/>
      <w:r w:rsidRPr="0064298B">
        <w:rPr>
          <w:b/>
          <w:sz w:val="20"/>
          <w:szCs w:val="22"/>
          <w:lang w:val="en-GB"/>
        </w:rPr>
        <w:t>Irvan</w:t>
      </w:r>
      <w:proofErr w:type="spellEnd"/>
      <w:r w:rsidRPr="0064298B">
        <w:rPr>
          <w:b/>
          <w:sz w:val="20"/>
          <w:szCs w:val="22"/>
          <w:lang w:val="en-GB"/>
        </w:rPr>
        <w:t xml:space="preserve"> Syahrizal</w:t>
      </w:r>
      <w:r>
        <w:rPr>
          <w:b/>
          <w:sz w:val="20"/>
          <w:szCs w:val="22"/>
          <w:vertAlign w:val="superscript"/>
          <w:lang w:val="en-GB"/>
        </w:rPr>
        <w:t>5</w:t>
      </w:r>
      <w:r w:rsidRPr="0064298B">
        <w:rPr>
          <w:b/>
          <w:sz w:val="20"/>
          <w:szCs w:val="22"/>
          <w:lang w:val="en-GB"/>
        </w:rPr>
        <w:t xml:space="preserve">, </w:t>
      </w:r>
      <w:proofErr w:type="spellStart"/>
      <w:r w:rsidRPr="0064298B">
        <w:rPr>
          <w:b/>
          <w:sz w:val="20"/>
          <w:szCs w:val="22"/>
          <w:lang w:val="en-GB"/>
        </w:rPr>
        <w:t>Wayan</w:t>
      </w:r>
      <w:proofErr w:type="spellEnd"/>
      <w:r w:rsidRPr="0064298B">
        <w:rPr>
          <w:b/>
          <w:sz w:val="20"/>
          <w:szCs w:val="22"/>
          <w:lang w:val="en-GB"/>
        </w:rPr>
        <w:t xml:space="preserve"> </w:t>
      </w:r>
      <w:proofErr w:type="spellStart"/>
      <w:r w:rsidRPr="0064298B">
        <w:rPr>
          <w:b/>
          <w:sz w:val="20"/>
          <w:szCs w:val="22"/>
          <w:lang w:val="en-GB"/>
        </w:rPr>
        <w:t>Pudma</w:t>
      </w:r>
      <w:proofErr w:type="spellEnd"/>
      <w:r w:rsidR="00A32FC3">
        <w:rPr>
          <w:b/>
          <w:sz w:val="20"/>
          <w:szCs w:val="22"/>
          <w:lang w:val="en-GB"/>
        </w:rPr>
        <w:t xml:space="preserve"> </w:t>
      </w:r>
      <w:proofErr w:type="spellStart"/>
      <w:r w:rsidRPr="0064298B">
        <w:rPr>
          <w:b/>
          <w:sz w:val="20"/>
          <w:szCs w:val="22"/>
          <w:lang w:val="en-GB"/>
        </w:rPr>
        <w:t>Febby</w:t>
      </w:r>
      <w:proofErr w:type="spellEnd"/>
      <w:r w:rsidRPr="0064298B">
        <w:rPr>
          <w:b/>
          <w:sz w:val="20"/>
          <w:szCs w:val="22"/>
          <w:lang w:val="en-GB"/>
        </w:rPr>
        <w:t xml:space="preserve"> Mandalika</w:t>
      </w:r>
      <w:r>
        <w:rPr>
          <w:b/>
          <w:sz w:val="20"/>
          <w:szCs w:val="22"/>
          <w:vertAlign w:val="superscript"/>
          <w:lang w:val="en-GB"/>
        </w:rPr>
        <w:t>6</w:t>
      </w:r>
      <w:r w:rsidR="00BE398A" w:rsidRPr="00A75CB1">
        <w:rPr>
          <w:color w:val="auto"/>
          <w:lang w:val="en-GB"/>
        </w:rPr>
        <w:tab/>
      </w:r>
    </w:p>
    <w:p w:rsidR="00784B9B" w:rsidRPr="00A75CB1" w:rsidRDefault="0064298B" w:rsidP="0064298B">
      <w:pPr>
        <w:pStyle w:val="Alishlah16affiliation"/>
        <w:rPr>
          <w:color w:val="auto"/>
          <w:lang w:val="en-GB"/>
        </w:rPr>
      </w:pPr>
      <w:proofErr w:type="spellStart"/>
      <w:r>
        <w:rPr>
          <w:color w:val="auto"/>
          <w:lang w:val="en-GB"/>
        </w:rPr>
        <w:t>Universitas</w:t>
      </w:r>
      <w:proofErr w:type="spellEnd"/>
      <w:r>
        <w:rPr>
          <w:color w:val="auto"/>
          <w:lang w:val="en-GB"/>
        </w:rPr>
        <w:t xml:space="preserve"> Negeri Yogyakarta</w:t>
      </w:r>
      <w:r>
        <w:rPr>
          <w:color w:val="auto"/>
          <w:vertAlign w:val="superscript"/>
          <w:lang w:val="en-GB"/>
        </w:rPr>
        <w:t>1</w:t>
      </w:r>
      <w:r w:rsidR="002B31FD" w:rsidRPr="002B31FD">
        <w:rPr>
          <w:color w:val="auto"/>
          <w:lang w:val="en-GB"/>
        </w:rPr>
        <w:t xml:space="preserve">; </w:t>
      </w:r>
      <w:r w:rsidRPr="0064298B">
        <w:rPr>
          <w:color w:val="auto"/>
          <w:lang w:val="en-GB"/>
        </w:rPr>
        <w:t xml:space="preserve">paulinarete.2022@student.uny.ac.id, </w:t>
      </w:r>
      <w:proofErr w:type="gramStart"/>
      <w:r w:rsidRPr="0064298B">
        <w:rPr>
          <w:color w:val="auto"/>
          <w:lang w:val="en-GB"/>
        </w:rPr>
        <w:t>unikpgsd@gmail.com .</w:t>
      </w:r>
      <w:proofErr w:type="gramEnd"/>
      <w:r w:rsidRPr="0064298B">
        <w:rPr>
          <w:color w:val="auto"/>
          <w:lang w:val="en-GB"/>
        </w:rPr>
        <w:t xml:space="preserve"> </w:t>
      </w:r>
      <w:proofErr w:type="gramStart"/>
      <w:r w:rsidRPr="0064298B">
        <w:rPr>
          <w:color w:val="auto"/>
          <w:lang w:val="en-GB"/>
        </w:rPr>
        <w:t>markim02mm10@gmail.com ,</w:t>
      </w:r>
      <w:proofErr w:type="gramEnd"/>
      <w:r w:rsidRPr="0064298B">
        <w:rPr>
          <w:color w:val="auto"/>
          <w:lang w:val="en-GB"/>
        </w:rPr>
        <w:t xml:space="preserve"> agusherwanto91@gmail.com , irvansyahrizal.2023@student.uny.ac.id</w:t>
      </w: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B31FD" w:rsidRDefault="00A32FC3" w:rsidP="00290481">
            <w:pPr>
              <w:pStyle w:val="Alishlah18keywords"/>
            </w:pPr>
            <w:r w:rsidRPr="00A32FC3">
              <w:t>Local</w:t>
            </w:r>
            <w:r>
              <w:t xml:space="preserve"> </w:t>
            </w:r>
            <w:r w:rsidRPr="00A32FC3">
              <w:t>Wisdom, Teaching Materials, Reading Skills</w:t>
            </w:r>
          </w:p>
          <w:p w:rsidR="00A32FC3" w:rsidRPr="00A32FC3" w:rsidRDefault="00A32FC3" w:rsidP="00A32FC3">
            <w:pPr>
              <w:rPr>
                <w:lang w:eastAsia="de-DE" w:bidi="en-US"/>
              </w:rPr>
            </w:pPr>
          </w:p>
          <w:p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45249" w:rsidRDefault="00A32FC3" w:rsidP="00E45249">
            <w:pPr>
              <w:pStyle w:val="Alishlah17abstract"/>
            </w:pPr>
            <w:r w:rsidRPr="00A32FC3">
              <w:t>Indonesia is facing a serious literacy crisis. Factors that cause low literacy levels in Indonesia include the uneven availability of reading materials, especially in the 3T (Disadvantaged, Frontier and Outermost) areas, suboptimal library management, and decreased interest in literacy activities. The purpose of the study was to develop a teaching module in developing reading skills from the basic school of fifth grade students. This research was conducted with a descriptive methodology with a combination of development and research (R&amp;D) approaches using the ADDIE design. In carrying out this research, data collection techniques were used which included defining the initial stages of module development and designing prototypes, as well as preparing module drafts. Data collection through interviews, observations, documentation, and literature studies. The data analysis techniques used were descriptive statistical analysis and inferential statistical analysis. The research findings showed significant improvement in various areas among 5th grade students with a total of 21 students. In particular, there was a significant improvement in their ability to read by applying learning media. Thus, learning media can improve reading comprehension skills</w:t>
            </w:r>
            <w:r>
              <w:t>.</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Default="00A32FC3" w:rsidP="00E45249">
            <w:pPr>
              <w:pStyle w:val="Alishlah2authorcorrespondence"/>
            </w:pPr>
            <w:r w:rsidRPr="00A32FC3">
              <w:t>Paulina Rete</w:t>
            </w:r>
          </w:p>
          <w:p w:rsidR="0048254D" w:rsidRPr="0048254D" w:rsidRDefault="00A32FC3" w:rsidP="00E45249">
            <w:pPr>
              <w:pStyle w:val="Alishlah2authorcorrespondence"/>
            </w:pPr>
            <w:proofErr w:type="spellStart"/>
            <w:r>
              <w:rPr>
                <w:color w:val="auto"/>
                <w:lang w:val="en-GB"/>
              </w:rPr>
              <w:t>Universitas</w:t>
            </w:r>
            <w:proofErr w:type="spellEnd"/>
            <w:r>
              <w:rPr>
                <w:color w:val="auto"/>
                <w:lang w:val="en-GB"/>
              </w:rPr>
              <w:t xml:space="preserve"> Negeri Yogyakarta; </w:t>
            </w:r>
            <w:hyperlink r:id="rId10" w:history="1">
              <w:r w:rsidRPr="008D1FFA">
                <w:rPr>
                  <w:rStyle w:val="Hyperlink"/>
                  <w:lang w:val="en-GB"/>
                </w:rPr>
                <w:t>paulinarete.2022@student.uny.ac.id</w:t>
              </w:r>
            </w:hyperlink>
            <w:r>
              <w:rPr>
                <w:color w:val="auto"/>
                <w:lang w:val="en-GB"/>
              </w:rPr>
              <w:t xml:space="preserve"> </w:t>
            </w:r>
          </w:p>
        </w:tc>
      </w:tr>
    </w:tbl>
    <w:p w:rsidR="008E64A2" w:rsidRPr="00A75CB1" w:rsidRDefault="0048254D" w:rsidP="00A10E86">
      <w:pPr>
        <w:pStyle w:val="Alishlah21heading1"/>
        <w:rPr>
          <w:lang w:val="en-GB"/>
        </w:rPr>
      </w:pPr>
      <w:r w:rsidRPr="00A75CB1">
        <w:rPr>
          <w:lang w:val="en-GB"/>
        </w:rPr>
        <w:t>INTRODUCTION</w:t>
      </w:r>
    </w:p>
    <w:p w:rsidR="00A32FC3" w:rsidRPr="00D93E35" w:rsidRDefault="00A32FC3" w:rsidP="00A32FC3">
      <w:pPr>
        <w:ind w:firstLine="720"/>
        <w:jc w:val="both"/>
        <w:rPr>
          <w:rFonts w:ascii="Cambria" w:eastAsia="Cambria" w:hAnsi="Cambria" w:cs="Cambria"/>
          <w:sz w:val="20"/>
          <w:szCs w:val="20"/>
        </w:rPr>
      </w:pPr>
      <w:r w:rsidRPr="00D93E35">
        <w:rPr>
          <w:rFonts w:ascii="Cambria" w:eastAsia="Cambria" w:hAnsi="Cambria" w:cs="Cambria"/>
          <w:sz w:val="20"/>
          <w:szCs w:val="20"/>
        </w:rPr>
        <w:t xml:space="preserve">In principle, the reading process involves understanding and interpreting the meaning contained in a written text  </w:t>
      </w:r>
      <w:r w:rsidRPr="00D93E35">
        <w:rPr>
          <w:rFonts w:ascii="Cambria" w:eastAsia="Cambria" w:hAnsi="Cambria" w:cs="Cambria"/>
          <w:sz w:val="20"/>
          <w:szCs w:val="20"/>
        </w:rPr>
        <w:fldChar w:fldCharType="begin" w:fldLock="1"/>
      </w:r>
      <w:r w:rsidRPr="00D93E35">
        <w:rPr>
          <w:rFonts w:ascii="Cambria" w:eastAsia="Cambria" w:hAnsi="Cambria" w:cs="Cambria"/>
          <w:sz w:val="20"/>
          <w:szCs w:val="20"/>
        </w:rPr>
        <w:instrText>ADDIN CSL_CITATION {"citationItems":[{"id":"ITEM-1","itemData":{"DOI":"10.1016/j.lindif.2023.102290","ISSN":"10416080","author":[{"dropping-particle":"","family":"Wu","given":"Lin","non-dropping-particle":"","parse-names":false,"suffix":""},{"dropping-particle":"","family":"Valcke","given":"Martin","non-dropping-particle":"","parse-names":false,"suffix":""},{"dropping-particle":"","family":"Keer","given":"Hilde","non-dropping-particle":"Van","parse-names":false,"suffix":""}],"container-title":"Learning and Individual Differences","id":"ITEM-1","issued":{"date-parts":[["2023","5"]]},"page":"102290","title":"Differential effects of reading strategy intervention for three levels of comprehenders: Focus on text comprehension and autonomous reading motivation","type":"article-journal","volume":"104"},"uris":["http://www.mendeley.com/documents/?uuid=c7d9b63e-1d38-4559-b352-6b6f27b6a435"]}],"mendeley":{"formattedCitation":"(L. Wu et al., 2023)","manualFormatting":"(Wu et al., 2023 ; Latini et al., 2020)","plainTextFormattedCitation":"(L. Wu et al., 2023)","previouslyFormattedCitation":"(L. Wu et al., 2023)"},"properties":{"noteIndex":0},"schema":"https://github.com/citation-style-language/schema/raw/master/csl-citation.json"}</w:instrText>
      </w:r>
      <w:r w:rsidRPr="00D93E35">
        <w:rPr>
          <w:rFonts w:ascii="Cambria" w:eastAsia="Cambria" w:hAnsi="Cambria" w:cs="Cambria"/>
          <w:sz w:val="20"/>
          <w:szCs w:val="20"/>
        </w:rPr>
        <w:fldChar w:fldCharType="separate"/>
      </w:r>
      <w:hyperlink r:id="rId11" w:history="1">
        <w:r w:rsidRPr="00D93E35">
          <w:rPr>
            <w:rStyle w:val="Hyperlink"/>
            <w:rFonts w:ascii="Cambria" w:eastAsia="Cambria" w:hAnsi="Cambria" w:cs="Cambria"/>
            <w:noProof/>
            <w:sz w:val="20"/>
            <w:szCs w:val="20"/>
          </w:rPr>
          <w:t xml:space="preserve">(Wu et al., 2023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cedpsych.2020.101870","ISSN":"0361476X","author":[{"dropping-particle":"","family":"Latini","given":"Natalia","non-dropping-particle":"","parse-names":false,"suffix":""},{"dropping-particle":"","family":"Bråten","given":"Ivar","non-dropping-particle":"","parse-names":false,"suffix":""},{"dropping-particle":"","family":"Salmerón","given":"Ladislao","non-dropping-particle":"","parse-names":false,"suffix":""}],"container-title":"Contemporary Educational Psychology","id":"ITEM-1","issued":{"date-parts":[["2020","7"]]},"page":"101870","title":"Does reading medium affect processing and integration of textual and pictorial information? A multimedia eye-tracking study","type":"article-journal","volume":"62"},"uris":["http://www.mendeley.com/documents/?uuid=4047c686-6b62-4807-ad03-cd688d8ae917"]}],"mendeley":{"formattedCitation":"(Latini et al., 2020)","manualFormatting":"Latini et al., 2020)","plainTextFormattedCitation":"(Latini et al., 2020)","previouslyFormattedCitation":"(Latini et al., 2020)"},"properties":{"noteIndex":0},"schema":"https://github.com/citation-style-language/schema/raw/master/csl-citation.json"}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Latini et al., 2020)</w:t>
        </w:r>
        <w:r w:rsidRPr="00D93E35">
          <w:rPr>
            <w:rStyle w:val="Hyperlink"/>
            <w:rFonts w:ascii="Cambria" w:eastAsia="Cambria" w:hAnsi="Cambria" w:cs="Cambria"/>
            <w:noProof/>
            <w:sz w:val="20"/>
            <w:szCs w:val="20"/>
          </w:rPr>
          <w:fldChar w:fldCharType="end"/>
        </w:r>
      </w:hyperlink>
      <w:r w:rsidRPr="00D93E35">
        <w:rPr>
          <w:rFonts w:ascii="Cambria" w:eastAsia="Cambria" w:hAnsi="Cambria" w:cs="Cambria"/>
          <w:sz w:val="20"/>
          <w:szCs w:val="20"/>
        </w:rPr>
        <w:fldChar w:fldCharType="end"/>
      </w:r>
      <w:r w:rsidRPr="00D93E35">
        <w:rPr>
          <w:rFonts w:ascii="Cambria" w:eastAsia="Cambria" w:hAnsi="Cambria" w:cs="Cambria"/>
          <w:sz w:val="20"/>
          <w:szCs w:val="20"/>
        </w:rPr>
        <w:t xml:space="preserve">. To understand the message implied in the reading material, one must first understand the meaning of the words in the given context  </w:t>
      </w:r>
      <w:r w:rsidRPr="00D93E35">
        <w:rPr>
          <w:rFonts w:ascii="Cambria" w:eastAsia="Cambria" w:hAnsi="Cambria" w:cs="Cambria"/>
          <w:sz w:val="20"/>
          <w:szCs w:val="20"/>
        </w:rPr>
        <w:fldChar w:fldCharType="begin" w:fldLock="1"/>
      </w:r>
      <w:r w:rsidRPr="00D93E35">
        <w:rPr>
          <w:rFonts w:ascii="Cambria" w:eastAsia="Cambria" w:hAnsi="Cambria" w:cs="Cambria"/>
          <w:sz w:val="20"/>
          <w:szCs w:val="20"/>
        </w:rPr>
        <w:instrText>ADDIN CSL_CITATION {"citationItems":[{"id":"ITEM-1","itemData":{"DOI":"10.1016/j.jml.2018.05.005","ISSN":"0749596X","author":[{"dropping-particle":"","family":"McKoon","given":"Gail","non-dropping-particle":"","parse-names":false,"suffix":""},{"dropping-particle":"","family":"Ratcliff","given":"Roger","non-dropping-particle":"","parse-names":false,"suffix":""}],"container-title":"Journal of Memory and Language","id":"ITEM-1","issued":{"date-parts":[["2018","10"]]},"page":"115-129","title":"Adults with poor reading skills, older adults, and college students: The meanings they understand during reading using a diffusion model analysis","type":"article-journal","volume":"102"},"uris":["http://www.mendeley.com/documents/?uuid=fe2f1847-b706-415c-964d-10f1135973e4"]}],"mendeley":{"formattedCitation":"(McKoon &amp; Ratcliff, 2018)","plainTextFormattedCitation":"(McKoon &amp; Ratcliff, 2018)","previouslyFormattedCitation":"(McKoon &amp; Ratcliff, 2018)"},"properties":{"noteIndex":0},"schema":"https://github.com/citation-style-language/schema/raw/master/csl-citation.json"}</w:instrText>
      </w:r>
      <w:r w:rsidRPr="00D93E35">
        <w:rPr>
          <w:rFonts w:ascii="Cambria" w:eastAsia="Cambria" w:hAnsi="Cambria" w:cs="Cambria"/>
          <w:sz w:val="20"/>
          <w:szCs w:val="20"/>
        </w:rPr>
        <w:fldChar w:fldCharType="separate"/>
      </w:r>
      <w:r w:rsidRPr="00D93E35">
        <w:rPr>
          <w:rFonts w:ascii="Cambria" w:eastAsia="Cambria" w:hAnsi="Cambria" w:cs="Cambria"/>
          <w:noProof/>
          <w:sz w:val="20"/>
          <w:szCs w:val="20"/>
        </w:rPr>
        <w:t>(McKoon &amp; Ratcliff, 2018)</w:t>
      </w:r>
      <w:r w:rsidRPr="00D93E35">
        <w:rPr>
          <w:rFonts w:ascii="Cambria" w:eastAsia="Cambria" w:hAnsi="Cambria" w:cs="Cambria"/>
          <w:sz w:val="20"/>
          <w:szCs w:val="20"/>
        </w:rPr>
        <w:fldChar w:fldCharType="end"/>
      </w:r>
      <w:r w:rsidRPr="00D93E35">
        <w:rPr>
          <w:rFonts w:ascii="Cambria" w:eastAsia="Cambria" w:hAnsi="Cambria" w:cs="Cambria"/>
          <w:sz w:val="20"/>
          <w:szCs w:val="20"/>
        </w:rPr>
        <w:t xml:space="preserve">. Reading is also considered a receptive ability as it allows individuals to receive information, increase knowledge, and experience new things through reading activities </w:t>
      </w:r>
      <w:hyperlink r:id="rId12"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{"citationItems":[{"id":"ITEM-1","itemData":{"DOI":"10.1016/j.ecresq.2023.08.011","ISSN":"08852006","author":[{"dropping-particle":"","family":"Gonzalez","given":"Jorge E.","non-dropping-particle":"","parse-names":false,"suffix":""},{"dropping-particle":"","family":"Kim","given":"Hanjoe","non-dropping-particle":"","parse-names":false,"suffix":""},{"dropping-particle":"","family":"Anderson","given":"Jacqueline","non-dropping-particle":"","parse-names":false,"suffix":""},{"dropping-particle":"","family":"Pollard-Durodola","given":"Sharolyn","non-dropping-particle":"","parse-names":false,"suffix":""}],"container-title":"Early Childhood Research Quarterly","id":"ITEM-1","issued":{"date-parts":[["2024"]]},"page":"34-47","title":"The Effects of a Science and Social Studies Content Rich Shared Reading Intervention on the Vocabulary Learning of Preschool Dual Language Learners","type":"article-journal","volume":"66"},"uris":["http://www.mendeley.com/documents/?uuid=c7435a9b-657f-46e7-9cd5-c3a02572dc9f"]}],"mendeley":{"formattedCitation":"(Gonzalez et al., 2024)","manualFormatting":"(Gonzalez et al., 2024 ; Pollard-Durodola et al., 2016)","plainTextFormattedCitation":"(Gonzalez et al., 2024)","previouslyFormattedCitation":"(Gonzalez et al., 2024)"},"properties":{"noteIndex":0},"schema":"https://github.com/citation-style-language/schema/raw/master/csl-citation.json"}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(Gonzalez et al., 2024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{"citationItems":[{"id":"ITEM-1","itemData":{"DOI":"10.1016/j.ecresq.2015.12.004","ISSN":"08852006","author":[{"dropping-particle":"","family":"Pollard-Durodola","given":"Sharolyn D.","non-dropping-particle":"","parse-names":false,"suffix":""},{"dropping-particle":"","family":"Gonzalez","given":"Jorge E.","non-dropping-particle":"","parse-names":false,"suffix":""},{"dropping-particle":"","family":"Saenz","given":"Laura","non-dropping-particle":"","parse-names":false,"suffix":""},{"dropping-particle":"","family":"Soares","given":"Denise","non-dropping-particle":"","parse-names":false,"suffix":""},{"dropping-particle":"","family":"Resendez","given":"Nora","non-dropping-particle":"","parse-names":false,"suffix":""},{"dropping-particle":"","family":"Kwok","given":"Oiman","non-dropping-particle":"","parse-names":false,"suffix":""},{"dropping-particle":"","family":"Davis","given":"Heather","non-dropping-particle":"","parse-names":false,"suffix":""},{"dropping-particle":"","family":"Zhu","given":"Leina","non-dropping-particle":"","parse-names":false,"suffix":""}],"container-title":"Early Childhood Research Quarterly","id":"ITEM-1","issued":{"date-parts":[["2016"]]},"page":"106-121","title":"The effects of content-related shared book reading on the language development of preschool dual language learners","type":"article-journal","volume":"36"},"uris":["http://www.mendeley.com/documents/?uuid=b2d7b17c-4739-45b7-ac72-983f6fb88a4f"]}],"mendeley":{"formattedCitation":"(Pollard-Durodola et al., 2016)","manualFormatting":"Pollard-Durodola et al., 2016)","plainTextFormattedCitation":"(Pollard-Durodola et al., 2016)","previouslyFormattedCitation":"(Pollard-Durodola et al., 2016)"},"properties":{"noteIndex":0},"schema":"https://github.com/citation-style-language/schema/raw/master/csl-citation.json"}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Pollard-Durodola et al., 2016)</w:t>
        </w:r>
        <w:r w:rsidRPr="00D93E35">
          <w:rPr>
            <w:rStyle w:val="Hyperlink"/>
            <w:rFonts w:ascii="Cambria" w:eastAsia="Cambria" w:hAnsi="Cambria" w:cs="Cambria"/>
            <w:noProof/>
            <w:sz w:val="20"/>
            <w:szCs w:val="20"/>
          </w:rPr>
          <w:fldChar w:fldCharType="end"/>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The classroom has a significant role as an environment for daily structured learning through a variety of different methodologies. One of the main pedagogical approaches that is considered to be able to improve creative thinking skills in students is Cooperative Learning (CL)  </w:t>
      </w:r>
      <w:hyperlink r:id="rId13"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{"citationItems":[{"id":"ITEM-1","itemData":{"DOI":"10.1016/j.chb.2016.07.019","ISSN":"07475632","author":[{"dropping-particle":"","family":"Iglesias Rodríguez","given":"Ana","non-dropping-particle":"","parse-names":false,"suffix":""},{"dropping-particle":"","family":"García Riaza","given":"Blanca","non-dropping-particle":"","parse-names":false,"suffix":""},{"dropping-particle":"","family":"Sánchez Gómez","given":"María Cruz","non-dropping-particle":"","parse-names":false,"suffix":""}],"container-title":"Computers in Human Behavior","id":"ITEM-1","issued":{"date-parts":[["2017","7"]]},"page":"664-677","title":"Collaborative learning and mobile devices: An educational experience in Primary Education","type":"article-journal","volume":"72"},"uris":["http://www.mendeley.com/documents/?uuid=3c1a567c-ea60-4582-88a5-b2e1f6f4411f"]}],"mendeley":{"formattedCitation":"(Iglesias Rodríguez et al., 2017)","plainTextFormattedCitation":"(Iglesias Rodríguez et al., 2017)","previouslyFormattedCitation":"(Iglesias Rodríguez et al., 2017)"},"properties":{"noteIndex":0},"schema":"https://github.com/citation-style-language/schema/raw/master/csl-citation.json"}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(Iglesias Rodríguez et al., 2017)</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The basic premise of CL is to provide a method of cooperation that involves direct interaction between students simultaneously </w:t>
      </w:r>
      <w:hyperlink r:id="rId14"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{"citationItems":[{"id":"ITEM-1","itemData":{"DOI":"10.24042/ijsme.v2i1.3976","ISSN":"2615-8639","abstract":"Abstract:This study aims to look at the critical thinking skills of learners. One way to improve learning outcomes is to use learning strategies Jigsaw. Jigsaw learning strategy designed to enhance the sense of responsibility of students towards their own learning and the learning of others.This type of research has been done in this study is quasy experiment with non equivalent control group design. The population numbered 97 students of class IX SMP Negeri 2 Penengahan. With a sample class D as an experimental class IX and IX B as the control class. The sampling technique is done with randoom sampling technique. To measure students' critical thinking skills bepeserta conducted tests with essay questions about the material amounted to 10 static electricity.The results showed that, when analyzed using t-test obtained thitung&gt; t table (0.05) with a value 5.593&gt; 2.011. This shows that learning strategies Jigsaw affect the critical thinking skills of learners.Abstrak: Penelitian ini bertujuan untuk melihat kemampuan berpikir kritis peserta didik. Salah satu cara yang dapat melihat kemampuan berpikir kritis peserta didik adalah dengan menggunakan strategi pembelajaran Jigsaw. Strategi pembelajaran Jigsaw dirancang untuk meningkatkan rasa tanggung jawab peserta didik terhadap pembelajarannya sendiri dan pembelajaran orang lain.Jenis penelitian yang telah dilakukan dalam penelitian ini adalah quasy experiment dengan desain non equivalent control group.Populasi pada penelitian berjumlah 97 peserta didik kelas IX SMP Negeri 2 Penengahan.Dengan sempel kelas IXD sebagai kelas eksperimen dan IXB sebagai kelas kontrol.Teknik pengambilan sempel dilakukan dengan teknik randoom sampling.Untuk mengukur kemampuan berpikir kritis bepeserta didik dilakukan tes dengan soal esayberjumlah 10 soal dengan materi listrik statis.Hasil penelitian diperoleh bahwa, setelah dianalisis dengan menggunakan uji-t didapat thitung&gt;ttabel(0,05) yaitu dengan nilai 5,593&gt;2,011. Hal ini menunjukkan bahwa strategi pembelajaran Jigsaw berpengaruh terhadap kemampuan berpikir kritis peserta didik.","author":[{"dropping-particle":"","family":"Wati","given":"Mailinda","non-dropping-particle":"","parse-names":false,"suffix":""},{"dropping-particle":"","family":"Anggraini","given":"Welly","non-dropping-particle":"","parse-names":false,"suffix":""}],"container-title":"Indonesian Journal of Science and Mathematics Education","id":"ITEM-1","issue":"1","issued":{"date-parts":[["2019","4","8"]]},"page":"98-106","title":"Strategi Pembelajaran Kooperatif Tipe Jigsaw: Pengaruhnya Terhadap Kemampuan Berpikir Kritis Siswa","type":"article-journal","volume":"2"},"uris":["http://www.mendeley.com/documents/?uuid=929298f1-3871-460b-9d2b-231e31971e12"]}],"mendeley":{"formattedCitation":"(Wati &amp; Anggraini, 2019)","manualFormatting":"(Wati &amp; Anggraini, 2019 ;","plainTextFormattedCitation":"(Wati &amp; Anggraini, 2019)","previouslyFormattedCitation":"(Wati &amp; Anggraini, 2019)"},"properties":{"noteIndex":0},"schema":"https://github.com/citation-style-language/schema/raw/master/csl-citation.json"}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(Wati &amp; Anggraini, 2019 ;</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t xml:space="preserve"> </w:t>
        </w:r>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{"citationItems":[{"id":"ITEM-1","itemData":{"DOI":"10.1016/j.tsc.2020.100663","ISSN":"18711871","abstract":"The objectives of the present study were to investigate whether students' creative thinking can be enhanced through a structured program of reading and writing activities in the context of a cooperative learning classroom, and to test for a possible correlation between improvements in creative thinking and improvements in academic performance. Sixty fifth-grade students from a primary school in the south of Spain participated over two months: half received reading and writing activities in a cooperative learning classroom (experimental group, n=30), and half received the standard fifth-grade reading and writing program (control group, n=30). Creative thinking was assessed through a divergent thinking task (CREA Test; Corbalán et al., 2003), and Grade Point Average (GPA) was used as index of academic achievement. The results revealed a significant increase in creativity scores in the experimental group as compared with the control, and a moderate positive correlation between creative thinking and academic achievement. The present findings are consistent with the idea that creative thinking (divergent thinking) can be enhanced with reading and writing activities implemented through cooperative learning in school-age children.","author":[{"dropping-particle":"","family":"Segundo Marcos","given":"Rafael Ibán","non-dropping-particle":"","parse-names":false,"suffix":""},{"dropping-particle":"","family":"López Ferández","given":"Verónica","non-dropping-particle":"","parse-names":false,"suffix":""},{"dropping-particle":"","family":"Daza González","given":"María Teresa","non-dropping-particle":"","parse-names":false,"suffix":""},{"dropping-particle":"","family":"Phillips-Silver","given":"Jessica","non-dropping-particle":"","parse-names":false,"suffix":""}],"container-title":"Thinking Skills and Creativity","id":"ITEM-1","issue":"April","issued":{"date-parts":[["2020"]]},"page":"100663","publisher":"Elsevier","title":"Promoting children's creative thinking through reading and writing in a cooperative learning classroom","type":"article-journal","volume":"36"},"uris":["http://www.mendeley.com/documents/?uuid=e7aff7d5-f630-40f8-8aa6-2f80a60d45b7"]}],"mendeley":{"formattedCitation":"(Segundo Marcos et al., 2020)","manualFormatting":"Segundo Marcos et al., 2020 ; Marwan, Firdaus &amp; Handayani, 2023)","plainTextFormattedCitation":"(Segundo Marcos et al., 2020)","previouslyFormattedCitation":"(Segundo Marcos et al., 2020)"},"properties":{"noteIndex":0},"schema":"https://github.com/citation-style-language/schema/raw/master/csl-citation.json"}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Segundo Marcos et al., 2020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{"citationItems":[{"id":"ITEM-1","itemData":{"author":[{"dropping-particle":"","family":"Marwan, Firdaus","given":"Fery Muhamad","non-dropping-particle":"","parse-names":false,"suffix":""},{"dropping-particle":"","family":"Handayani","given":"Ida Wuri","non-dropping-particle":"","parse-names":false,"suffix":""}],"id":"ITEM-1","issue":"1","issued":{"date-parts":[["2023"]]},"page":"1-14","title":"Increase reading comprehension and critical thinking through reading stories","type":"article-journal","volume":"7"},"uris":["http://www.mendeley.com/documents/?uuid=e60d276f-ade0-46f4-8ff0-b5733583441a"]}],"mendeley":{"formattedCitation":"(Marwan, Firdaus &amp; Handayani, 2023)","manualFormatting":"Marwan, Firdaus &amp; Handayani, 2023)","plainTextFormattedCitation":"(Marwan, Firdaus &amp; Handayani, 2023)","previouslyFormattedCitation":"(Marwan, Firdaus &amp; Handayani, 2023)"},"properties":{"noteIndex":0},"schema":"https://github.com/citation-style-language/schema/raw/master/csl-citation.json"}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Marwan, Firdaus &amp; Handayani, 2023)</w:t>
        </w:r>
        <w:r w:rsidRPr="00D93E35">
          <w:rPr>
            <w:rStyle w:val="Hyperlink"/>
            <w:rFonts w:ascii="Cambria" w:eastAsia="Cambria" w:hAnsi="Cambria" w:cs="Cambria"/>
            <w:noProof/>
            <w:sz w:val="20"/>
            <w:szCs w:val="20"/>
          </w:rPr>
          <w:fldChar w:fldCharType="end"/>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w:t>
      </w:r>
    </w:p>
    <w:p w:rsidR="00A32FC3" w:rsidRPr="00D93E35" w:rsidRDefault="00A32FC3" w:rsidP="00A32FC3">
      <w:pPr>
        <w:ind w:firstLine="720"/>
        <w:jc w:val="both"/>
      </w:pPr>
      <w:r w:rsidRPr="00D93E35">
        <w:rPr>
          <w:rFonts w:ascii="Cambria" w:eastAsia="Cambria" w:hAnsi="Cambria" w:cs="Cambria"/>
          <w:sz w:val="20"/>
          <w:szCs w:val="20"/>
        </w:rPr>
        <w:lastRenderedPageBreak/>
        <w:t xml:space="preserve">Reading involves a complex set of activities that include various components, more than just literal parsing of text  </w:t>
      </w:r>
      <w:hyperlink r:id="rId15"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10.1108/JME-03-2021-0027","ISSN":"2053-535X","author":[{"dropping-particle":"","family":"Francois","given":"Chantal","non-dropping-particle":"","parse-names":false,"suffix":""},{"dropping-particle":"","family":"Hood","given":"Mia","non-dropping-particle":"","parse-names":false,"suffix":""}],"container-title":"Journal for Multicultural Education","id":"ITEM-1","issue":"3","issued":{"date-parts":[["2021","10","11"]]},"page":"299-312","title":"Rethinking the role of reading assessments for real learning","type":"article-journal","volume":"15"},"uris":["http://www.mendeley.com/documents/?uuid=97693629-7f56-433f-a3f8-c0e24650184d"]}],"mendeley":{"formattedCitation":"(Francois &amp; Hood, 2021)","manualFormatting":"(Francois &amp; Hood, 2021 ; ","plainTextFormattedCitation":"(Francois &amp; Hood, 2021)","previouslyFormattedCitation":"(Francois &amp; Hood, 2021)"},"properties":{"noteIndex":0},"schema":"https://github.com/citation-style-language/schema/raw/master/csl-citation.json"}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(Francois &amp; Hood, 2021 ; </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cortex.2023.01.014","ISSN":"00109452","author":[{"dropping-particle":"","family":"Mak","given":"Marloes","non-dropping-particle":"","parse-names":false,"suffix":""},{"dropping-particle":"","family":"Faber","given":"Myrthe","non-dropping-particle":"","parse-names":false,"suffix":""},{"dropping-particle":"","family":"Willems","given":"Roel M.","non-dropping-particle":"","parse-names":false,"suffix":""}],"container-title":"Cortex","id":"ITEM-1","issued":{"date-parts":[["2023","5"]]},"page":"115-135","title":"Different kinds of simulation during literary reading: Insights from a combined fMRI and eye-tracking study","type":"article-journal","volume":"162"},"uris":["http://www.mendeley.com/documents/?uuid=440e7519-7c6b-4454-bc32-31b79b04b6d1"]}],"mendeley":{"formattedCitation":"(Mak et al., 2023)","manualFormatting":"Mak et al., 2023)","plainTextFormattedCitation":"(Mak et al., 2023)","previouslyFormattedCitation":"(Mak et al., 2023)"},"properties":{"noteIndex":0},"schema":"https://github.com/citation-style-language/schema/raw/master/csl-citation.json"}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Mak et al., 2023)</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It includes aspects of visual perception, cognitive processes, psycholinguistic comprehension, and metacognitive activities  </w:t>
      </w:r>
      <w:hyperlink r:id="rId16"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jeap.2022.101182","ISSN":"14751585","author":[{"dropping-particle":"","family":"Wang","given":"Yang","non-dropping-particle":"","parse-names":false,"suffix":""},{"dropping-particle":"","family":"Arslan-Ari","given":"Ismahan","non-dropping-particle":"","parse-names":false,"suffix":""},{"dropping-particle":"","family":"Hao","given":"Ling","non-dropping-particle":"","parse-names":false,"suffix":""}],"container-title":"Journal of English for Academic Purposes","id":"ITEM-1","issued":{"date-parts":[["2022","11"]]},"page":"101182","title":"“Strategies are more important than words:” A case study of adult English Learners’ disciplinary reading","type":"article-journal","volume":"60"},"uris":["http://www.mendeley.com/documents/?uuid=7b0c1525-f477-45f8-a834-61668a7b722e"]}],"mendeley":{"formattedCitation":"(Y. Wang et al., 2022)","plainTextFormattedCitation":"(Y. Wang et al., 2022)","previouslyFormattedCitation":"(Y. Wang et al., 2022)"},"properties":{"noteIndex":0},"schema":"https://github.com/citation-style-language/schema/raw/master/csl-citation.json"}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(Y. Wang et al., 2022)</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t>.</w:t>
        </w:r>
      </w:hyperlink>
      <w:r w:rsidRPr="00D93E35">
        <w:rPr>
          <w:rFonts w:ascii="Cambria" w:eastAsia="Cambria" w:hAnsi="Cambria" w:cs="Cambria"/>
          <w:sz w:val="20"/>
          <w:szCs w:val="20"/>
        </w:rPr>
        <w:t xml:space="preserve"> Basically, reading involves the process of transforming written symbols into words that are understood orally  </w:t>
      </w:r>
      <w:hyperlink r:id="rId17"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{"citationItems":[{"id":"ITEM-1","itemData":{"DOI":"10.2991/icoie-18.2019.60","abstract":"… That is why we need a creative construction model in lingustic politeness for elementary school children character education. We need … is not only taught at school, but is also taught in the family environment in order to shape good character in the child [24]. The development …","author":[{"dropping-particle":"","family":"Rasna","given":"I Wayan","non-dropping-particle":"","parse-names":false,"suffix":""}],"id":"ITEM-1","issue":"ICoIE 2018","issued":{"date-parts":[["2019"]]},"page":"267-270","title":"A Creative Construction Model of Language Acquisition in Linguistic Politeness for Elementary School Children Character Education","type":"article-journal","volume":"178"},"uris":["http://www.mendeley.com/documents/?uuid=2c7b4c92-9de6-4ff8-9f18-2c0bc9068a7c"]}],"mendeley":{"formattedCitation":"(Rasna, 2019)","manualFormatting":"(Rasna, 2019 ; ","plainTextFormattedCitation":"(Rasna, 2019)","previouslyFormattedCitation":"(Rasna, 2019)"},"properties":{"noteIndex":0},"schema":"https://github.com/citation-style-language/schema/raw/master/csl-citation.json"}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(Rasna, 2019 ; </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t xml:space="preserve"> </w:t>
        </w:r>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{"citationItems":[{"id":"ITEM-1","itemData":{"DOI":"10.24042/ijsme.v2i1.3976","ISSN":"2615-8639","abstract":"Abstract:This study aims to look at the critical thinking skills of learners. One way to improve learning outcomes is to use learning strategies Jigsaw. Jigsaw learning strategy designed to enhance the sense of responsibility of students towards their own learning and the learning of others.This type of research has been done in this study is quasy experiment with non equivalent control group design. The population numbered 97 students of class IX SMP Negeri 2 Penengahan. With a sample class D as an experimental class IX and IX B as the control class. The sampling technique is done with randoom sampling technique. To measure students' critical thinking skills bepeserta conducted tests with essay questions about the material amounted to 10 static electricity.The results showed that, when analyzed using t-test obtained thitung&gt; t table (0.05) with a value 5.593&gt; 2.011. This shows that learning strategies Jigsaw affect the critical thinking skills of learners.Abstrak: Penelitian ini bertujuan untuk melihat kemampuan berpikir kritis peserta didik. Salah satu cara yang dapat melihat kemampuan berpikir kritis peserta didik adalah dengan menggunakan strategi pembelajaran Jigsaw. Strategi pembelajaran Jigsaw dirancang untuk meningkatkan rasa tanggung jawab peserta didik terhadap pembelajarannya sendiri dan pembelajaran orang lain.Jenis penelitian yang telah dilakukan dalam penelitian ini adalah quasy experiment dengan desain non equivalent control group.Populasi pada penelitian berjumlah 97 peserta didik kelas IX SMP Negeri 2 Penengahan.Dengan sempel kelas IXD sebagai kelas eksperimen dan IXB sebagai kelas kontrol.Teknik pengambilan sempel dilakukan dengan teknik randoom sampling.Untuk mengukur kemampuan berpikir kritis bepeserta didik dilakukan tes dengan soal esayberjumlah 10 soal dengan materi listrik statis.Hasil penelitian diperoleh bahwa, setelah dianalisis dengan menggunakan uji-t didapat thitung&gt;ttabel(0,05) yaitu dengan nilai 5,593&gt;2,011. Hal ini menunjukkan bahwa strategi pembelajaran Jigsaw berpengaruh terhadap kemampuan berpikir kritis peserta didik.","author":[{"dropping-particle":"","family":"Wati","given":"Mailinda","non-dropping-particle":"","parse-names":false,"suffix":""},{"dropping-particle":"","family":"Anggraini","given":"Welly","non-dropping-particle":"","parse-names":false,"suffix":""}],"container-title":"Indonesian Journal of Science and Mathematics Education","id":"ITEM-1","issue":"1","issued":{"date-parts":[["2019","4","8"]]},"page":"98-106","title":"Strategi Pembelajaran Kooperatif Tipe Jigsaw: Pengaruhnya Terhadap Kemampuan Berpikir Kritis Siswa","type":"article-journal","volume":"2"},"uris":["http://www.mendeley.com/documents/?uuid=f27ecb79-7535-49a6-bd10-0ea57c3b5686"]}],"mendeley":{"formattedCitation":"(Wati &amp; Anggraini, 2019)","manualFormatting":"Wati &amp; Anggraini, 2019)","plainTextFormattedCitation":"(Wati &amp; Anggraini, 2019)","previouslyFormattedCitation":"(Wati &amp; Anggraini, 2019)"},"properties":{"noteIndex":0},"schema":"https://github.com/citation-style-language/schema/raw/master/csl-citation.json"}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Wati &amp; Anggraini, 2019)</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As a cognitive process, reading consists of a series of activities, from word recognition to literal understanding of meaning, interpretation, critical analysis, and more creative understanding  </w:t>
      </w:r>
      <w:hyperlink r:id="rId18"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system.2020.102434","ISSN":"0346251X","author":[{"dropping-particle":"","family":"Lim","given":"Jongyun","non-dropping-particle":"","parse-names":false,"suffix":""},{"dropping-particle":"","family":"Whitehead","given":"George E.K.","non-dropping-particle":"","parse-names":false,"suffix":""},{"dropping-particle":"","family":"Choi","given":"YunDeok","non-dropping-particle":"","parse-names":false,"suffix":""}],"container-title":"System","id":"ITEM-1","issued":{"date-parts":[["2021","4"]]},"page":"102434","title":"Interactive e-book reading vs. paper-based reading: Comparing the effects of different mediums on middle school students’ reading comprehension","type":"article-journal","volume":"97"},"uris":["http://www.mendeley.com/documents/?uuid=a59c5fa0-e07f-400e-8eb0-b3abb45e3008"]}],"mendeley":{"formattedCitation":"(Lim et al., 2021)","plainTextFormattedCitation":"(Lim et al., 2021)","previouslyFormattedCitation":"(Lim et al., 2021)"},"properties":{"noteIndex":0},"schema":"https://github.com/citation-style-language/schema/raw/master/csl-citation.json"}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(Lim et al., 2021)</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Reading comprehension skills are critical to academic success, where reading serves as the primary tool for conveying subject matter and increasing students' awareness of the importance of reading skills in academic achievement  </w:t>
      </w:r>
      <w:hyperlink r:id="rId19"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{"citationItems":[{"id":"ITEM-1","itemData":{"DOI":"10.1016/j.langcom.2023.12.001","ISSN":"02715309","author":[{"dropping-particle":"","family":"Bangeni","given":"Bongi","non-dropping-particle":"","parse-names":false,"suffix":""}],"container-title":"Language &amp; Communication","id":"ITEM-1","issued":{"date-parts":[["2024","1"]]},"page":"69-84","title":"Reading (in) law: A critical appraisal of the impact of language on disciplinary novices’ cognitive reading strategies","type":"article-journal","volume":"94"},"uris":["http://www.mendeley.com/documents/?uuid=8fb70c21-7e7c-4315-ae3d-2edec4f8f849"]}],"mendeley":{"formattedCitation":"(Bangeni, 2024)","plainTextFormattedCitation":"(Bangeni, 2024)","previouslyFormattedCitation":"(Bangeni, 2024)"},"properties":{"noteIndex":0},"schema":"https://github.com/citation-style-language/schema/raw/master/csl-citation.json"}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(Bangeni, 2024)</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Recognizing the importance of reading skills for success in the academic environment, sufficient reading practice is needed to develop skilled reading abilities, as well as an understanding of the demands of reading tasks in the context of writing  </w:t>
      </w:r>
      <w:hyperlink r:id="rId20"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{"citationItems":[{"id":"ITEM-1","itemData":{"DOI":"10.1016/j.jeap.2020.100906","ISSN":"14751585","abstract":"Reading-comprehension abilities are inextricably linked to student success in academic contexts where reading serves as a primary means for conveying course content and displaying content learning (Anderson, 2015). The scarcity of studies on reading English for academic purposes in Vietnam, generally, and the reading habits of Vietnamese university students, more specifically, created the impetus for the research reported here. The study focused on the reading habits of Vietnamese university students in English-related majors, with particular attention paid to text medium (print/digital) and text language (Vietnamese/English) preferences. Data were collected with an online survey sent to a representative sampling of public universities across Vietnam. A total of 836 students, at 17 public universities, completed the survey. Findings provide an initial snapshot of Vietnamese university English majors’ reading habits. Of particular interest are how often students consult the Web to complete university assignments, despite their preference for print materials when reading for academic purposes; what challenges students encounter when reading on the Web; how much reading is assigned for university classes; and how reading habits change across years of study. Findings suggest numerous steps that can be taken to improve EAP reading instruction in Vietnam (and elsewhere).","author":[{"dropping-particle":"","family":"Stoller","given":"Fredricka L.","non-dropping-particle":"","parse-names":false,"suffix":""},{"dropping-particle":"","family":"Nguyen","given":"Loc Thi Huynh","non-dropping-particle":"","parse-names":false,"suffix":""}],"container-title":"Journal of English for Academic Purposes","id":"ITEM-1","issued":{"date-parts":[["2020"]]},"page":"100906","publisher":"Elsevier Ltd","title":"Reading habits of Vietnamese University English majors","type":"article-journal","volume":"48"},"uris":["http://www.mendeley.com/documents/?uuid=865ccade-2d07-46b0-8534-d2c78f76d20e"]}],"mendeley":{"formattedCitation":"(Stoller &amp; Nguyen, 2020)","manualFormatting":"(Stoller &amp; Nguyen, 2020","plainTextFormattedCitation":"(Stoller &amp; Nguyen, 2020)","previouslyFormattedCitation":"(Stoller &amp; Nguyen, 2020)"},"properties":{"noteIndex":0},"schema":"https://github.com/citation-style-language/schema/raw/master/csl-citation.json"}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(Stoller &amp; Nguyen, 2020</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t xml:space="preserve">; </w:t>
        </w:r>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{"citationItems":[{"id":"ITEM-1","itemData":{"DOI":"10.33603/dj.v8i1.4613","ISSN":"2548-5490","author":[{"dropping-particle":"","family":"Damaianti","given":"Vismaia Sabariah","non-dropping-particle":"","parse-names":false,"suffix":""}],"container-title":"Deiksis: Jurnal Pendidikan Bahasa dan Sastra Indonesia","id":"ITEM-1","issue":"1","issued":{"date-parts":[["2021","2","20"]]},"page":"52","title":"Strategi Regulasi Diri dalam Peningkatan Motivasi Membaca","type":"article-journal","volume":"8"},"uris":["http://www.mendeley.com/documents/?uuid=ff014a05-aa12-4288-826a-9342eb018415"]}],"mendeley":{"formattedCitation":"(Damaianti, 2021)","manualFormatting":"Damaianti, 2021)","plainTextFormattedCitation":"(Damaianti, 2021)","previouslyFormattedCitation":"(Damaianti, 2021)"},"properties":{"noteIndex":0},"schema":"https://github.com/citation-style-language/schema/raw/master/csl-citation.json"}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Damaianti, 2021)</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w:t>
      </w:r>
      <w:r w:rsidRPr="00D93E35">
        <w:t xml:space="preserve"> </w:t>
      </w:r>
    </w:p>
    <w:p w:rsidR="00A32FC3" w:rsidRPr="00D93E35" w:rsidRDefault="00A32FC3" w:rsidP="00A32FC3">
      <w:pPr>
        <w:ind w:firstLine="720"/>
        <w:jc w:val="both"/>
      </w:pPr>
      <w:r w:rsidRPr="00D93E35">
        <w:rPr>
          <w:rFonts w:ascii="Cambria" w:eastAsia="Cambria" w:hAnsi="Cambria" w:cs="Cambria"/>
          <w:sz w:val="20"/>
          <w:szCs w:val="20"/>
        </w:rPr>
        <w:t xml:space="preserve">Experts have diverse views on the level of reading comprehension </w:t>
      </w:r>
      <w:hyperlink r:id="rId21"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tate.2022.103829","ISSN":"0742051X","author":[{"dropping-particle":"","family":"Kimhi","given":"Yael","non-dropping-particle":"","parse-names":false,"suffix":""},{"dropping-particle":"","family":"Sokol","given":"Orit","non-dropping-particle":"","parse-names":false,"suffix":""},{"dropping-particle":"","family":"Lavian","given":"Rivka Hillel","non-dropping-particle":"","parse-names":false,"suffix":""}],"container-title":"Teaching and Teacher Education","id":"ITEM-1","issued":{"date-parts":[["2022","10"]]},"page":"103829","title":"Professional competence of teachers: Improving reading comprehension in classes for children with autism spectrum disorder (ASD)","type":"article-journal","volume":"118"},"uris":["http://www.mendeley.com/documents/?uuid=b94c44af-7b91-4fc0-8280-90bb24fde2fd"]}],"mendeley":{"formattedCitation":"(Kimhi et al., 2022)","manualFormatting":"(Kimhi et al., 2022 ; Zhang &amp; Pérez-Paredes, 2024)","plainTextFormattedCitation":"(Kimhi et al., 2022)","previouslyFormattedCitation":"(Kimhi et al., 2022)"},"properties":{"noteIndex":0},"schema":"https://github.com/citation-style-language/schema/raw/master/csl-citation.json"}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(Kimhi et al., 2022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system.2024.103221","ISSN":"0346251X","author":[{"dropping-particle":"","family":"Zhang","given":"Danyang","non-dropping-particle":"","parse-names":false,"suffix":""},{"dropping-particle":"","family":"Pérez-Paredes","given":"Pascual","non-dropping-particle":"","parse-names":false,"suffix":""}],"container-title":"System","id":"ITEM-1","issued":{"date-parts":[["2024","4"]]},"page":"103221","title":"Chinese EFL learners’ use of mobile dictionaries in reading comprehension tasks","type":"article-journal","volume":"121"},"uris":["http://www.mendeley.com/documents/?uuid=eee60cc8-c6e2-4a34-9840-f2e0c697def7"]}],"mendeley":{"formattedCitation":"(D. Zhang &amp; Pérez-Paredes, 2024)","manualFormatting":"Zhang &amp; Pérez-Paredes, 2024)","plainTextFormattedCitation":"(D. Zhang &amp; Pérez-Paredes, 2024)","previouslyFormattedCitation":"(D. Zhang &amp; Pérez-Paredes, 2024)"},"properties":{"noteIndex":0},"schema":"https://github.com/citation-style-language/schema/raw/master/csl-citation.json"}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Zhang &amp; Pérez-Paredes, 2024)</w:t>
        </w:r>
        <w:r w:rsidRPr="00D93E35">
          <w:rPr>
            <w:rStyle w:val="Hyperlink"/>
            <w:rFonts w:ascii="Cambria" w:eastAsia="Cambria" w:hAnsi="Cambria" w:cs="Cambria"/>
            <w:noProof/>
            <w:sz w:val="20"/>
            <w:szCs w:val="20"/>
          </w:rPr>
          <w:fldChar w:fldCharType="end"/>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This comprehension can be categorized into four types  </w:t>
      </w:r>
      <w:hyperlink r:id="rId22"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cola.2024.101269","ISSN":"25901184","author":[{"dropping-particle":"","family":"Singh","given":"Divjot","non-dropping-particle":"","parse-names":false,"suffix":""},{"dropping-particle":"","family":"Mishra","given":"Ashutosh","non-dropping-particle":"","parse-names":false,"suffix":""},{"dropping-particle":"","family":"Aggarwal","given":"Ashutosh","non-dropping-particle":"","parse-names":false,"suffix":""}],"container-title":"Journal of Computer Languages","id":"ITEM-1","issued":{"date-parts":[["2024","6"]]},"page":"101269","title":"An empirical approach to understand the role of emotions in code comprehension","type":"article-journal","volume":"79"},"uris":["http://www.mendeley.com/documents/?uuid=45d872f5-7c84-458f-972c-73d36a2860b1"]}],"mendeley":{"formattedCitation":"(Singh et al., 2024)","plainTextFormattedCitation":"(Singh et al., 2024)","previouslyFormattedCitation":"(Singh et al., 2024)"},"properties":{"noteIndex":0},"schema":"https://github.com/citation-style-language/schema/raw/master/csl-citation.json"}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(Singh et al., 2024)</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The first level is literal comprehension, which involves a basic understanding of the text. The second level, inferential comprehension, involves understanding information that is not directly stated or implied in the text. Next, the third level is critical comprehension, and finally, the fourth level is creative comprehension. Listening comprehension is a skill that is often overlooked in Second Language achievement. Listening activities make an important contribution to language learning and communication, as it is considered an active process, although it is often perceived as a passive activity by students  </w:t>
      </w:r>
      <w:hyperlink r:id="rId23"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{"citationItems":[{"id":"ITEM-1","itemData":{"DOI":"10.31603/cakrawala.v11i1.107","ISSN":"2550-0880","abstract":"Dalam perkembangan dunia pendidikan berpengaruh pada proses pembelajaran dan hasil belajar khususnya untuk siswa SD/MI. Berbicara tentang proses pembelajaran sering disebutkan bahwa seorang gurulah yang bertanggung jawab atas keberhasilan suatu kegiatan belajar mengajar. Oleh karena itu ujung tombak keberhasilan sebuah pembelajaran terletak pada guru. Pembelajaran dikatakan berhasil apabila prestasi belajar siswa atau nilai siswa banyak yang diatas KKM. Kreatifitas seorang guru sering dianggap tidak kreatif dan inovatif ketika guru hanya menggunakan metode ceramah, karena banyak kalangan yang mengatakan bahwa metode ceramah adalah metode konvensional dan monoton sehingga saat ini metode ceramah sudah mulai dikesampingkan. Dari banyaknya persepsi yang mengatakan hal itu membuat penulis ingin mengkaji tentang urgensi dan dualisme metode ceramah dalam pembelajaran untuk siswa SD/MI. Menurut penulis metode ceramah adalah sebuah metode yang istimewa yang tidak bisa berdiri sendiri tapi sudah include di setiap model dan metode pembelajaran. Terlebih khususnya untuk siswa SD/MI, Jadi metode ceramah tidak lagi menjadi metode monoton tetapi metode yang istimewa karena menjadi power full transferred informasi materi terhadap siswa dan jalannya proses pembelajaran. Sehingga ceramah bukan lagi metode monoton atupun konvensional tetapi sebuah metode multifungsi.","author":[{"dropping-particle":"","family":"Mahmudah","given":"Masruroh","non-dropping-particle":"","parse-names":false,"suffix":""}],"container-title":"Cakrawala: Jurnal Studi Islam","id":"ITEM-1","issue":"1","issued":{"date-parts":[["2016","6","27"]]},"page":"116-129","title":"Urgensi Diantara Dualisme Metode Pembelajaran Ceramah Dalam Kegiatan Belajar Mengajar Untuk Siswa MI/SD","type":"article-journal","volume":"11"},"uris":["http://www.mendeley.com/documents/?uuid=caafbce2-9762-466a-8f6b-d50a37a5177a"]}],"mendeley":{"formattedCitation":"(Mahmudah, 2016)","manualFormatting":"(Mahmudah, 2016 ","plainTextFormattedCitation":"(Mahmudah, 2016)","previouslyFormattedCitation":"(Mahmudah, 2016)"},"properties":{"noteIndex":0},"schema":"https://github.com/citation-style-language/schema/raw/master/csl-citation.json"}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(Mahmudah, 2016 </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t xml:space="preserve">; </w:t>
        </w:r>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{"citationItems":[{"id":"ITEM-1","itemData":{"DOI":"10.1016/j.tate.2024.104554","ISSN":"0742051X","author":[{"dropping-particle":"","family":"Mäkipää","given":"Toni","non-dropping-particle":"","parse-names":false,"suffix":""}],"container-title":"Teaching and Teacher Education","id":"ITEM-1","issued":{"date-parts":[["2024","6"]]},"page":"104554","title":"Upper secondary students’ perceptions of feedback literacy in second language learning in Finland – A qualitative case study","type":"article-journal","volume":"143"},"uris":["http://www.mendeley.com/documents/?uuid=2e7674fe-011b-42fc-8872-5965da005228"]}],"mendeley":{"formattedCitation":"(Mäkipää, 2024)","manualFormatting":"Mäkipää, 2024)","plainTextFormattedCitation":"(Mäkipää, 2024)","previouslyFormattedCitation":"(Mäkipää, 2024)"},"properties":{"noteIndex":0},"schema":"https://github.com/citation-style-language/schema/raw/master/csl-citation.json"}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Mäkipää, 2024)</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w:t>
      </w:r>
      <w:r w:rsidRPr="00D93E35">
        <w:t xml:space="preserve"> </w:t>
      </w:r>
    </w:p>
    <w:p w:rsidR="00A32FC3" w:rsidRPr="00D93E35" w:rsidRDefault="00A32FC3" w:rsidP="00A32FC3">
      <w:pPr>
        <w:ind w:firstLine="720"/>
        <w:jc w:val="both"/>
        <w:rPr>
          <w:rFonts w:ascii="Cambria" w:eastAsia="Cambria" w:hAnsi="Cambria" w:cs="Cambria"/>
          <w:sz w:val="20"/>
          <w:szCs w:val="20"/>
        </w:rPr>
      </w:pPr>
      <w:r w:rsidRPr="00D93E35">
        <w:rPr>
          <w:rFonts w:ascii="Cambria" w:eastAsia="Cambria" w:hAnsi="Cambria" w:cs="Cambria"/>
          <w:sz w:val="20"/>
          <w:szCs w:val="20"/>
        </w:rPr>
        <w:t xml:space="preserve">The quality of the teaching and learning process is measured based on the extent to which students master basic skills in the subject </w:t>
      </w:r>
      <w:r w:rsidRPr="00D93E35">
        <w:rPr>
          <w:rFonts w:ascii="Cambria" w:eastAsia="Cambria" w:hAnsi="Cambria" w:cs="Cambria"/>
          <w:sz w:val="20"/>
          <w:szCs w:val="20"/>
        </w:rPr>
        <w:fldChar w:fldCharType="begin" w:fldLock="1"/>
      </w:r>
      <w:r w:rsidRPr="00D93E35">
        <w:rPr>
          <w:rFonts w:ascii="Cambria" w:eastAsia="Cambria" w:hAnsi="Cambria" w:cs="Cambria"/>
          <w:sz w:val="20"/>
          <w:szCs w:val="20"/>
        </w:rPr>
        <w:instrText>ADDIN CSL_CITATION {"citationItems":[{"id":"ITEM-1","itemData":{"DOI":"10.1016/j.stueduc.2023.101260","ISSN":"0191491X","author":[{"dropping-particle":"","family":"Adams","given":"Britt","non-dropping-particle":"","parse-names":false,"suffix":""},{"dropping-particle":"","family":"Thomas","given":"Laura","non-dropping-particle":"","parse-names":false,"suffix":""},{"dropping-particle":"","family":"Moens","given":"Maxime","non-dropping-particle":"","parse-names":false,"suffix":""},{"dropping-particle":"","family":"Valcke","given":"Martin","non-dropping-particle":"","parse-names":false,"suffix":""}],"container-title":"Studies in Educational Evaluation","id":"ITEM-1","issued":{"date-parts":[["2023","6"]]},"page":"101260","title":"University teachers as versatile masters: Evaluating the effectiveness of a professional development programme on student-centred teaching competencies","type":"article-journal","volume":"77"},"uris":["http://www.mendeley.com/documents/?uuid=b7c42392-f4ca-479a-9fef-10c3048ad3c7"]}],"mendeley":{"formattedCitation":"(Adams et al., 2023)","manualFormatting":"(Adams et al., 2023 ; Attig et al., 2024)","plainTextFormattedCitation":"(Adams et al., 2023)","previouslyFormattedCitation":"(Adams et al., 2023)"},"properties":{"noteIndex":0},"schema":"https://github.com/citation-style-language/schema/raw/master/csl-citation.json"}</w:instrText>
      </w:r>
      <w:r w:rsidRPr="00D93E35">
        <w:rPr>
          <w:rFonts w:ascii="Cambria" w:eastAsia="Cambria" w:hAnsi="Cambria" w:cs="Cambria"/>
          <w:sz w:val="20"/>
          <w:szCs w:val="20"/>
        </w:rPr>
        <w:fldChar w:fldCharType="separate"/>
      </w:r>
      <w:hyperlink r:id="rId24" w:history="1">
        <w:r w:rsidRPr="00D93E35">
          <w:rPr>
            <w:rStyle w:val="Hyperlink"/>
            <w:rFonts w:ascii="Cambria" w:eastAsia="Cambria" w:hAnsi="Cambria" w:cs="Cambria"/>
            <w:noProof/>
            <w:sz w:val="20"/>
            <w:szCs w:val="20"/>
          </w:rPr>
          <w:t xml:space="preserve">(Adams et al., 2023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stueduc.2024.101347","ISSN":"0191491X","author":[{"dropping-particle":"","family":"Attig","given":"Manja","non-dropping-particle":"","parse-names":false,"suffix":""},{"dropping-particle":"","family":"Hoferichter","given":"Frances","non-dropping-particle":"","parse-names":false,"suffix":""},{"dropping-particle":"","family":"Steinmann","given":"Isa","non-dropping-particle":"","parse-names":false,"suffix":""},{"dropping-particle":"","family":"Strietholt","given":"Rolf","non-dropping-particle":"","parse-names":false,"suffix":""}],"container-title":"Studies in Educational Evaluation","id":"ITEM-1","issued":{"date-parts":[["2024","6"]]},"page":"101347","title":"Teaching quality and student reading outcomes: Evidence from a longitudinal study from grade 5 to 7","type":"article-journal","volume":"81"},"uris":["http://www.mendeley.com/documents/?uuid=bae72a9d-6d30-4966-a217-cb00fd3b8479"]}],"mendeley":{"formattedCitation":"(Attig et al., 2024)","manualFormatting":"Attig et al., 2024)","plainTextFormattedCitation":"(Attig et al., 2024)","previouslyFormattedCitation":"(Attig et al., 2024)"},"properties":{"noteIndex":0},"schema":"https://github.com/citation-style-language/schema/raw/master/csl-citation.json"}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Attig et al., 2024)</w:t>
        </w:r>
        <w:r w:rsidRPr="00D93E35">
          <w:rPr>
            <w:rStyle w:val="Hyperlink"/>
            <w:rFonts w:ascii="Cambria" w:eastAsia="Cambria" w:hAnsi="Cambria" w:cs="Cambria"/>
            <w:noProof/>
            <w:sz w:val="20"/>
            <w:szCs w:val="20"/>
          </w:rPr>
          <w:fldChar w:fldCharType="end"/>
        </w:r>
      </w:hyperlink>
      <w:r w:rsidRPr="00D93E35">
        <w:rPr>
          <w:rFonts w:ascii="Cambria" w:eastAsia="Cambria" w:hAnsi="Cambria" w:cs="Cambria"/>
          <w:sz w:val="20"/>
          <w:szCs w:val="20"/>
        </w:rPr>
        <w:fldChar w:fldCharType="end"/>
      </w:r>
      <w:r w:rsidRPr="00D93E35">
        <w:rPr>
          <w:rFonts w:ascii="Cambria" w:eastAsia="Cambria" w:hAnsi="Cambria" w:cs="Cambria"/>
          <w:sz w:val="20"/>
          <w:szCs w:val="20"/>
        </w:rPr>
        <w:t xml:space="preserve">. These skills include knowledge, abilities and attitudes. However, not all students reach the expected level of achievement. To improve learning outcomes, it is important for teachers to choose appropriate learning strategies, strengthen students' learning abilities, and ultimately, improve their academic performance  </w:t>
      </w:r>
      <w:r w:rsidRPr="00D93E35">
        <w:rPr>
          <w:rFonts w:ascii="Cambria" w:eastAsia="Cambria" w:hAnsi="Cambria" w:cs="Cambria"/>
          <w:sz w:val="20"/>
          <w:szCs w:val="20"/>
        </w:rPr>
        <w:fldChar w:fldCharType="begin" w:fldLock="1"/>
      </w:r>
      <w:r w:rsidRPr="00D93E35">
        <w:rPr>
          <w:rFonts w:ascii="Cambria" w:eastAsia="Cambria" w:hAnsi="Cambria" w:cs="Cambria"/>
          <w:sz w:val="20"/>
          <w:szCs w:val="20"/>
        </w:rPr>
        <w:instrText>ADDIN CSL_CITATION {"citationItems":[{"id":"ITEM-1","itemData":{"DOI":"10.1016/j.lmot.2023.101913","ISSN":"00239690","author":[{"dropping-particle":"","family":"Li","given":"Qian","non-dropping-particle":"","parse-names":false,"suffix":""},{"dropping-particle":"","family":"Yan","given":"Fei","non-dropping-particle":"","parse-names":false,"suffix":""}],"container-title":"Learning and Motivation","id":"ITEM-1","issued":{"date-parts":[["2023","11"]]},"page":"101913","title":"Community theory-based learning framework for Higher education","type":"article-journal","volume":"84"},"uris":["http://www.mendeley.com/documents/?uuid=a29e6016-3096-4f14-b2a5-236b481b2096"]}],"mendeley":{"formattedCitation":"(Li &amp; Yan, 2023)","manualFormatting":"(Li &amp; Yan, 2023 ; Mutoni Griffiths et al., 2023)","plainTextFormattedCitation":"(Li &amp; Yan, 2023)","previouslyFormattedCitation":"(Li &amp; Yan, 2023)"},"properties":{"noteIndex":0},"schema":"https://github.com/citation-style-language/schema/raw/master/csl-citation.json"}</w:instrText>
      </w:r>
      <w:r w:rsidRPr="00D93E35">
        <w:rPr>
          <w:rFonts w:ascii="Cambria" w:eastAsia="Cambria" w:hAnsi="Cambria" w:cs="Cambria"/>
          <w:sz w:val="20"/>
          <w:szCs w:val="20"/>
        </w:rPr>
        <w:fldChar w:fldCharType="separate"/>
      </w:r>
      <w:hyperlink r:id="rId25" w:history="1">
        <w:r w:rsidRPr="00D93E35">
          <w:rPr>
            <w:rStyle w:val="Hyperlink"/>
            <w:rFonts w:ascii="Cambria" w:eastAsia="Cambria" w:hAnsi="Cambria" w:cs="Cambria"/>
            <w:noProof/>
            <w:sz w:val="20"/>
            <w:szCs w:val="20"/>
          </w:rPr>
          <w:t xml:space="preserve">(Li &amp; Yan, 2023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{"citationItems":[{"id":"ITEM-1","itemData":{"DOI":"10.1016/j.cedpsych.2022.102145","ISSN":"0361476X","author":[{"dropping-particle":"","family":"Mutoni Griffiths","given":"Camilla","non-dropping-particle":"","parse-names":false,"suffix":""},{"dropping-particle":"","family":"Murdock-Perriera","given":"Lisel","non-dropping-particle":"","parse-names":false,"suffix":""},{"dropping-particle":"","family":"L Eberhardt","given":"Jennifer","non-dropping-particle":"","parse-names":false,"suffix":""}],"container-title":"Contemporary Educational Psychology","id":"ITEM-1","issued":{"date-parts":[["2023","4"]]},"page":"102145","title":"“Can you tell me more about this?”: Agentic written feedback, teacher expectations, and student learning","type":"article-journal","volume":"73"},"uris":["http://www.mendeley.com/documents/?uuid=be155ccc-9f44-4d9a-b609-dc1af52d0446"]}],"mendeley":{"formattedCitation":"(Mutoni Griffiths et al., 2023)","manualFormatting":"Mutoni Griffiths et al., 2023)","plainTextFormattedCitation":"(Mutoni Griffiths et al., 2023)","previouslyFormattedCitation":"(Mutoni Griffiths et al., 2023)"},"properties":{"noteIndex":0},"schema":"https://github.com/citation-style-language/schema/raw/master/csl-citation.json"}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Mutoni Griffiths et al., 2023)</w:t>
        </w:r>
        <w:r w:rsidRPr="00D93E35">
          <w:rPr>
            <w:rStyle w:val="Hyperlink"/>
            <w:rFonts w:ascii="Cambria" w:eastAsia="Cambria" w:hAnsi="Cambria" w:cs="Cambria"/>
            <w:noProof/>
            <w:sz w:val="20"/>
            <w:szCs w:val="20"/>
          </w:rPr>
          <w:fldChar w:fldCharType="end"/>
        </w:r>
      </w:hyperlink>
      <w:r w:rsidRPr="00D93E35">
        <w:rPr>
          <w:rFonts w:ascii="Cambria" w:eastAsia="Cambria" w:hAnsi="Cambria" w:cs="Cambria"/>
          <w:sz w:val="20"/>
          <w:szCs w:val="20"/>
        </w:rPr>
        <w:fldChar w:fldCharType="end"/>
      </w:r>
      <w:r w:rsidRPr="00D93E35">
        <w:rPr>
          <w:rFonts w:ascii="Cambria" w:eastAsia="Cambria" w:hAnsi="Cambria" w:cs="Cambria"/>
          <w:sz w:val="20"/>
          <w:szCs w:val="20"/>
        </w:rPr>
        <w:t xml:space="preserve">. One of the key competencies of a teacher is his or her ability to manage the classroom during the learning process, which involves expertise in using various learning strategies, models and learning materials that can trigger students' interest in learning so that their learning achievement can be improved. Based on comparative studies of teacher education in developed countries with well-established systems, teacher education programs strive to link theory and practice through the design of high-quality work reflection and clinical work integration </w:t>
      </w:r>
      <w:hyperlink r:id="rId26"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{"citationItems":[{"id":"ITEM-1","itemData":{"DOI":"10.18860/jpips.v3i2.6859","ISSN":"2614-5480","abstract":"Department of Social Sciences Education Faculty of Tarbiyah and Teacher Training (FITK) conducts Field Work Practice (PKL) for students at leading schools / madrasahs in East Java. On an ongoing basis the activities are developed with an internship pattern following the provisions in the framework of Indonesian national qualification (KKNI). The purpose of this study focuses on the evaluation of the implementation of field work practices in applying internships to the curriculum of social science education based on KKNI. This research uses qualitative approach, especially using evaluation research. From the results of the discussion can be concluded: (1) The results of monitoring and supervision of the implementation of field work practices conducted by using standardized statement instrument sheet, (2) Responses and evaluations regarding the implementation of field work practices showed good results in terms of administration, This internship program is an integral part for students of IPS FITK UIN Maulana Malik Ibrahim Malang. Suggestions that can be recommended from the results of this study are: (1) Implementation of a good street vendors can be continuously improved and updated in technical implementation with electronic electronic systems based online, (2) Evaluation of the good about street vendors continue to be maintained and improved by establishing More intensive communication between the parties concerned, (3) Enrollment of apprenticeship in the curriculum of social science education based on KKNI that has been designed and set out to be a special marker character must be maintained and guarded in its implementation and constantly evaluated periodically and continuously in the improvement Keywords: Evaluation of PKL, Enforcement of Internship, Curriculum of Education of Social Sciences Based KKNI.","author":[{"dropping-particle":"","family":"Bashith","given":"Abdul","non-dropping-particle":"","parse-names":false,"suffix":""}],"container-title":"J-PIPS (Jurnal Pendidikan Ilmu Pengetahuan Sosial)","id":"ITEM-1","issue":"2","issued":{"date-parts":[["2017","6","30"]]},"page":"112","title":"Evaluasi Program Praktik Kerja Lapangan Dalam Pemberlakuan Magang Pada Kurikulum Jurusan Pendidikan Ilmu Pengetahuan Sosial Berbasis Kkni","type":"article-journal","volume":"3"},"uris":["http://www.mendeley.com/documents/?uuid=c42c5d3a-9b4b-4484-af8b-f607544dce66"]}],"mendeley":{"formattedCitation":"(Bashith, 2017)","manualFormatting":"(Bashith, 2017","plainTextFormattedCitation":"(Bashith, 2017)","previouslyFormattedCitation":"(Bashith, 2017)"},"properties":{"noteIndex":0},"schema":"https://github.com/citation-style-language/schema/raw/master/csl-citation.json"}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(Bashith, 2017</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t>;</w:t>
        </w:r>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{"citationItems":[{"id":"ITEM-1","itemData":{"DOI":"10.1016/j.heliyon.2021.e05928","ISSN":"24058440","author":[{"dropping-particle":"","family":"Wiziack","given":"João Carlos","non-dropping-particle":"","parse-names":false,"suffix":""},{"dropping-particle":"","family":"Santos","given":"Vitor Manuel Pereira Duarte","non-dropping-particle":"dos","parse-names":false,"suffix":""}],"container-title":"Heliyon","id":"ITEM-1","issue":"1","issued":{"date-parts":[["2021","1"]]},"page":"e05928","title":"Evaluating an integrated cognitive competencies model to enhance teachers’ application of technology in large-scale educational contexts","type":"article-journal","volume":"7"},"uris":["http://www.mendeley.com/documents/?uuid=aa786599-2958-420d-a0d6-0dfe67e8729e"]}],"mendeley":{"formattedCitation":"(Wiziack &amp; dos Santos, 2021)","manualFormatting":"Wiziack &amp; dos Santos, 2021)","plainTextFormattedCitation":"(Wiziack &amp; dos Santos, 2021)","previouslyFormattedCitation":"(Wiziack &amp; dos Santos, 2021)"},"properties":{"noteIndex":0},"schema":"https://github.com/citation-style-language/schema/raw/master/csl-citation.json"}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Wiziack &amp; dos Santos, 2021)</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 </w:t>
      </w:r>
    </w:p>
    <w:p w:rsidR="00A32FC3" w:rsidRPr="00D93E35" w:rsidRDefault="00A32FC3" w:rsidP="00A32FC3">
      <w:pPr>
        <w:ind w:firstLine="720"/>
        <w:jc w:val="both"/>
        <w:rPr>
          <w:rFonts w:ascii="Cambria" w:eastAsia="Cambria" w:hAnsi="Cambria" w:cs="Cambria"/>
          <w:sz w:val="20"/>
          <w:szCs w:val="20"/>
        </w:rPr>
      </w:pPr>
      <w:r w:rsidRPr="00D93E35">
        <w:rPr>
          <w:rFonts w:ascii="Cambria" w:eastAsia="Cambria" w:hAnsi="Cambria" w:cs="Cambria"/>
          <w:sz w:val="20"/>
          <w:szCs w:val="20"/>
        </w:rPr>
        <w:t xml:space="preserve">Based on the results of an initial study conducted through a survey of teachers and students at SDN 15 </w:t>
      </w:r>
      <w:proofErr w:type="spellStart"/>
      <w:r w:rsidRPr="00D93E35">
        <w:rPr>
          <w:rFonts w:ascii="Cambria" w:eastAsia="Cambria" w:hAnsi="Cambria" w:cs="Cambria"/>
          <w:sz w:val="20"/>
          <w:szCs w:val="20"/>
        </w:rPr>
        <w:t>Melayang</w:t>
      </w:r>
      <w:proofErr w:type="spellEnd"/>
      <w:r w:rsidRPr="00D93E35">
        <w:rPr>
          <w:rFonts w:ascii="Cambria" w:eastAsia="Cambria" w:hAnsi="Cambria" w:cs="Cambria"/>
          <w:sz w:val="20"/>
          <w:szCs w:val="20"/>
        </w:rPr>
        <w:t xml:space="preserve">, </w:t>
      </w:r>
      <w:proofErr w:type="spellStart"/>
      <w:r w:rsidRPr="00D93E35">
        <w:rPr>
          <w:rFonts w:ascii="Cambria" w:eastAsia="Cambria" w:hAnsi="Cambria" w:cs="Cambria"/>
          <w:sz w:val="20"/>
          <w:szCs w:val="20"/>
        </w:rPr>
        <w:t>Sintang</w:t>
      </w:r>
      <w:proofErr w:type="spellEnd"/>
      <w:r w:rsidRPr="00D93E35">
        <w:rPr>
          <w:rFonts w:ascii="Cambria" w:eastAsia="Cambria" w:hAnsi="Cambria" w:cs="Cambria"/>
          <w:sz w:val="20"/>
          <w:szCs w:val="20"/>
        </w:rPr>
        <w:t xml:space="preserve"> district, some interesting findings were identified. Interviews with teachers showed that there was a low level of student engagement, and some of them experienced difficulties in reading during the learning process. Starting in March 2020, the COVID-19 pandemic and school closures followed by calls to stay at home, physical distancing, and government-mandated safety measures have resulted in substantial changes in students </w:t>
      </w:r>
      <w:r w:rsidRPr="00D93E35">
        <w:rPr>
          <w:rFonts w:ascii="Cambria" w:eastAsia="Cambria" w:hAnsi="Cambria" w:cs="Cambria"/>
          <w:sz w:val="20"/>
          <w:szCs w:val="20"/>
        </w:rPr>
        <w:fldChar w:fldCharType="begin" w:fldLock="1"/>
      </w:r>
      <w:r w:rsidRPr="00D93E35">
        <w:rPr>
          <w:rFonts w:ascii="Cambria" w:eastAsia="Cambria" w:hAnsi="Cambria" w:cs="Cambria"/>
          <w:sz w:val="20"/>
          <w:szCs w:val="20"/>
        </w:rPr>
        <w:instrText>ADDIN CSL_CITATION {"citationItems":[{"id":"ITEM-1","itemData":{"DOI":"10.1016/j.heliyon.2024.e27588","ISSN":"24058440","author":[{"dropping-particle":"","family":"Nasar","given":"Sameen","non-dropping-particle":"","parse-names":false,"suffix":""},{"dropping-particle":"","family":"Shome","given":"Rituja","non-dropping-particle":"","parse-names":false,"suffix":""},{"dropping-particle":"","family":"Kabir","given":"Selima","non-dropping-particle":"","parse-names":false,"suffix":""},{"dropping-particle":"","family":"Gnani","given":"Shamini","non-dropping-particle":"","parse-names":false,"suffix":""},{"dropping-particle":"","family":"Rao","given":"Mala","non-dropping-particle":"","parse-names":false,"suffix":""},{"dropping-particle":"","family":"Rashid","given":"Sabina F.","non-dropping-particle":"","parse-names":false,"suffix":""}],"container-title":"Heliyon","id":"ITEM-1","issue":"6","issued":{"date-parts":[["2024","3"]]},"page":"e27588","title":"Understanding the impacts of COVID-19 pandemic on mental health and well-being among university students in Dhaka, Bangladesh: A nested mixed-methods study","type":"article-journal","volume":"10"},"uris":["http://www.mendeley.com/documents/?uuid=6379633e-cf24-49c9-8a48-272f9eb8c41f"]}],"mendeley":{"formattedCitation":"(Nasar et al., 2024)","manualFormatting":"(Nasar et al., 2024 ; Bardosh et al., 2023)","plainTextFormattedCitation":"(Nasar et al., 2024)","previouslyFormattedCitation":"(Nasar et al., 2024)"},"properties":{"noteIndex":0},"schema":"https://github.com/citation-style-language/schema/raw/master/csl-citation.json"}</w:instrText>
      </w:r>
      <w:r w:rsidRPr="00D93E35">
        <w:rPr>
          <w:rFonts w:ascii="Cambria" w:eastAsia="Cambria" w:hAnsi="Cambria" w:cs="Cambria"/>
          <w:sz w:val="20"/>
          <w:szCs w:val="20"/>
        </w:rPr>
        <w:fldChar w:fldCharType="separate"/>
      </w:r>
      <w:hyperlink r:id="rId27" w:history="1">
        <w:r w:rsidRPr="00D93E35">
          <w:rPr>
            <w:rStyle w:val="Hyperlink"/>
            <w:rFonts w:ascii="Cambria" w:eastAsia="Cambria" w:hAnsi="Cambria" w:cs="Cambria"/>
            <w:noProof/>
            <w:sz w:val="20"/>
            <w:szCs w:val="20"/>
          </w:rPr>
          <w:t xml:space="preserve">(Nasar et al., 2024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socscimed.2023.116076","ISSN":"02779536","author":[{"dropping-particle":"","family":"Bardosh","given":"Kevin","non-dropping-particle":"","parse-names":false,"suffix":""},{"dropping-particle":"","family":"Jean","given":"Lorence","non-dropping-particle":"","parse-names":false,"suffix":""},{"dropping-particle":"","family":"Desir","given":"Luccene","non-dropping-particle":"","parse-names":false,"suffix":""},{"dropping-particle":"","family":"Yoss","given":"Sarah","non-dropping-particle":"","parse-names":false,"suffix":""},{"dropping-particle":"","family":"Poovey","given":"Brianna","non-dropping-particle":"","parse-names":false,"suffix":""},{"dropping-particle":"","family":"Beau de Rochars","given":"Madsen Valerie","non-dropping-particle":"","parse-names":false,"suffix":""},{"dropping-particle":"","family":"Noland","given":"Gregory S.","non-dropping-particle":"","parse-names":false,"suffix":""}],"container-title":"Social Science &amp; Medicine","id":"ITEM-1","issued":{"date-parts":[["2023","8"]]},"page":"116076","title":"Was lockdown worth it? community perspectives and experiences of the Covid-19 pandemic in remote southwestern Haiti","type":"article-journal","volume":"331"},"uris":["http://www.mendeley.com/documents/?uuid=2779d67e-55e2-4bfe-b748-0ff0b52274c4"]}],"mendeley":{"formattedCitation":"(Bardosh et al., 2023)","manualFormatting":"Bardosh et al., 2023)","plainTextFormattedCitation":"(Bardosh et al., 2023)","previouslyFormattedCitation":"(Bardosh et al., 2023)"},"properties":{"noteIndex":0},"schema":"https://github.com/citation-style-language/schema/raw/master/csl-citation.json"}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Bardosh et al., 2023)</w:t>
        </w:r>
        <w:r w:rsidRPr="00D93E35">
          <w:rPr>
            <w:rStyle w:val="Hyperlink"/>
            <w:rFonts w:ascii="Cambria" w:eastAsia="Cambria" w:hAnsi="Cambria" w:cs="Cambria"/>
            <w:noProof/>
            <w:sz w:val="20"/>
            <w:szCs w:val="20"/>
          </w:rPr>
          <w:fldChar w:fldCharType="end"/>
        </w:r>
      </w:hyperlink>
      <w:r w:rsidRPr="00D93E35">
        <w:rPr>
          <w:rFonts w:ascii="Cambria" w:eastAsia="Cambria" w:hAnsi="Cambria" w:cs="Cambria"/>
          <w:sz w:val="20"/>
          <w:szCs w:val="20"/>
        </w:rPr>
        <w:fldChar w:fldCharType="end"/>
      </w:r>
      <w:r w:rsidRPr="00D93E35">
        <w:rPr>
          <w:rFonts w:ascii="Cambria" w:eastAsia="Cambria" w:hAnsi="Cambria" w:cs="Cambria"/>
          <w:sz w:val="20"/>
          <w:szCs w:val="20"/>
        </w:rPr>
        <w:t>. This seems to be related to the more teacher-</w:t>
      </w:r>
      <w:proofErr w:type="spellStart"/>
      <w:r w:rsidRPr="00D93E35">
        <w:rPr>
          <w:rFonts w:ascii="Cambria" w:eastAsia="Cambria" w:hAnsi="Cambria" w:cs="Cambria"/>
          <w:sz w:val="20"/>
          <w:szCs w:val="20"/>
        </w:rPr>
        <w:t>centered</w:t>
      </w:r>
      <w:proofErr w:type="spellEnd"/>
      <w:r w:rsidRPr="00D93E35">
        <w:rPr>
          <w:rFonts w:ascii="Cambria" w:eastAsia="Cambria" w:hAnsi="Cambria" w:cs="Cambria"/>
          <w:sz w:val="20"/>
          <w:szCs w:val="20"/>
        </w:rPr>
        <w:t xml:space="preserve"> learning approach, which pays less attention to students' active involvement in the learning process  </w:t>
      </w:r>
      <w:r w:rsidRPr="00D93E35">
        <w:rPr>
          <w:rFonts w:ascii="Cambria" w:eastAsia="Cambria" w:hAnsi="Cambria" w:cs="Cambria"/>
          <w:sz w:val="20"/>
          <w:szCs w:val="20"/>
        </w:rPr>
        <w:fldChar w:fldCharType="begin" w:fldLock="1"/>
      </w:r>
      <w:r w:rsidRPr="00D93E35">
        <w:rPr>
          <w:rFonts w:ascii="Cambria" w:eastAsia="Cambria" w:hAnsi="Cambria" w:cs="Cambria"/>
          <w:sz w:val="20"/>
          <w:szCs w:val="20"/>
        </w:rPr>
        <w:instrText>ADDIN CSL_CITATION {"citationItems":[{"id":"ITEM-1","itemData":{"DOI":"10.1016/j.tate.2023.104415","ISSN":"0742051X","author":[{"dropping-particle":"","family":"Woods","given":"Peter J.","non-dropping-particle":"","parse-names":false,"suffix":""},{"dropping-particle":"","family":"Copur-Gencturk","given":"Y.","non-dropping-particle":"","parse-names":false,"suffix":""}],"container-title":"Teaching and Teacher Education","id":"ITEM-1","issued":{"date-parts":[["2024","2"]]},"page":"104415","title":"Examining the role of student-centered versus teacher-centered pedagogical approaches to self-directed learning through teaching","type":"article-journal","volume":"138"},"uris":["http://www.mendeley.com/documents/?uuid=7089d277-2cf2-4c48-b9aa-f1aefbce5b3b"]}],"mendeley":{"formattedCitation":"(Woods &amp; Copur-Gencturk, 2024)","manualFormatting":"(Woods &amp; Copur-Gencturk, 2024 ; Hwang et al., 2024)","plainTextFormattedCitation":"(Woods &amp; Copur-Gencturk, 2024)","previouslyFormattedCitation":"(Woods &amp; Copur-Gencturk, 2024)"},"properties":{"noteIndex":0},"schema":"https://github.com/citation-style-language/schema/raw/master/csl-citation.json"}</w:instrText>
      </w:r>
      <w:r w:rsidRPr="00D93E35">
        <w:rPr>
          <w:rFonts w:ascii="Cambria" w:eastAsia="Cambria" w:hAnsi="Cambria" w:cs="Cambria"/>
          <w:sz w:val="20"/>
          <w:szCs w:val="20"/>
        </w:rPr>
        <w:fldChar w:fldCharType="separate"/>
      </w:r>
      <w:hyperlink r:id="rId28" w:history="1">
        <w:r w:rsidRPr="00D93E35">
          <w:rPr>
            <w:rStyle w:val="Hyperlink"/>
            <w:rFonts w:ascii="Cambria" w:eastAsia="Cambria" w:hAnsi="Cambria" w:cs="Cambria"/>
            <w:noProof/>
            <w:sz w:val="20"/>
            <w:szCs w:val="20"/>
          </w:rPr>
          <w:t xml:space="preserve">(Woods &amp; Copur-Gencturk, 2024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jmathb.2023.101120","ISSN":"07323123","author":[{"dropping-particle":"","family":"Hwang","given":"Stephen","non-dropping-particle":"","parse-names":false,"suffix":""},{"dropping-particle":"","family":"Xu","given":"Ranran","non-dropping-particle":"","parse-names":false,"suffix":""},{"dropping-particle":"","family":"Yao","given":"Yiling","non-dropping-particle":"","parse-names":false,"suffix":""},{"dropping-particle":"","family":"Cai","given":"Jinfa","non-dropping-particle":"","parse-names":false,"suffix":""}],"container-title":"The Journal of Mathematical Behavior","id":"ITEM-1","issued":{"date-parts":[["2024","3"]]},"page":"101120","title":"Learning to teach through problem posing: A teacher’s journey in a networked teacher−researcher partnership","type":"article-journal","volume":"73"},"uris":["http://www.mendeley.com/documents/?uuid=dafcf36d-eb02-4633-993a-c96f52107d40"]}],"mendeley":{"formattedCitation":"(Hwang et al., 2024)","manualFormatting":"Hwang et al., 2024)","plainTextFormattedCitation":"(Hwang et al., 2024)","previouslyFormattedCitation":"(Hwang et al., 2024)"},"properties":{"noteIndex":0},"schema":"https://github.com/citation-style-language/schema/raw/master/csl-citation.json"}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Hwang et al., 2024)</w:t>
        </w:r>
        <w:r w:rsidRPr="00D93E35">
          <w:rPr>
            <w:rStyle w:val="Hyperlink"/>
            <w:rFonts w:ascii="Cambria" w:eastAsia="Cambria" w:hAnsi="Cambria" w:cs="Cambria"/>
            <w:noProof/>
            <w:sz w:val="20"/>
            <w:szCs w:val="20"/>
          </w:rPr>
          <w:fldChar w:fldCharType="end"/>
        </w:r>
      </w:hyperlink>
      <w:r w:rsidRPr="00D93E35">
        <w:rPr>
          <w:rFonts w:ascii="Cambria" w:eastAsia="Cambria" w:hAnsi="Cambria" w:cs="Cambria"/>
          <w:sz w:val="20"/>
          <w:szCs w:val="20"/>
        </w:rPr>
        <w:fldChar w:fldCharType="end"/>
      </w:r>
      <w:r w:rsidRPr="00D93E35">
        <w:rPr>
          <w:rFonts w:ascii="Cambria" w:eastAsia="Cambria" w:hAnsi="Cambria" w:cs="Cambria"/>
          <w:sz w:val="20"/>
          <w:szCs w:val="20"/>
        </w:rPr>
        <w:t xml:space="preserve">. The results of the researcher's observations and interviews with grade V students at SDN 15 </w:t>
      </w:r>
      <w:proofErr w:type="spellStart"/>
      <w:r w:rsidRPr="00D93E35">
        <w:rPr>
          <w:rFonts w:ascii="Cambria" w:eastAsia="Cambria" w:hAnsi="Cambria" w:cs="Cambria"/>
          <w:sz w:val="20"/>
          <w:szCs w:val="20"/>
        </w:rPr>
        <w:t>Melayang</w:t>
      </w:r>
      <w:proofErr w:type="spellEnd"/>
      <w:r w:rsidRPr="00D93E35">
        <w:rPr>
          <w:rFonts w:ascii="Cambria" w:eastAsia="Cambria" w:hAnsi="Cambria" w:cs="Cambria"/>
          <w:sz w:val="20"/>
          <w:szCs w:val="20"/>
        </w:rPr>
        <w:t xml:space="preserve">, </w:t>
      </w:r>
      <w:proofErr w:type="spellStart"/>
      <w:r w:rsidRPr="00D93E35">
        <w:rPr>
          <w:rFonts w:ascii="Cambria" w:eastAsia="Cambria" w:hAnsi="Cambria" w:cs="Cambria"/>
          <w:sz w:val="20"/>
          <w:szCs w:val="20"/>
        </w:rPr>
        <w:t>Sintang</w:t>
      </w:r>
      <w:proofErr w:type="spellEnd"/>
      <w:r w:rsidRPr="00D93E35">
        <w:rPr>
          <w:rFonts w:ascii="Cambria" w:eastAsia="Cambria" w:hAnsi="Cambria" w:cs="Cambria"/>
          <w:sz w:val="20"/>
          <w:szCs w:val="20"/>
        </w:rPr>
        <w:t xml:space="preserve">, also support this finding. They highlighted difficulties in learning Indonesian, particularly in reading among grade V students. Educators tend to rarely incorporate writing assessment into the science curriculum, more often using writing as an evaluation tool to measure student understanding  </w:t>
      </w:r>
      <w:hyperlink r:id="rId29"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{"citationItems":[{"id":"ITEM-1","itemData":{"DOI":"10.1016/j.caeo.2022.100082","ISSN":"26665573","author":[{"dropping-particle":"","family":"Wen","given":"Xue","non-dropping-particle":"","parse-names":false,"suffix":""},{"dropping-particle":"","family":"Walters","given":"Shauna M.","non-dropping-particle":"","parse-names":false,"suffix":""}],"container-title":"Computers and Education Open","id":"ITEM-1","issued":{"date-parts":[["2022","12"]]},"page":"100082","title":"The Impact of Technology on Students’ Writing Performances in Elementary Classrooms: A Meta-Analysis","type":"article-journal","volume":"3"},"uris":["http://www.mendeley.com/documents/?uuid=3c67c758-ce41-4ccf-a5d3-be4a93c0febf"]}],"mendeley":{"formattedCitation":"(Wen &amp; Walters, 2022)","manualFormatting":"(Wen &amp; Walters, 2022 ; Liu et al., 2021)","plainTextFormattedCitation":"(Wen &amp; Walters, 2022)","previouslyFormattedCitation":"(Wen &amp; Walters, 2022)"},"properties":{"noteIndex":0},"schema":"https://github.com/citation-style-language/schema/raw/master/csl-citation.json"}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(Wen &amp; Walters, 2022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chb.2021.106733","ISSN":"07475632","author":[{"dropping-particle":"","family":"Liu","given":"Ming","non-dropping-particle":"","parse-names":false,"suffix":""},{"dropping-particle":"","family":"Kitto","given":"Kirsty","non-dropping-particle":"","parse-names":false,"suffix":""},{"dropping-particle":"","family":"Buckingham Shum","given":"Simon","non-dropping-particle":"","parse-names":false,"suffix":""}],"container-title":"Computers in Human Behavior","id":"ITEM-1","issued":{"date-parts":[["2021","7"]]},"page":"106733","title":"Combining factor analysis with writing analytics for the formative assessment of written reflection","type":"article-journal","volume":"120"},"uris":["http://www.mendeley.com/documents/?uuid=b1d793c7-ac41-4cd9-aa9d-64826e8e3339"]}],"mendeley":{"formattedCitation":"(Liu et al., 2021)","manualFormatting":"Liu et al., 2021)","plainTextFormattedCitation":"(Liu et al., 2021)","previouslyFormattedCitation":"(Liu et al., 2021)"},"properties":{"noteIndex":0},"schema":"https://github.com/citation-style-language/schema/raw/master/csl-citation.json"}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Liu et al., 2021)</w:t>
        </w:r>
        <w:r w:rsidRPr="00D93E35">
          <w:rPr>
            <w:rStyle w:val="Hyperlink"/>
            <w:rFonts w:ascii="Cambria" w:eastAsia="Cambria" w:hAnsi="Cambria" w:cs="Cambria"/>
            <w:noProof/>
            <w:sz w:val="20"/>
            <w:szCs w:val="20"/>
          </w:rPr>
          <w:fldChar w:fldCharType="end"/>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w:t>
      </w:r>
    </w:p>
    <w:p w:rsidR="00A32FC3" w:rsidRPr="00D93E35" w:rsidRDefault="00A32FC3" w:rsidP="00A32FC3">
      <w:pPr>
        <w:ind w:firstLine="720"/>
        <w:jc w:val="both"/>
        <w:rPr>
          <w:rFonts w:ascii="Cambria" w:eastAsia="Cambria" w:hAnsi="Cambria" w:cs="Cambria"/>
          <w:sz w:val="20"/>
          <w:szCs w:val="20"/>
        </w:rPr>
      </w:pPr>
      <w:r w:rsidRPr="00AA63BA">
        <w:rPr>
          <w:rFonts w:ascii="Cambria" w:eastAsia="Cambria" w:hAnsi="Cambria" w:cs="Cambria"/>
          <w:sz w:val="20"/>
          <w:szCs w:val="20"/>
        </w:rPr>
        <w:t>The aforementioned challenges encompass a number of difficulties that students face, including: (1) difficulty in understanding the content of the story, (2) difficulty in identifying the main idea in each paragraph of the story, (3) difficulty in expressing thoughts, and (4) difficulty in connecting words into cohesive sentences when summarizing the story</w:t>
      </w:r>
      <w:r>
        <w:rPr>
          <w:rFonts w:ascii="Cambria" w:eastAsia="Cambria" w:hAnsi="Cambria" w:cs="Cambria"/>
          <w:sz w:val="20"/>
          <w:szCs w:val="20"/>
        </w:rPr>
        <w:t xml:space="preserve"> </w:t>
      </w:r>
      <w:hyperlink r:id="rId30"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{"citationItems":[{"id":"ITEM-1","itemData":{"DOI":"10.1016/j.stueduc.2012.08.001","ISSN":"0191491X","author":[{"dropping-particle":"","family":"Charalambous","given":"Charalambos Y.","non-dropping-particle":"","parse-names":false,"suffix":""},{"dropping-particle":"","family":"Kyriakides","given":"Leonidas","non-dropping-particle":"","parse-names":false,"suffix":""},{"dropping-particle":"","family":"Philippou","given":"George N.","non-dropping-particle":"","parse-names":false,"suffix":""}],"container-title":"Studies in Educational Evaluation","id":"ITEM-1","issue":"3-4","issued":{"date-parts":[["2012","9"]]},"page":"93-106","title":"Developing a test for exploring student performance in a complex domain: Challenges faced, decisions made, and implications drawn","type":"article-journal","volume":"38"},"uris":["http://www.mendeley.com/documents/?uuid=2ce3e2e0-2530-4411-8d06-036da371a949"]}],"mendeley":{"formattedCitation":"(Charalambous et al., 2012)","manualFormatting":"Charalambous et al., (2012)","plainTextFormattedCitation":"(Charalambous et al., 2012)","previouslyFormattedCitation":"(Charalambous et al., 2012)"},"properties":{"noteIndex":0},"schema":"https://github.com/citation-style-language/schema/raw/master/csl-citation.json"}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Charalambous et al., (2012)</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These obstacles indicate that students often become passive in the learning process  </w:t>
      </w:r>
      <w:r w:rsidRPr="00D93E35">
        <w:rPr>
          <w:rFonts w:ascii="Cambria" w:eastAsia="Cambria" w:hAnsi="Cambria" w:cs="Cambria"/>
          <w:sz w:val="20"/>
          <w:szCs w:val="20"/>
        </w:rPr>
        <w:fldChar w:fldCharType="begin" w:fldLock="1"/>
      </w:r>
      <w:r w:rsidRPr="00D93E35">
        <w:rPr>
          <w:rFonts w:ascii="Cambria" w:eastAsia="Cambria" w:hAnsi="Cambria" w:cs="Cambria"/>
          <w:sz w:val="20"/>
          <w:szCs w:val="20"/>
        </w:rPr>
        <w:instrText>ADDIN CSL_CITATION {"citationItems":[{"id":"ITEM-1","itemData":{"DOI":"10.1016/j.teln.2023.09.015","ISSN":"15573087","author":[{"dropping-particle":"","family":"Chan","given":"Mei Ling Alice","non-dropping-particle":"","parse-names":false,"suffix":""},{"dropping-particle":"","family":"Lee","given":"Po-Man Natalie","non-dropping-particle":"","parse-names":false,"suffix":""},{"dropping-particle":"","family":"Wong","given":"Mei Fung Florence","non-dropping-particle":"","parse-names":false,"suffix":""}],"container-title":"Teaching and Learning in Nursing","id":"ITEM-1","issue":"1","issued":{"date-parts":[["2024","1"]]},"page":"e106-e112","title":"Impact of coronavirus pandemic to cultivate self-discipline and self-directed learning in junior nurse students through high-fidelity simulation: a descriptive qualitative study","type":"article-journal","volume":"19"},"uris":["http://www.mendeley.com/documents/?uuid=ee7c66d1-f0c2-41a7-838c-960db8c07d53"]}],"mendeley":{"formattedCitation":"(Chan et al., 2024)","manualFormatting":"(Chan et al., 2024 ; Tanimura et al., 2023)","plainTextFormattedCitation":"(Chan et al., 2024)","previouslyFormattedCitation":"(Chan et al., 2024)"},"properties":{"noteIndex":0},"schema":"https://github.com/citation-style-language/schema/raw/master/csl-citation.json"}</w:instrText>
      </w:r>
      <w:r w:rsidRPr="00D93E35">
        <w:rPr>
          <w:rFonts w:ascii="Cambria" w:eastAsia="Cambria" w:hAnsi="Cambria" w:cs="Cambria"/>
          <w:sz w:val="20"/>
          <w:szCs w:val="20"/>
        </w:rPr>
        <w:fldChar w:fldCharType="separate"/>
      </w:r>
      <w:hyperlink r:id="rId31" w:history="1">
        <w:r w:rsidRPr="00D93E35">
          <w:rPr>
            <w:rStyle w:val="Hyperlink"/>
            <w:rFonts w:ascii="Cambria" w:eastAsia="Cambria" w:hAnsi="Cambria" w:cs="Cambria"/>
            <w:noProof/>
            <w:sz w:val="20"/>
            <w:szCs w:val="20"/>
          </w:rPr>
          <w:t xml:space="preserve">(Chan et al., 2024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nedt.2023.105872","ISSN":"02606917","author":[{"dropping-particle":"","family":"Tanimura","given":"Chika","non-dropping-particle":"","parse-names":false,"suffix":""},{"dropping-particle":"","family":"Okuda","given":"Reiko","non-dropping-particle":"","parse-names":false,"suffix":""},{"dropping-particle":"","family":"Tokushima","given":"Yasuko","non-dropping-particle":"","parse-names":false,"suffix":""},{"dropping-particle":"","family":"Matsumoto","given":"Yuka","non-dropping-particle":"","parse-names":false,"suffix":""},{"dropping-particle":"","family":"Katou","given":"Sayaka","non-dropping-particle":"","parse-names":false,"suffix":""},{"dropping-particle":"","family":"Miyoshi","given":"Masayuki","non-dropping-particle":"","parse-names":false,"suffix":""},{"dropping-particle":"","family":"Oshima","given":"Asami","non-dropping-particle":"","parse-names":false,"suffix":""},{"dropping-particle":"","family":"Yoshimura","given":"Junko","non-dropping-particle":"","parse-names":false,"suffix":""},{"dropping-particle":"","family":"Fukada","given":"Mika","non-dropping-particle":"","parse-names":false,"suffix":""},{"dropping-particle":"","family":"Sasaki","given":"Kumiko","non-dropping-particle":"","parse-names":false,"suffix":""},{"dropping-particle":"","family":"Matsuura","given":"Haruyo","non-dropping-particle":"","parse-names":false,"suffix":""},{"dropping-particle":"","family":"Ueki","given":"Masaru","non-dropping-particle":"","parse-names":false,"suffix":""}],"container-title":"Nurse Education Today","id":"ITEM-1","issued":{"date-parts":[["2023","9"]]},"page":"105872","title":"Examining the reliability and validity of a self-regulated learning strategy scale for undergraduate nursing students and effective factors of self-regulated learning strategies","type":"article-journal","volume":"128"},"uris":["http://www.mendeley.com/documents/?uuid=091f8765-8e84-467d-a41e-33eea17d2840"]}],"mendeley":{"formattedCitation":"(Tanimura et al., 2023)","manualFormatting":"Tanimura et al., 2023)","plainTextFormattedCitation":"(Tanimura et al., 2023)","previouslyFormattedCitation":"(Tanimura et al., 2023)"},"properties":{"noteIndex":0},"schema":"https://github.com/citation-style-language/schema/raw/master/csl-citation.json"}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Tanimura et al., 2023)</w:t>
        </w:r>
        <w:r w:rsidRPr="00D93E35">
          <w:rPr>
            <w:rStyle w:val="Hyperlink"/>
            <w:rFonts w:ascii="Cambria" w:eastAsia="Cambria" w:hAnsi="Cambria" w:cs="Cambria"/>
            <w:noProof/>
            <w:sz w:val="20"/>
            <w:szCs w:val="20"/>
          </w:rPr>
          <w:fldChar w:fldCharType="end"/>
        </w:r>
      </w:hyperlink>
      <w:r w:rsidRPr="00D93E35">
        <w:rPr>
          <w:rFonts w:ascii="Cambria" w:eastAsia="Cambria" w:hAnsi="Cambria" w:cs="Cambria"/>
          <w:sz w:val="20"/>
          <w:szCs w:val="20"/>
        </w:rPr>
        <w:fldChar w:fldCharType="end"/>
      </w:r>
      <w:r w:rsidRPr="00D93E35">
        <w:rPr>
          <w:rFonts w:ascii="Cambria" w:eastAsia="Cambria" w:hAnsi="Cambria" w:cs="Cambria"/>
          <w:sz w:val="20"/>
          <w:szCs w:val="20"/>
        </w:rPr>
        <w:t xml:space="preserve"> . Some of the factors identified as causing the problem include teachers' limited understanding of various Indonesian learning strategies, students' lack of interest in reading texts, inadequate school facilities, and lack of </w:t>
      </w:r>
      <w:r w:rsidRPr="00D93E35">
        <w:rPr>
          <w:rFonts w:ascii="Cambria" w:eastAsia="Cambria" w:hAnsi="Cambria" w:cs="Cambria"/>
          <w:sz w:val="20"/>
          <w:szCs w:val="20"/>
        </w:rPr>
        <w:lastRenderedPageBreak/>
        <w:t xml:space="preserve">encouragement from schools to promote reading activities. To evaluate the success of learning, a passing grade is set with a Minimum Completion Criteria (KKM) score limit, which usually stands at 65%. However, research conducted at SDN 15 </w:t>
      </w:r>
      <w:proofErr w:type="spellStart"/>
      <w:r w:rsidRPr="00D93E35">
        <w:rPr>
          <w:rFonts w:ascii="Cambria" w:eastAsia="Cambria" w:hAnsi="Cambria" w:cs="Cambria"/>
          <w:sz w:val="20"/>
          <w:szCs w:val="20"/>
        </w:rPr>
        <w:t>Melayang</w:t>
      </w:r>
      <w:proofErr w:type="spellEnd"/>
      <w:r w:rsidRPr="00D93E35">
        <w:rPr>
          <w:rFonts w:ascii="Cambria" w:eastAsia="Cambria" w:hAnsi="Cambria" w:cs="Cambria"/>
          <w:sz w:val="20"/>
          <w:szCs w:val="20"/>
        </w:rPr>
        <w:t xml:space="preserve">, </w:t>
      </w:r>
      <w:proofErr w:type="spellStart"/>
      <w:r w:rsidRPr="00D93E35">
        <w:rPr>
          <w:rFonts w:ascii="Cambria" w:eastAsia="Cambria" w:hAnsi="Cambria" w:cs="Cambria"/>
          <w:sz w:val="20"/>
          <w:szCs w:val="20"/>
        </w:rPr>
        <w:t>Sintang</w:t>
      </w:r>
      <w:proofErr w:type="spellEnd"/>
      <w:r w:rsidRPr="00D93E35">
        <w:rPr>
          <w:rFonts w:ascii="Cambria" w:eastAsia="Cambria" w:hAnsi="Cambria" w:cs="Cambria"/>
          <w:sz w:val="20"/>
          <w:szCs w:val="20"/>
        </w:rPr>
        <w:t xml:space="preserve"> district, showed that 60% of students scored below the KKM, indicating that 12 out of 21 students were below the expected standard, with only half of the students achieving or exceeding the KKM. Defining reading comprehension as a complex intellectual process that involves two main abilities, namely understanding the meaning of words and the ability to </w:t>
      </w:r>
      <w:proofErr w:type="spellStart"/>
      <w:r w:rsidRPr="00D93E35">
        <w:rPr>
          <w:rFonts w:ascii="Cambria" w:eastAsia="Cambria" w:hAnsi="Cambria" w:cs="Cambria"/>
          <w:sz w:val="20"/>
          <w:szCs w:val="20"/>
        </w:rPr>
        <w:t>analyze</w:t>
      </w:r>
      <w:proofErr w:type="spellEnd"/>
      <w:r w:rsidRPr="00D93E35">
        <w:rPr>
          <w:rFonts w:ascii="Cambria" w:eastAsia="Cambria" w:hAnsi="Cambria" w:cs="Cambria"/>
          <w:sz w:val="20"/>
          <w:szCs w:val="20"/>
        </w:rPr>
        <w:t xml:space="preserve"> verbal concepts, furthermore, </w:t>
      </w:r>
      <w:hyperlink r:id="rId32"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neuropsychologia.2022.108427","ISSN":"00283932","author":[{"dropping-particle":"","family":"Rahimi","given":"Vida","non-dropping-particle":"","parse-names":false,"suffix":""},{"dropping-particle":"","family":"Mohammadkhani","given":"Ghassem","non-dropping-particle":"","parse-names":false,"suffix":""},{"dropping-particle":"","family":"Alaghband Rad","given":"Javad","non-dropping-particle":"","parse-names":false,"suffix":""},{"dropping-particle":"","family":"Mousavi","given":"Seyyedeh Zohre","non-dropping-particle":"","parse-names":false,"suffix":""},{"dropping-particle":"","family":"Khalili","given":"Mohammad Ehsan","non-dropping-particle":"","parse-names":false,"suffix":""}],"container-title":"Neuropsychologia","id":"ITEM-1","issued":{"date-parts":[["2022","12"]]},"page":"108427","title":"Modulation of auditory temporal processing, speech in noise perception, auditory-verbal memory, and reading efficiency by anodal tDCS in children with dyslexia","type":"article-journal","volume":"177"},"uris":["http://www.mendeley.com/documents/?uuid=b754d526-fb45-420d-a845-003b0df5b041"]}],"mendeley":{"formattedCitation":"(Rahimi et al., 2022)","manualFormatting":"(Rahimi et al., 2022 ; Inoue, 2023)","plainTextFormattedCitation":"(Rahimi et al., 2022)","previouslyFormattedCitation":"(Rahimi et al., 2022)"},"properties":{"noteIndex":0},"schema":"https://github.com/citation-style-language/schema/raw/master/csl-citation.json"}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(Rahimi et al., 2022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{"citationItems":[{"id":"ITEM-1","itemData":{"DOI":"10.1016/j.langsci.2023.101582","ISSN":"03880001","author":[{"dropping-particle":"","family":"Inoue","given":"Takuya","non-dropping-particle":"","parse-names":false,"suffix":""}],"container-title":"Language Sciences","id":"ITEM-1","issued":{"date-parts":[["2023","11"]]},"page":"101582","title":"Toward an ecological model of language: from cognitive linguistics to ecological semantics","type":"article-journal","volume":"100"},"uris":["http://www.mendeley.com/documents/?uuid=45a175ee-4b73-4bd5-aeb8-2597a227d656"]}],"mendeley":{"formattedCitation":"(Inoue, 2023)","manualFormatting":"Inoue, 2023)","plainTextFormattedCitation":"(Inoue, 2023)","previouslyFormattedCitation":"(Inoue, 2023)"},"properties":{"noteIndex":0},"schema":"https://github.com/citation-style-language/schema/raw/master/csl-citation.json"}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Inoue, 2023)</w:t>
        </w:r>
        <w:r w:rsidRPr="00D93E35">
          <w:rPr>
            <w:rStyle w:val="Hyperlink"/>
            <w:rFonts w:ascii="Cambria" w:eastAsia="Cambria" w:hAnsi="Cambria" w:cs="Cambria"/>
            <w:noProof/>
            <w:sz w:val="20"/>
            <w:szCs w:val="20"/>
          </w:rPr>
          <w:fldChar w:fldCharType="end"/>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states that reading comprehension involves various types of reading, including understanding literary standards or norms, providing critical reviews, interpreting printed drama, and </w:t>
      </w:r>
      <w:proofErr w:type="spellStart"/>
      <w:r w:rsidRPr="00D93E35">
        <w:rPr>
          <w:rFonts w:ascii="Cambria" w:eastAsia="Cambria" w:hAnsi="Cambria" w:cs="Cambria"/>
          <w:sz w:val="20"/>
          <w:szCs w:val="20"/>
        </w:rPr>
        <w:t>analyzing</w:t>
      </w:r>
      <w:proofErr w:type="spellEnd"/>
      <w:r w:rsidRPr="00D93E35">
        <w:rPr>
          <w:rFonts w:ascii="Cambria" w:eastAsia="Cambria" w:hAnsi="Cambria" w:cs="Cambria"/>
          <w:sz w:val="20"/>
          <w:szCs w:val="20"/>
        </w:rPr>
        <w:t xml:space="preserve"> fictional patterns.  </w:t>
      </w:r>
    </w:p>
    <w:p w:rsidR="00A32FC3" w:rsidRPr="00D93E35" w:rsidRDefault="00A32FC3" w:rsidP="00A32FC3">
      <w:pPr>
        <w:ind w:firstLine="720"/>
        <w:jc w:val="both"/>
      </w:pPr>
      <w:r w:rsidRPr="00D93E35">
        <w:rPr>
          <w:rFonts w:ascii="Cambria" w:eastAsia="Cambria" w:hAnsi="Cambria" w:cs="Cambria"/>
          <w:sz w:val="20"/>
          <w:szCs w:val="20"/>
        </w:rPr>
        <w:t xml:space="preserve">According to research conducted, concept maps are considered as visual representations of knowledge that have the potential to enhance individual understanding in a structured and meaningful way </w:t>
      </w:r>
      <w:hyperlink r:id="rId33"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{"citationItems":[{"id":"ITEM-1","itemData":{"DOI":"10.1016/j.eswa.2023.121232","ISSN":"09574174","author":[{"dropping-particle":"","family":"Kumbure","given":"Mahinda Mailagaha","non-dropping-particle":"","parse-names":false,"suffix":""},{"dropping-particle":"","family":"Tarkiainen","given":"Anssi","non-dropping-particle":"","parse-names":false,"suffix":""},{"dropping-particle":"","family":"Stoklasa","given":"Jan","non-dropping-particle":"","parse-names":false,"suffix":""},{"dropping-particle":"","family":"Luukka","given":"Pasi","non-dropping-particle":"","parse-names":false,"suffix":""},{"dropping-particle":"","family":"Jantunen","given":"Ari","non-dropping-particle":"","parse-names":false,"suffix":""}],"container-title":"Expert Systems with Applications","id":"ITEM-1","issued":{"date-parts":[["2024","2"]]},"page":"121232","title":"Causal maps in the analysis and unsupervised assessment of the development of expert knowledge: Quantification of the learning effects for knowledge management purposes","type":"article-journal","volume":"236"},"uris":["http://www.mendeley.com/documents/?uuid=1ca9247b-abb3-46ff-bbd9-3c0c70e1e928"]}],"mendeley":{"formattedCitation":"(Kumbure et al., 2024)","manualFormatting":"(Kumbure et al., 2024 ; Zhou et al., 2024)","plainTextFormattedCitation":"(Kumbure et al., 2024)","previouslyFormattedCitation":"(Kumbure et al., 2024)"},"properties":{"noteIndex":0},"schema":"https://github.com/citation-style-language/schema/raw/master/csl-citation.json"}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(Kumbure et al., 2024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cognition.2023.105711","ISSN":"00100277","author":[{"dropping-particle":"","family":"Zhou","given":"Yanli","non-dropping-particle":"","parse-names":false,"suffix":""},{"dropping-particle":"","family":"Feinman","given":"Reuben","non-dropping-particle":"","parse-names":false,"suffix":""},{"dropping-particle":"","family":"Lake","given":"Brenden M.","non-dropping-particle":"","parse-names":false,"suffix":""}],"container-title":"Cognition","id":"ITEM-1","issued":{"date-parts":[["2024","3"]]},"page":"105711","title":"Compositional diversity in visual concept learning","type":"article-journal","volume":"244"},"uris":["http://www.mendeley.com/documents/?uuid=4c79cfd4-b049-4f89-9769-0b7b57fe357e"]}],"mendeley":{"formattedCitation":"(Zhou et al., 2024)","manualFormatting":"Zhou et al., 2024)","plainTextFormattedCitation":"(Zhou et al., 2024)","previouslyFormattedCitation":"(Zhou et al., 2024)"},"properties":{"noteIndex":0},"schema":"https://github.com/citation-style-language/schema/raw/master/csl-citation.json"}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Zhou et al., 2024)</w:t>
        </w:r>
        <w:r w:rsidRPr="00D93E35">
          <w:rPr>
            <w:rStyle w:val="Hyperlink"/>
            <w:rFonts w:ascii="Cambria" w:eastAsia="Cambria" w:hAnsi="Cambria" w:cs="Cambria"/>
            <w:noProof/>
            <w:sz w:val="20"/>
            <w:szCs w:val="20"/>
          </w:rPr>
          <w:fldChar w:fldCharType="end"/>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t>.</w:t>
        </w:r>
      </w:hyperlink>
      <w:r w:rsidRPr="00D93E35">
        <w:rPr>
          <w:rFonts w:ascii="Cambria" w:eastAsia="Cambria" w:hAnsi="Cambria" w:cs="Cambria"/>
          <w:sz w:val="20"/>
          <w:szCs w:val="20"/>
        </w:rPr>
        <w:t xml:space="preserve"> Through meaningful learning, new information can be integrated into an individual's cognitive structure, which in turn results in more organized learning  </w:t>
      </w:r>
      <w:hyperlink r:id="rId34"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compedu.2024.105016","ISSN":"03601315","author":[{"dropping-particle":"","family":"Kong","given":"Siu-Cheung","non-dropping-particle":"","parse-names":false,"suffix":""},{"dropping-particle":"","family":"Wang","given":"Yi-Qing","non-dropping-particle":"","parse-names":false,"suffix":""}],"container-title":"Computers &amp; Education","id":"ITEM-1","issued":{"date-parts":[["2024","7"]]},"page":"105016","title":"The impact of school support for professional development on teachers' adoption of student-centered pedagogy, students’ cognitive learning and abilities: A three-level analysis","type":"article-journal","volume":"215"},"uris":["http://www.mendeley.com/documents/?uuid=6a85805f-2e37-4272-81b2-235a8d3e852d"]}],"mendeley":{"formattedCitation":"(Kong &amp; Wang, 2024)","manualFormatting":"(Kong &amp; Wang, 2024 ; ","plainTextFormattedCitation":"(Kong &amp; Wang, 2024)","previouslyFormattedCitation":"(Kong &amp; Wang, 2024)"},"properties":{"noteIndex":0},"schema":"https://github.com/citation-style-language/schema/raw/master/csl-citation.json"}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(Kong &amp; Wang, 2024 ; </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cie.2018.04.027","ISSN":"03608352","author":[{"dropping-particle":"","family":"Shayan","given":"Ali","non-dropping-particle":"","parse-names":false,"suffix":""},{"dropping-particle":"","family":"Elahi","given":"Shaban","non-dropping-particle":"","parse-names":false,"suffix":""},{"dropping-particle":"","family":"Ghazinoory","given":"Sepehr","non-dropping-particle":"","parse-names":false,"suffix":""},{"dropping-particle":"","family":"Hoseini","given":"Seyed Hamid Khodadad","non-dropping-particle":"","parse-names":false,"suffix":""}],"container-title":"Computers &amp; Industrial Engineering","id":"ITEM-1","issued":{"date-parts":[["2018","9"]]},"page":"314-324","title":"Designing a model for learning self-organized innovation network: Using embedded case studies","type":"article-journal","volume":"123"},"uris":["http://www.mendeley.com/documents/?uuid=772d7af7-2701-4f88-98d1-cb46d9af42d2"]}],"mendeley":{"formattedCitation":"(Shayan et al., 2018)","manualFormatting":"Shayan et al., 2018)","plainTextFormattedCitation":"(Shayan et al., 2018)","previouslyFormattedCitation":"(Shayan et al., 2018)"},"properties":{"noteIndex":0},"schema":"https://github.com/citation-style-language/schema/raw/master/csl-citation.json"}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Shayan et al., 2018)</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Based on this concept, the researcher aims to develop grammar teaching materials that aim to improve reading comprehension in grade five elementary school students. Significant research highlights that to promote progress in reading comprehension for all students, more than just the provision of rich texts is needed. A purposeful, strategic and diligent approach to reading instruction is required  </w:t>
      </w:r>
      <w:hyperlink r:id="rId35"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{"citationItems":[{"id":"ITEM-1","itemData":{"DOI":"10.1016/j.xjep.2023.100649","ISSN":"24054526","author":[{"dropping-particle":"","family":"Carvalho","given":"Katherine","non-dropping-particle":"","parse-names":false,"suffix":""}],"container-title":"Journal of Interprofessional Education &amp; Practice","id":"ITEM-1","issued":{"date-parts":[["2023","9"]]},"page":"100649","title":"Exploring a social pragmatic approach to overcoming barriers to interprofessional communication and across functional boundaries: A qualitative case study","type":"article-journal","volume":"32"},"uris":["http://www.mendeley.com/documents/?uuid=1f035cbf-dd9c-4da3-a423-12f18dfc7dec"]}],"mendeley":{"formattedCitation":"(Carvalho, 2023)","plainTextFormattedCitation":"(Carvalho, 2023)","previouslyFormattedCitation":"(Carvalho, 2023)"},"properties":{"noteIndex":0},"schema":"https://github.com/citation-style-language/schema/raw/master/csl-citation.json"}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(Carvalho, 2023)</w:t>
        </w:r>
        <w:r w:rsidRPr="00D93E35">
          <w:rPr>
            <w:rStyle w:val="Hyperlink"/>
            <w:rFonts w:ascii="Cambria" w:eastAsia="Cambria" w:hAnsi="Cambria" w:cs="Cambria"/>
            <w:sz w:val="20"/>
            <w:szCs w:val="20"/>
          </w:rPr>
          <w:fldChar w:fldCharType="end"/>
        </w:r>
        <w:r w:rsidRPr="00D93E35">
          <w:rPr>
            <w:rStyle w:val="Hyperlink"/>
            <w:rFonts w:ascii="Cambria" w:eastAsia="Cambria" w:hAnsi="Cambria" w:cs="Cambria"/>
            <w:sz w:val="20"/>
            <w:szCs w:val="20"/>
          </w:rPr>
          <w:t>.</w:t>
        </w:r>
      </w:hyperlink>
      <w:r w:rsidRPr="00D93E35">
        <w:t xml:space="preserve"> </w:t>
      </w:r>
    </w:p>
    <w:p w:rsidR="00A32FC3" w:rsidRDefault="00A32FC3" w:rsidP="00A32FC3">
      <w:pPr>
        <w:ind w:firstLine="720"/>
        <w:jc w:val="both"/>
        <w:rPr>
          <w:rFonts w:ascii="Cambria" w:eastAsia="Cambria" w:hAnsi="Cambria" w:cs="Cambria"/>
          <w:sz w:val="20"/>
          <w:szCs w:val="20"/>
        </w:rPr>
      </w:pPr>
      <w:r w:rsidRPr="00942952">
        <w:rPr>
          <w:rFonts w:ascii="Cambria" w:eastAsia="Cambria" w:hAnsi="Cambria" w:cs="Cambria"/>
          <w:sz w:val="20"/>
          <w:szCs w:val="20"/>
        </w:rPr>
        <w:t xml:space="preserve">Reading motivation is a key factor that greatly influences reading success in children </w:t>
      </w:r>
      <w:hyperlink r:id="rId36"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poetic.2023.101828","ISSN":"0304422X","author":[{"dropping-particle":"","family":"Hek","given":"Margriet","non-dropping-particle":"van","parse-names":false,"suffix":""},{"dropping-particle":"","family":"Kraaykamp","given":"Gerbert","non-dropping-particle":"","parse-names":false,"suffix":""}],"container-title":"Poetics","id":"ITEM-1","issued":{"date-parts":[["2023","12"]]},"page":"101828","title":"Why Jane likes to read and John does not. How parents and schools stimulate girls’ and boys’ intrinsic reading motivation","type":"article-journal","volume":"101"},"uris":["http://www.mendeley.com/documents/?uuid=611ef19e-5fe0-48dd-9365-ac7ac3a0ce60"]}],"mendeley":{"formattedCitation":"(van Hek &amp; Kraaykamp, 2023)","manualFormatting":"van Hek &amp; Kraaykamp, (2023)","plainTextFormattedCitation":"(van Hek &amp; Kraaykamp, 2023)","previouslyFormattedCitation":"(van Hek &amp; Kraaykamp, 2023)"},"properties":{"noteIndex":0},"schema":"https://github.com/citation-style-language/schema/raw/master/csl-citation.json"}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van Hek &amp; Kraaykamp, (2023)</w:t>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This has been proven in the context of countries such as Norway, where cultural and educational factors, as reflected in the establishment of SELM (Self-Directed Learning Model), play a significant role  </w:t>
      </w:r>
      <w:r w:rsidRPr="00D93E35">
        <w:rPr>
          <w:rFonts w:ascii="Cambria" w:eastAsia="Cambria" w:hAnsi="Cambria" w:cs="Cambria"/>
          <w:sz w:val="20"/>
          <w:szCs w:val="20"/>
        </w:rPr>
        <w:fldChar w:fldCharType="begin" w:fldLock="1"/>
      </w:r>
      <w:r w:rsidRPr="00D93E35">
        <w:rPr>
          <w:rFonts w:ascii="Cambria" w:eastAsia="Cambria" w:hAnsi="Cambria" w:cs="Cambria"/>
          <w:sz w:val="20"/>
          <w:szCs w:val="20"/>
        </w:rPr>
        <w:instrText>ADDIN CSL_CITATION {"citationItems":[{"id":"ITEM-1","itemData":{"DOI":"10.1016/j.tate.2022.103825","ISSN":"0742051X","author":[{"dropping-particle":"","family":"Chalkley","given":"Anna E.","non-dropping-particle":"","parse-names":false,"suffix":""},{"dropping-particle":"","family":"Mandelid","given":"Mathias B.","non-dropping-particle":"","parse-names":false,"suffix":""},{"dropping-particle":"","family":"Thurston","given":"Miranda","non-dropping-particle":"","parse-names":false,"suffix":""},{"dropping-particle":"","family":"Daly-Smith","given":"Andrew","non-dropping-particle":"","parse-names":false,"suffix":""},{"dropping-particle":"","family":"Singh","given":"Amika","non-dropping-particle":"","parse-names":false,"suffix":""},{"dropping-particle":"","family":"Huiberts","given":"Irma","non-dropping-particle":"","parse-names":false,"suffix":""},{"dropping-particle":"","family":"Archbold","given":"Victoria S.J.","non-dropping-particle":"","parse-names":false,"suffix":""},{"dropping-particle":"","family":"Resaland","given":"Geir K.","non-dropping-particle":"","parse-names":false,"suffix":""},{"dropping-particle":"","family":"Tjomsland","given":"Hege E.","non-dropping-particle":"","parse-names":false,"suffix":""}],"container-title":"Teaching and Teacher Education","id":"ITEM-1","issued":{"date-parts":[["2022","10"]]},"page":"103825","title":"“Go beyond your own comfort zone and challenge yourself”: A comparison on the use of physically active learning in Norway, the Netherlands and the UK","type":"article-journal","volume":"118"},"uris":["http://www.mendeley.com/documents/?uuid=780831fb-e7da-4917-8c74-51ebbbc18519"]}],"mendeley":{"formattedCitation":"(Chalkley et al., 2022)","manualFormatting":"(Chalkley et al., 2022 ; Berg et al., 2023)","plainTextFormattedCitation":"(Chalkley et al., 2022)","previouslyFormattedCitation":"(Chalkley et al., 2022)"},"properties":{"noteIndex":0},"schema":"https://github.com/citation-style-language/schema/raw/master/csl-citation.json"}</w:instrText>
      </w:r>
      <w:r w:rsidRPr="00D93E35">
        <w:rPr>
          <w:rFonts w:ascii="Cambria" w:eastAsia="Cambria" w:hAnsi="Cambria" w:cs="Cambria"/>
          <w:sz w:val="20"/>
          <w:szCs w:val="20"/>
        </w:rPr>
        <w:fldChar w:fldCharType="separate"/>
      </w:r>
      <w:hyperlink r:id="rId37" w:history="1">
        <w:r w:rsidRPr="00D93E35">
          <w:rPr>
            <w:rStyle w:val="Hyperlink"/>
            <w:rFonts w:ascii="Cambria" w:eastAsia="Cambria" w:hAnsi="Cambria" w:cs="Cambria"/>
            <w:noProof/>
            <w:sz w:val="20"/>
            <w:szCs w:val="20"/>
          </w:rPr>
          <w:t xml:space="preserve">(Chalkley et al., 2022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{"citationItems":[{"id":"ITEM-1","itemData":{"DOI":"10.1016/j.tate.2023.104041","ISSN":"0742051X","author":[{"dropping-particle":"","family":"Berg","given":"David A.G.","non-dropping-particle":"","parse-names":false,"suffix":""},{"dropping-particle":"","family":"Skaalvik","given":"Einar M.","non-dropping-particle":"","parse-names":false,"suffix":""},{"dropping-particle":"","family":"Asil","given":"Mustafa","non-dropping-particle":"","parse-names":false,"suffix":""},{"dropping-particle":"","family":"Hill","given":"Mary F.","non-dropping-particle":"","parse-names":false,"suffix":""},{"dropping-particle":"","family":"Uthus","given":"Marit","non-dropping-particle":"","parse-names":false,"suffix":""},{"dropping-particle":"","family":"Tangen","given":"Truls N.","non-dropping-particle":"","parse-names":false,"suffix":""},{"dropping-particle":"","family":"Smith","given":"Jeffrey K.","non-dropping-particle":"","parse-names":false,"suffix":""}],"container-title":"Teaching and Teacher Education","id":"ITEM-1","issued":{"date-parts":[["2023","4"]]},"page":"104041","title":"Teacher self-efficacy and reasons for choosing initial teacher education programmes in Norway and New Zealand","type":"article-journal","volume":"125"},"uris":["http://www.mendeley.com/documents/?uuid=d88cc32c-a9f0-487b-ab1b-1c3e9349bd20"]}],"mendeley":{"formattedCitation":"(Berg et al., 2023)","manualFormatting":"Berg et al., 2023)","plainTextFormattedCitation":"(Berg et al., 2023)","previouslyFormattedCitation":"(Berg et al., 2023)"},"properties":{"noteIndex":0},"schema":"https://github.com/citation-style-language/schema/raw/master/csl-citation.json"}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Berg et al., 2023)</w:t>
        </w:r>
        <w:r w:rsidRPr="00D93E35">
          <w:rPr>
            <w:rStyle w:val="Hyperlink"/>
            <w:rFonts w:ascii="Cambria" w:eastAsia="Cambria" w:hAnsi="Cambria" w:cs="Cambria"/>
            <w:noProof/>
            <w:sz w:val="20"/>
            <w:szCs w:val="20"/>
          </w:rPr>
          <w:fldChar w:fldCharType="end"/>
        </w:r>
      </w:hyperlink>
      <w:r w:rsidRPr="00D93E35">
        <w:rPr>
          <w:rFonts w:ascii="Cambria" w:eastAsia="Cambria" w:hAnsi="Cambria" w:cs="Cambria"/>
          <w:sz w:val="20"/>
          <w:szCs w:val="20"/>
        </w:rPr>
        <w:fldChar w:fldCharType="end"/>
      </w:r>
      <w:r w:rsidRPr="00D93E35">
        <w:rPr>
          <w:rFonts w:ascii="Cambria" w:eastAsia="Cambria" w:hAnsi="Cambria" w:cs="Cambria"/>
          <w:sz w:val="20"/>
          <w:szCs w:val="20"/>
        </w:rPr>
        <w:t xml:space="preserve">. It is thought that most children start primary school with a keen interest in literacy, but may have limitations in reading ability  </w:t>
      </w:r>
      <w:hyperlink r:id="rId38" w:history="1">
        <w:r w:rsidRPr="00D93E35">
          <w:rPr>
            <w:rStyle w:val="Hyperlink"/>
            <w:rFonts w:ascii="Cambria" w:eastAsia="Cambria" w:hAnsi="Cambria" w:cs="Cambria"/>
            <w:sz w:val="20"/>
            <w:szCs w:val="20"/>
          </w:rPr>
          <w:fldChar w:fldCharType="begin" w:fldLock="1"/>
        </w:r>
        <w:r w:rsidRPr="00D93E35">
          <w:rPr>
            <w:rStyle w:val="Hyperlink"/>
            <w:rFonts w:ascii="Cambria" w:eastAsia="Cambria" w:hAnsi="Cambria" w:cs="Cambria"/>
            <w:sz w:val="20"/>
            <w:szCs w:val="20"/>
          </w:rPr>
          <w:instrText>ADDIN CSL_CITATION {"citationItems":[{"id":"ITEM-1","itemData":{"DOI":"10.1016/j.ridd.2022.104198","ISSN":"08914222","author":[{"dropping-particle":"","family":"Bailey","given":"Benjamin","non-dropping-particle":"","parse-names":false,"suffix":""},{"dropping-particle":"","family":"Sellwood","given":"Darryl","non-dropping-particle":"","parse-names":false,"suffix":""},{"dropping-particle":"","family":"Rillotta","given":"Fiona","non-dropping-particle":"","parse-names":false,"suffix":""},{"dropping-particle":"","family":"Raghavendra","given":"Pammi","non-dropping-particle":"","parse-names":false,"suffix":""},{"dropping-particle":"","family":"Arciuli","given":"Joanne","non-dropping-particle":"","parse-names":false,"suffix":""}],"container-title":"Research in Developmental Disabilities","id":"ITEM-1","issued":{"date-parts":[["2022","5"]]},"page":"104198","title":"A trial of online ABRACADABRA literacy instruction with supplementary parent-led shared book reading for children with autism","type":"article-journal","volume":"124"},"uris":["http://www.mendeley.com/documents/?uuid=8fccadf3-0cdd-45ed-808b-9e9c9ca89ccf"]}],"mendeley":{"formattedCitation":"(Bailey et al., 2022)","manualFormatting":"(Bailey et al., 2022 ; Rojas-Drummond et al., 2017)","plainTextFormattedCitation":"(Bailey et al., 2022)","previouslyFormattedCitation":"(Bailey et al., 2022)"},"properties":{"noteIndex":0},"schema":"https://github.com/citation-style-language/schema/raw/master/csl-citation.json"}</w:instrText>
        </w:r>
        <w:r w:rsidRPr="00D93E35">
          <w:rPr>
            <w:rStyle w:val="Hyperlink"/>
            <w:rFonts w:ascii="Cambria" w:eastAsia="Cambria" w:hAnsi="Cambria" w:cs="Cambria"/>
            <w:sz w:val="20"/>
            <w:szCs w:val="20"/>
          </w:rPr>
          <w:fldChar w:fldCharType="separate"/>
        </w:r>
        <w:r w:rsidRPr="00D93E35">
          <w:rPr>
            <w:rStyle w:val="Hyperlink"/>
            <w:rFonts w:ascii="Cambria" w:eastAsia="Cambria" w:hAnsi="Cambria" w:cs="Cambria"/>
            <w:noProof/>
            <w:sz w:val="20"/>
            <w:szCs w:val="20"/>
          </w:rPr>
          <w:t xml:space="preserve">(Bailey et al., 2022 ; </w:t>
        </w:r>
        <w:r w:rsidRPr="00D93E35">
          <w:rPr>
            <w:rStyle w:val="Hyperlink"/>
            <w:rFonts w:ascii="Cambria" w:eastAsia="Cambria" w:hAnsi="Cambria" w:cs="Cambria"/>
            <w:noProof/>
            <w:sz w:val="20"/>
            <w:szCs w:val="20"/>
          </w:rPr>
          <w:fldChar w:fldCharType="begin" w:fldLock="1"/>
        </w:r>
        <w:r w:rsidRPr="00D93E35">
          <w:rPr>
            <w:rStyle w:val="Hyperlink"/>
            <w:rFonts w:ascii="Cambria" w:eastAsia="Cambria" w:hAnsi="Cambria" w:cs="Cambria"/>
            <w:noProof/>
            <w:sz w:val="20"/>
            <w:szCs w:val="20"/>
          </w:rPr>
          <w:instrText>ADDIN CSL_CITATION {"citationItems":[{"id":"ITEM-1","itemData":{"DOI":"10.1016/j.lcsi.2016.09.005","ISSN":"22106561","author":[{"dropping-particle":"","family":"Rojas-Drummond","given":"Sylvia","non-dropping-particle":"","parse-names":false,"suffix":""},{"dropping-particle":"","family":"Maine","given":"Fiona","non-dropping-particle":"","parse-names":false,"suffix":""},{"dropping-particle":"","family":"Alarcón","given":"Mariana","non-dropping-particle":"","parse-names":false,"suffix":""},{"dropping-particle":"","family":"Trigo","given":"Ana Laura","non-dropping-particle":"","parse-names":false,"suffix":""},{"dropping-particle":"","family":"Barrera","given":"María José","non-dropping-particle":"","parse-names":false,"suffix":""},{"dropping-particle":"","family":"Mazón","given":"Nancy","non-dropping-particle":"","parse-names":false,"suffix":""},{"dropping-particle":"","family":"Vélez","given":"Maricela","non-dropping-particle":"","parse-names":false,"suffix":""},{"dropping-particle":"","family":"Hofmann","given":"Riikka","non-dropping-particle":"","parse-names":false,"suffix":""}],"container-title":"Learning, Culture and Social Interaction","id":"ITEM-1","issued":{"date-parts":[["2017","3"]]},"page":"45-62","title":"Dialogic literacy: Talking, reading and writing among primary school children","type":"article-journal","volume":"12"},"uris":["http://www.mendeley.com/documents/?uuid=d5844555-7744-472e-9b74-3a7b58000102"]}],"mendeley":{"formattedCitation":"(Rojas-Drummond et al., 2017)","manualFormatting":"Rojas-Drummond et al., 2017)","plainTextFormattedCitation":"(Rojas-Drummond et al., 2017)","previouslyFormattedCitation":"(Rojas-Drummond et al., 2017)"},"properties":{"noteIndex":0},"schema":"https://github.com/citation-style-language/schema/raw/master/csl-citation.json"}</w:instrText>
        </w:r>
        <w:r w:rsidRPr="00D93E35">
          <w:rPr>
            <w:rStyle w:val="Hyperlink"/>
            <w:rFonts w:ascii="Cambria" w:eastAsia="Cambria" w:hAnsi="Cambria" w:cs="Cambria"/>
            <w:noProof/>
            <w:sz w:val="20"/>
            <w:szCs w:val="20"/>
          </w:rPr>
          <w:fldChar w:fldCharType="separate"/>
        </w:r>
        <w:r w:rsidRPr="00D93E35">
          <w:rPr>
            <w:rStyle w:val="Hyperlink"/>
            <w:rFonts w:ascii="Cambria" w:eastAsia="Cambria" w:hAnsi="Cambria" w:cs="Cambria"/>
            <w:noProof/>
            <w:sz w:val="20"/>
            <w:szCs w:val="20"/>
          </w:rPr>
          <w:t>Rojas-Drummond et al., 2017)</w:t>
        </w:r>
        <w:r w:rsidRPr="00D93E35">
          <w:rPr>
            <w:rStyle w:val="Hyperlink"/>
            <w:rFonts w:ascii="Cambria" w:eastAsia="Cambria" w:hAnsi="Cambria" w:cs="Cambria"/>
            <w:noProof/>
            <w:sz w:val="20"/>
            <w:szCs w:val="20"/>
          </w:rPr>
          <w:fldChar w:fldCharType="end"/>
        </w:r>
        <w:r w:rsidRPr="00D93E35">
          <w:rPr>
            <w:rStyle w:val="Hyperlink"/>
            <w:rFonts w:ascii="Cambria" w:eastAsia="Cambria" w:hAnsi="Cambria" w:cs="Cambria"/>
            <w:sz w:val="20"/>
            <w:szCs w:val="20"/>
          </w:rPr>
          <w:fldChar w:fldCharType="end"/>
        </w:r>
      </w:hyperlink>
      <w:r w:rsidRPr="00D93E35">
        <w:rPr>
          <w:rFonts w:ascii="Cambria" w:eastAsia="Cambria" w:hAnsi="Cambria" w:cs="Cambria"/>
          <w:sz w:val="20"/>
          <w:szCs w:val="20"/>
        </w:rPr>
        <w:t xml:space="preserve">. </w:t>
      </w:r>
    </w:p>
    <w:p w:rsidR="005B5AEC" w:rsidRDefault="00A32FC3" w:rsidP="00A32FC3">
      <w:pPr>
        <w:pStyle w:val="Alishlah31text"/>
        <w:rPr>
          <w:rFonts w:eastAsia="SimSun"/>
          <w:spacing w:val="-2"/>
          <w:lang w:val="en-ID" w:eastAsia="zh-CN"/>
        </w:rPr>
      </w:pPr>
      <w:r w:rsidRPr="009163CA">
        <w:rPr>
          <w:rFonts w:ascii="Cambria" w:eastAsia="Cambria" w:hAnsi="Cambria" w:cs="Cambria"/>
          <w:szCs w:val="20"/>
        </w:rPr>
        <w:t>Until now, we have only found one study that investigated the correlation between progress in Self-Directed Learning and academic achievement. The study focused on students who were considered academically at-risk in grades 1 to 5. This was due to strong support from local wisdom, which positively influenced students' motivation to learn to read diligently</w:t>
      </w:r>
      <w:r w:rsidR="002B31FD" w:rsidRPr="00FF03FB">
        <w:rPr>
          <w:rFonts w:eastAsia="SimSun"/>
          <w:spacing w:val="-2"/>
          <w:lang w:val="en-ID" w:eastAsia="zh-CN"/>
        </w:rPr>
        <w:t>.</w:t>
      </w:r>
    </w:p>
    <w:p w:rsidR="00727D5A" w:rsidRDefault="00727D5A" w:rsidP="005B5AEC">
      <w:pPr>
        <w:pStyle w:val="Alishlah31text"/>
        <w:rPr>
          <w:rFonts w:eastAsia="SimSun"/>
          <w:spacing w:val="-2"/>
          <w:lang w:val="en-ID" w:eastAsia="zh-CN"/>
        </w:rPr>
      </w:pPr>
    </w:p>
    <w:p w:rsidR="005B5AEC" w:rsidRPr="00723B12" w:rsidRDefault="005B5AEC" w:rsidP="005B5AEC">
      <w:pPr>
        <w:pStyle w:val="Alishlah21heading1"/>
        <w:rPr>
          <w:rFonts w:eastAsia="Arial"/>
        </w:rPr>
      </w:pPr>
      <w:r w:rsidRPr="00723B12">
        <w:rPr>
          <w:rFonts w:eastAsia="Arial"/>
        </w:rPr>
        <w:t xml:space="preserve">METHODS </w:t>
      </w:r>
    </w:p>
    <w:p w:rsidR="00A32FC3" w:rsidRPr="00A32FC3" w:rsidRDefault="00A32FC3" w:rsidP="00A32FC3">
      <w:pPr>
        <w:spacing w:after="0" w:line="240" w:lineRule="auto"/>
        <w:ind w:firstLine="720"/>
        <w:jc w:val="both"/>
        <w:rPr>
          <w:rFonts w:ascii="Times New Roman" w:eastAsia="MS Mincho" w:hAnsi="Times New Roman" w:cs="Times New Roman"/>
          <w:sz w:val="24"/>
          <w:szCs w:val="24"/>
          <w:lang w:val="en-AU" w:eastAsia="en-ID"/>
        </w:rPr>
      </w:pPr>
      <w:r w:rsidRPr="00A32FC3">
        <w:rPr>
          <w:rFonts w:ascii="Cambria" w:eastAsia="Cambria" w:hAnsi="Cambria" w:cs="Cambria"/>
          <w:sz w:val="20"/>
          <w:szCs w:val="20"/>
          <w:lang w:val="en-AU" w:eastAsia="en-ID"/>
        </w:rPr>
        <w:t xml:space="preserve">This research falls into the category of development research or Research and Development (R&amp;D) which uses the ADDIE design </w:t>
      </w:r>
      <w:hyperlink r:id="rId39" w:history="1">
        <w:r w:rsidRPr="00A32FC3">
          <w:rPr>
            <w:rFonts w:ascii="Cambria" w:eastAsia="Cambria" w:hAnsi="Cambria" w:cs="Cambria"/>
            <w:color w:val="0000FF"/>
            <w:sz w:val="20"/>
            <w:szCs w:val="20"/>
            <w:u w:val="single"/>
            <w:lang w:val="en-AU" w:eastAsia="en-ID"/>
          </w:rPr>
          <w:fldChar w:fldCharType="begin" w:fldLock="1"/>
        </w:r>
        <w:r w:rsidRPr="00A32FC3">
          <w:rPr>
            <w:rFonts w:ascii="Cambria" w:eastAsia="Cambria" w:hAnsi="Cambria" w:cs="Cambria"/>
            <w:color w:val="0000FF"/>
            <w:sz w:val="20"/>
            <w:szCs w:val="20"/>
            <w:u w:val="single"/>
            <w:lang w:val="en-AU" w:eastAsia="en-ID"/>
          </w:rPr>
          <w:instrText>ADDIN CSL_CITATION {"citationItems":[{"id":"ITEM-1","itemData":{"DOI":"10.29303/jppipa.v9i12.5267","ISSN":"2460-2582","abstract":"Penelitian ini bertujuan untuk menghasilkan bahan ajar digital yang valid, praktis, dan efektif untuk digunakan pada mata Pelajaran Projek Kreatif dan Kewirausahaan. Juga untuk melihat minat belajar siswa menggunakan bahan ajar digital. Penelitian ini adalah penelitian research and Development (R&amp;D) yang merujuk pada model pengembangan ADDIE. Adapun subjek penelitian ini adalah siswa kelas XI Pemasaran 1 di SMK Negeri 2 Padang yang terdiri dari 30 orang siswa. Teknik analisis data yang digunakan dengan mendekripsikan kevalidan, kepraktisan, keefektifan dan melihat minat belajar siswa menggunakan bahan ajar digital. Hasil yang diperoleh dari penelitian pengembangan ini adalah bahan ajar digital sebagai sarana untuk pembelajaran yang bisa didapatkan siswa melalui barcode dan link yang disediakan. Sehingga membantu siswa dalam mengatasi permasalahan yang ada yaitu pembelajaran masih memakai buku cetak dan jumlah bukunya tidak sesuai dengan banyaknya siswa. Hasil penelitian menunjukkan bahwa pengembangan bahan ajar digital sudah memenuhi kriteria valid, praktis, dan efektif digunakan dalam pembelajaran. Hasil validasi dari ahli bahasa sebesar 97%, validasi materi sebesar 94,91% dan ahli media sebesar 87,2% masuk ke dalam kategori sangat valid. Untuk penilaian praktikalitas guru sebesar 89,17% dan praktikalitas siswa sebesar 82,06% masuk ke dalam kategori sangat praktis. Pada efektivitas sebesar 75,83% masuk ke dalam kategori efektif dapat meningkatkan hasil belajar siswa. Juga pada minat belajar siswa sebesar 87,39% masuk ke dalam kategori sangat baik. Sehingga dapat disimpulkan bahwa bahan ajar digital layak digunakan dalam pembelajaran Projek Kreatif dan Kewirausahaan.","author":[{"dropping-particle":"","family":"Yulihendri","given":"Cici","non-dropping-particle":"","parse-names":false,"suffix":""},{"dropping-particle":"","family":"Evanita","given":"Susi","non-dropping-particle":"","parse-names":false,"suffix":""}],"container-title":"Jurnal Penelitian Pendidikan IPA","id":"ITEM-1","issue":"12","issued":{"date-parts":[["2023"]]},"page":"12049-12055","title":"Pengembangan Bahan Ajar Digital Pada Mata Pelajaran Projek Kreatif","type":"article-journal","volume":"9"},"uris":["http://www.mendeley.com/documents/?uuid=4ed9bc16-a000-4c2f-85f0-273e3816c711"]}],"mendeley":{"formattedCitation":"(Yulihendri &amp; Evanita, 2023)","manualFormatting":"(Yulihendri &amp; Evanita, 2023 ; Rahayu &amp; I Gusti Ayu Tri Agustiana, 2023)","plainTextFormattedCitation":"(Yulihendri &amp; Evanita, 2023)","previouslyFormattedCitation":"(Yulihendri &amp; Evanita, 2023)"},"properties":{"noteIndex":0},"schema":"https://github.com/citation-style-language/schema/raw/master/csl-citation.json"}</w:instrText>
        </w:r>
        <w:r w:rsidRPr="00A32FC3">
          <w:rPr>
            <w:rFonts w:ascii="Cambria" w:eastAsia="Cambria" w:hAnsi="Cambria" w:cs="Cambria"/>
            <w:color w:val="0000FF"/>
            <w:sz w:val="20"/>
            <w:szCs w:val="20"/>
            <w:u w:val="single"/>
            <w:lang w:val="en-AU" w:eastAsia="en-ID"/>
          </w:rPr>
          <w:fldChar w:fldCharType="separate"/>
        </w:r>
        <w:r w:rsidRPr="00A32FC3">
          <w:rPr>
            <w:rFonts w:ascii="Cambria" w:eastAsia="Cambria" w:hAnsi="Cambria" w:cs="Cambria"/>
            <w:noProof/>
            <w:color w:val="0000FF"/>
            <w:sz w:val="20"/>
            <w:szCs w:val="20"/>
            <w:u w:val="single"/>
            <w:lang w:val="en-AU" w:eastAsia="en-ID"/>
          </w:rPr>
          <w:t xml:space="preserve">(Yulihendri &amp; Evanita, 2023 ; </w:t>
        </w:r>
        <w:r w:rsidRPr="00A32FC3">
          <w:rPr>
            <w:rFonts w:ascii="Cambria" w:eastAsia="Cambria" w:hAnsi="Cambria" w:cs="Cambria"/>
            <w:noProof/>
            <w:color w:val="0000FF"/>
            <w:sz w:val="20"/>
            <w:szCs w:val="20"/>
            <w:u w:val="single"/>
            <w:lang w:val="en-AU" w:eastAsia="en-ID"/>
          </w:rPr>
          <w:fldChar w:fldCharType="begin" w:fldLock="1"/>
        </w:r>
        <w:r w:rsidRPr="00A32FC3">
          <w:rPr>
            <w:rFonts w:ascii="Cambria" w:eastAsia="Cambria" w:hAnsi="Cambria" w:cs="Cambria"/>
            <w:noProof/>
            <w:color w:val="0000FF"/>
            <w:sz w:val="20"/>
            <w:szCs w:val="20"/>
            <w:u w:val="single"/>
            <w:lang w:val="en-AU" w:eastAsia="en-ID"/>
          </w:rPr>
          <w:instrText>ADDIN CSL_CITATION {"citationItems":[{"id":"ITEM-1","itemData":{"DOI":"10.23887/mi.v28i2.63523","ISSN":"1829-877X","abstract":"Science learning requires media to support the delivery of generally abstract material that becomes concrete. Media use is limited and less varied, so demand and student learning outcomes decrease. This study aims to develop interactive multimedia based on problem-based learning on material changes in the form of objects in grade V elementary schools that are valid, practical, and effective. This research belongs to the development research developed with the ADDIE model. The data collection methods used are questionnaires, observations, and tests. The data obtained in the study were then analyzed using qualitative and quantitative data analysis techniques. The results of development research through validity testing from material experts were 96.67%, learning design experts 94.23%, media experts 93.33%, individual trials 93.89%, and small group trials 90.55%; the practicality test of student responses was 89.12%, and the observation of the implementation of learning activities was 93.33%. The result of the effectiveness test is that there is a significant difference in students' science cognitive learning outcomes before and after using interactive multimedia based on problem-based learning, so interactive multimedia is effectively used to improve student learning outcomes. It was concluded that interactive multimedia based on problem-based learning is valid, practical, and effective when applied to natural science content material for changes in the shape of objects for fifth-grade elementary school students.","author":[{"dropping-particle":"","family":"Rahayu","given":"Ni Made Sita","non-dropping-particle":"","parse-names":false,"suffix":""},{"dropping-particle":"","family":"I Gusti Ayu Tri Agustiana","given":"","non-dropping-particle":"","parse-names":false,"suffix":""}],"container-title":"Mimbar Ilmu","id":"ITEM-1","issue":"2","issued":{"date-parts":[["2023"]]},"page":"201-212","title":"Interactive Multimedia Based on Problem Based Learning Models on Material Changes in the form of Objects","type":"article-journal","volume":"28"},"uris":["http://www.mendeley.com/documents/?uuid=622a0de6-4361-4871-8489-0b747d5bbf0d"]}],"mendeley":{"formattedCitation":"(Rahayu &amp; I Gusti Ayu Tri Agustiana, 2023)","manualFormatting":"Rahayu &amp; I Gusti Ayu Tri Agustiana, 2023)","plainTextFormattedCitation":"(Rahayu &amp; I Gusti Ayu Tri Agustiana, 2023)","previouslyFormattedCitation":"(Rahayu &amp; I Gusti Ayu Tri Agustiana, 2023)"},"properties":{"noteIndex":0},"schema":"https://github.com/citation-style-language/schema/raw/master/csl-citation.json"}</w:instrText>
        </w:r>
        <w:r w:rsidRPr="00A32FC3">
          <w:rPr>
            <w:rFonts w:ascii="Cambria" w:eastAsia="Cambria" w:hAnsi="Cambria" w:cs="Cambria"/>
            <w:noProof/>
            <w:color w:val="0000FF"/>
            <w:sz w:val="20"/>
            <w:szCs w:val="20"/>
            <w:u w:val="single"/>
            <w:lang w:val="en-AU" w:eastAsia="en-ID"/>
          </w:rPr>
          <w:fldChar w:fldCharType="separate"/>
        </w:r>
        <w:r w:rsidRPr="00A32FC3">
          <w:rPr>
            <w:rFonts w:ascii="Cambria" w:eastAsia="Cambria" w:hAnsi="Cambria" w:cs="Cambria"/>
            <w:noProof/>
            <w:color w:val="0000FF"/>
            <w:sz w:val="20"/>
            <w:szCs w:val="20"/>
            <w:u w:val="single"/>
            <w:lang w:val="en-AU" w:eastAsia="en-ID"/>
          </w:rPr>
          <w:t>Rahayu &amp; I Gusti Ayu Tri Agustiana, 2023)</w:t>
        </w:r>
        <w:r w:rsidRPr="00A32FC3">
          <w:rPr>
            <w:rFonts w:ascii="Cambria" w:eastAsia="Cambria" w:hAnsi="Cambria" w:cs="Cambria"/>
            <w:noProof/>
            <w:color w:val="0000FF"/>
            <w:sz w:val="20"/>
            <w:szCs w:val="20"/>
            <w:u w:val="single"/>
            <w:lang w:val="en-AU" w:eastAsia="en-ID"/>
          </w:rPr>
          <w:fldChar w:fldCharType="end"/>
        </w:r>
        <w:r w:rsidRPr="00A32FC3">
          <w:rPr>
            <w:rFonts w:ascii="Cambria" w:eastAsia="Cambria" w:hAnsi="Cambria" w:cs="Cambria"/>
            <w:color w:val="0000FF"/>
            <w:sz w:val="20"/>
            <w:szCs w:val="20"/>
            <w:u w:val="single"/>
            <w:lang w:val="en-AU" w:eastAsia="en-ID"/>
          </w:rPr>
          <w:fldChar w:fldCharType="end"/>
        </w:r>
      </w:hyperlink>
      <w:r w:rsidRPr="00A32FC3">
        <w:rPr>
          <w:rFonts w:ascii="Cambria" w:eastAsia="Cambria" w:hAnsi="Cambria" w:cs="Cambria"/>
          <w:sz w:val="20"/>
          <w:szCs w:val="20"/>
          <w:lang w:val="en-AU" w:eastAsia="en-ID"/>
        </w:rPr>
        <w:t xml:space="preserve">. The focus of this research is to create teaching materials in the form of Indonesian language learning modules by utilizing the Thiagarajan model with the aim of improving students' reading and critical thinking skills in elementary schools, especially for grade 4 students </w:t>
      </w:r>
      <w:proofErr w:type="spellStart"/>
      <w:r w:rsidRPr="00A32FC3">
        <w:rPr>
          <w:rFonts w:ascii="Cambria" w:eastAsia="Cambria" w:hAnsi="Cambria" w:cs="Cambria"/>
          <w:sz w:val="20"/>
          <w:szCs w:val="20"/>
          <w:lang w:val="en-AU" w:eastAsia="en-ID"/>
        </w:rPr>
        <w:t>totaling</w:t>
      </w:r>
      <w:proofErr w:type="spellEnd"/>
      <w:r w:rsidRPr="00A32FC3">
        <w:rPr>
          <w:rFonts w:ascii="Cambria" w:eastAsia="Cambria" w:hAnsi="Cambria" w:cs="Cambria"/>
          <w:sz w:val="20"/>
          <w:szCs w:val="20"/>
          <w:lang w:val="en-AU" w:eastAsia="en-ID"/>
        </w:rPr>
        <w:t xml:space="preserve"> 21 people at SDN 15 </w:t>
      </w:r>
      <w:proofErr w:type="spellStart"/>
      <w:r w:rsidRPr="00A32FC3">
        <w:rPr>
          <w:rFonts w:ascii="Cambria" w:eastAsia="Cambria" w:hAnsi="Cambria" w:cs="Cambria"/>
          <w:sz w:val="20"/>
          <w:szCs w:val="20"/>
          <w:lang w:val="en-AU" w:eastAsia="en-ID"/>
        </w:rPr>
        <w:t>Melayang</w:t>
      </w:r>
      <w:proofErr w:type="spellEnd"/>
      <w:r w:rsidRPr="00A32FC3">
        <w:rPr>
          <w:rFonts w:ascii="Cambria" w:eastAsia="Cambria" w:hAnsi="Cambria" w:cs="Cambria"/>
          <w:sz w:val="20"/>
          <w:szCs w:val="20"/>
          <w:lang w:val="en-AU" w:eastAsia="en-ID"/>
        </w:rPr>
        <w:t xml:space="preserve">, </w:t>
      </w:r>
      <w:proofErr w:type="spellStart"/>
      <w:r w:rsidRPr="00A32FC3">
        <w:rPr>
          <w:rFonts w:ascii="Cambria" w:eastAsia="Cambria" w:hAnsi="Cambria" w:cs="Cambria"/>
          <w:sz w:val="20"/>
          <w:szCs w:val="20"/>
          <w:lang w:val="en-AU" w:eastAsia="en-ID"/>
        </w:rPr>
        <w:t>Sintang</w:t>
      </w:r>
      <w:proofErr w:type="spellEnd"/>
      <w:r w:rsidRPr="00A32FC3">
        <w:rPr>
          <w:rFonts w:ascii="Cambria" w:eastAsia="Cambria" w:hAnsi="Cambria" w:cs="Cambria"/>
          <w:sz w:val="20"/>
          <w:szCs w:val="20"/>
          <w:lang w:val="en-AU" w:eastAsia="en-ID"/>
        </w:rPr>
        <w:t xml:space="preserve"> Regency. This learning model involves four stages of development known as 4-D: define, design, develop, and deploy  </w:t>
      </w:r>
      <w:r w:rsidRPr="00A32FC3">
        <w:rPr>
          <w:rFonts w:ascii="Cambria" w:eastAsia="Cambria" w:hAnsi="Cambria" w:cs="Cambria"/>
          <w:sz w:val="20"/>
          <w:szCs w:val="20"/>
          <w:lang w:val="en-AU" w:eastAsia="en-ID"/>
        </w:rPr>
        <w:fldChar w:fldCharType="begin" w:fldLock="1"/>
      </w:r>
      <w:r w:rsidRPr="00A32FC3">
        <w:rPr>
          <w:rFonts w:ascii="Cambria" w:eastAsia="Cambria" w:hAnsi="Cambria" w:cs="Cambria"/>
          <w:sz w:val="20"/>
          <w:szCs w:val="20"/>
          <w:lang w:val="en-AU" w:eastAsia="en-ID"/>
        </w:rPr>
        <w:instrText>ADDIN CSL_CITATION {"citationItems":[{"id":"ITEM-1","itemData":{"DOI":"10.21831/elinvo.v7i1.44425","ISSN":"2580-6424","abstract":"The objective of this study is to develop a mobile career learning model for electronics engineering vocational high school and reveal the feasibility of the developed mobile career learning model to develop electronics engineering vocational student's competencies. This research utilized research and development method that refers to the Holistic 4D model, includes four stages of development: define, design, develop and deploy with three levels of holistic design and an interactive cycle, namely analysis, design, and evaluation. The define stage includes the performance analysis observations and instructional needs assessment. The design stage includes the design evaluation stage which involves expert with the background of lecturers, principals, teachers, career experts, software experts and successful alumni. The develop stage involves a review of material experts and media experts as well as a limited trial involving students and teachers of electronics engineering vocational high school. The data collection used observation sheets and questionnaires that have been validated by experts. The data analysis used the descriptive method. The results of the study are as follows. (1) The developed mobile career learning model integrates vocational learning activities and career guidance by utilizing information technology in the form of mobile career learning media applications. (2) The developed mobile career learning model is feasible and can be used for career development of students with electronics engineering competence.","author":[{"dropping-particle":"","family":"Nurdianah","given":"Evi","non-dropping-particle":"","parse-names":false,"suffix":""},{"dropping-particle":"","family":"Sudira","given":"Putu","non-dropping-particle":"","parse-names":false,"suffix":""}],"container-title":"Elinvo (Electronics, Informatics, and Vocational Education)","id":"ITEM-1","issue":"1","issued":{"date-parts":[["2022"]]},"page":"27-40","title":"Developing Mobile Career Learning Model for Electronics Engineering Vocational High School","type":"article-journal","volume":"7"},"uris":["http://www.mendeley.com/documents/?uuid=af12c20f-2eeb-4f8b-950b-ed2370bb01bf"]}],"mendeley":{"formattedCitation":"(Nurdianah &amp; Sudira, 2022)","manualFormatting":"(Nurdianah &amp; Sudira, 2022 ; Alam et al., 2022)","plainTextFormattedCitation":"(Nurdianah &amp; Sudira, 2022)","previouslyFormattedCitation":"(Nurdianah &amp; Sudira, 2022)"},"properties":{"noteIndex":0},"schema":"https://github.com/citation-style-language/schema/raw/master/csl-citation.json"}</w:instrText>
      </w:r>
      <w:r w:rsidRPr="00A32FC3">
        <w:rPr>
          <w:rFonts w:ascii="Cambria" w:eastAsia="Cambria" w:hAnsi="Cambria" w:cs="Cambria"/>
          <w:sz w:val="20"/>
          <w:szCs w:val="20"/>
          <w:lang w:val="en-AU" w:eastAsia="en-ID"/>
        </w:rPr>
        <w:fldChar w:fldCharType="separate"/>
      </w:r>
      <w:hyperlink r:id="rId40" w:history="1">
        <w:r w:rsidRPr="00A32FC3">
          <w:rPr>
            <w:rFonts w:ascii="Cambria" w:eastAsia="Cambria" w:hAnsi="Cambria" w:cs="Cambria"/>
            <w:noProof/>
            <w:color w:val="0000FF"/>
            <w:sz w:val="20"/>
            <w:szCs w:val="20"/>
            <w:u w:val="single"/>
            <w:lang w:val="en-AU" w:eastAsia="en-ID"/>
          </w:rPr>
          <w:t xml:space="preserve">(Nurdianah &amp; Sudira, 2022 ; </w:t>
        </w:r>
        <w:r w:rsidRPr="00A32FC3">
          <w:rPr>
            <w:rFonts w:ascii="Cambria" w:eastAsia="Cambria" w:hAnsi="Cambria" w:cs="Cambria"/>
            <w:noProof/>
            <w:color w:val="0000FF"/>
            <w:sz w:val="20"/>
            <w:szCs w:val="20"/>
            <w:u w:val="single"/>
            <w:lang w:val="en-AU" w:eastAsia="en-ID"/>
          </w:rPr>
          <w:fldChar w:fldCharType="begin" w:fldLock="1"/>
        </w:r>
        <w:r w:rsidRPr="00A32FC3">
          <w:rPr>
            <w:rFonts w:ascii="Cambria" w:eastAsia="Cambria" w:hAnsi="Cambria" w:cs="Cambria"/>
            <w:noProof/>
            <w:color w:val="0000FF"/>
            <w:sz w:val="20"/>
            <w:szCs w:val="20"/>
            <w:u w:val="single"/>
            <w:lang w:val="en-AU" w:eastAsia="en-ID"/>
          </w:rPr>
          <w:instrText>ADDIN CSL_CITATION {"citationItems":[{"id":"ITEM-1","itemData":{"DOI":"10.21009/jtp.v24i1.24242","ISSN":"1411-2744","abstract":"The research aimed to develop interactive multimedia learning on web programming materials in Vocational High schools. This research was conducted at SMK Negeri 1 Sajingan Besar, with the research subjects were students in class XI of Software Engineering expertise competency as many as 48 students. The research method used is a 4D model consisting of four stages, namely define stage, design, develop, and disseminate. Interactive learning multimedia developed validated by three media experts with an average result of 3.9 with a category of \"valid,\" 3 material experts with an average result of 4.09 with a category of \"very valid\" and three design experts with an average score of 4.32 with a category of \"very valid.\" Developer trials with an average value of 82.9% with \"positive\" criteria. Multimedia has an initial view that contains several menus, namely material, SK-KD, Quiz, Help, About, and Download. The effectiveness of the use of interactive learning multimedia is done by looking at the responses of students and learning outcomes. The response result of 48 students was with an average score of 81.91% with the criteria \"positive.\" The average student learning outcome for pre-test was 37.33 and for post-test was 59.97, with a difference of 22.64. Based on the results of the T-test that the sig value (2-tailed) is 0.000 &lt; 0.05 and the t value counts &gt; t table, (23,778) &gt; (2.35), These results show there is a significant difference between before and after using interactive learning multimedia on web programming materials. As for the effect size test was conducted to find out the level of effectiveness in the use of interactive learning multimedia with a value of 2.83 with the category \"Strong Effect.\"","author":[{"dropping-particle":"","family":"Alam","given":"Alfikri","non-dropping-particle":"","parse-names":false,"suffix":""},{"dropping-particle":"","family":"Astuti","given":"Indri","non-dropping-particle":"","parse-names":false,"suffix":""},{"dropping-particle":"","family":"Suratman","given":"Dede","non-dropping-particle":"","parse-names":false,"suffix":""}],"container-title":"JTP - Jurnal Teknologi Pendidikan","id":"ITEM-1","issue":"1","issued":{"date-parts":[["2022"]]},"page":"50-62","title":"Development of Web Programming Interactive Learning Multimedia in Vocational Middle School","type":"article-journal","volume":"24"},"uris":["http://www.mendeley.com/documents/?uuid=b453d97a-e501-4414-9876-32afe92f0412"]}],"mendeley":{"formattedCitation":"(Alam et al., 2022)","manualFormatting":"Alam et al., 2022)","plainTextFormattedCitation":"(Alam et al., 2022)","previouslyFormattedCitation":"(Alam et al., 2022)"},"properties":{"noteIndex":0},"schema":"https://github.com/citation-style-language/schema/raw/master/csl-citation.json"}</w:instrText>
        </w:r>
        <w:r w:rsidRPr="00A32FC3">
          <w:rPr>
            <w:rFonts w:ascii="Cambria" w:eastAsia="Cambria" w:hAnsi="Cambria" w:cs="Cambria"/>
            <w:noProof/>
            <w:color w:val="0000FF"/>
            <w:sz w:val="20"/>
            <w:szCs w:val="20"/>
            <w:u w:val="single"/>
            <w:lang w:val="en-AU" w:eastAsia="en-ID"/>
          </w:rPr>
          <w:fldChar w:fldCharType="separate"/>
        </w:r>
        <w:r w:rsidRPr="00A32FC3">
          <w:rPr>
            <w:rFonts w:ascii="Cambria" w:eastAsia="Cambria" w:hAnsi="Cambria" w:cs="Cambria"/>
            <w:noProof/>
            <w:color w:val="0000FF"/>
            <w:sz w:val="20"/>
            <w:szCs w:val="20"/>
            <w:u w:val="single"/>
            <w:lang w:val="en-AU" w:eastAsia="en-ID"/>
          </w:rPr>
          <w:t>Alam et al., 2022)</w:t>
        </w:r>
        <w:r w:rsidRPr="00A32FC3">
          <w:rPr>
            <w:rFonts w:ascii="Cambria" w:eastAsia="Cambria" w:hAnsi="Cambria" w:cs="Cambria"/>
            <w:noProof/>
            <w:color w:val="0000FF"/>
            <w:sz w:val="20"/>
            <w:szCs w:val="20"/>
            <w:u w:val="single"/>
            <w:lang w:val="en-AU" w:eastAsia="en-ID"/>
          </w:rPr>
          <w:fldChar w:fldCharType="end"/>
        </w:r>
      </w:hyperlink>
      <w:r w:rsidRPr="00A32FC3">
        <w:rPr>
          <w:rFonts w:ascii="Cambria" w:eastAsia="Cambria" w:hAnsi="Cambria" w:cs="Cambria"/>
          <w:sz w:val="20"/>
          <w:szCs w:val="20"/>
          <w:lang w:val="en-AU" w:eastAsia="en-ID"/>
        </w:rPr>
        <w:fldChar w:fldCharType="end"/>
      </w:r>
      <w:r w:rsidRPr="00A32FC3">
        <w:rPr>
          <w:rFonts w:ascii="Cambria" w:eastAsia="Cambria" w:hAnsi="Cambria" w:cs="Cambria"/>
          <w:sz w:val="20"/>
          <w:szCs w:val="20"/>
          <w:lang w:val="en-AU" w:eastAsia="en-ID"/>
        </w:rPr>
        <w:t>.</w:t>
      </w:r>
      <w:r w:rsidRPr="00A32FC3">
        <w:rPr>
          <w:rFonts w:ascii="Times New Roman" w:eastAsia="MS Mincho" w:hAnsi="Times New Roman" w:cs="Times New Roman"/>
          <w:sz w:val="24"/>
          <w:szCs w:val="24"/>
          <w:lang w:val="en-AU" w:eastAsia="en-ID"/>
        </w:rPr>
        <w:t xml:space="preserve"> </w:t>
      </w:r>
    </w:p>
    <w:p w:rsidR="00A32FC3" w:rsidRPr="00A32FC3" w:rsidRDefault="00A32FC3" w:rsidP="00A32FC3">
      <w:pPr>
        <w:spacing w:after="0" w:line="240" w:lineRule="auto"/>
        <w:ind w:firstLine="720"/>
        <w:jc w:val="both"/>
        <w:rPr>
          <w:rFonts w:ascii="Cambria" w:eastAsia="Cambria" w:hAnsi="Cambria" w:cs="Cambria"/>
          <w:sz w:val="20"/>
          <w:szCs w:val="20"/>
          <w:lang w:val="en-AU" w:eastAsia="en-ID"/>
        </w:rPr>
      </w:pPr>
      <w:r w:rsidRPr="00A32FC3">
        <w:rPr>
          <w:rFonts w:ascii="Cambria" w:eastAsia="Cambria" w:hAnsi="Cambria" w:cs="Cambria"/>
          <w:sz w:val="20"/>
          <w:szCs w:val="20"/>
          <w:lang w:val="en-AU" w:eastAsia="en-ID"/>
        </w:rPr>
        <w:t xml:space="preserve">This study used the ADDIE design approach by applying </w:t>
      </w:r>
      <w:proofErr w:type="spellStart"/>
      <w:r w:rsidRPr="00A32FC3">
        <w:rPr>
          <w:rFonts w:ascii="Cambria" w:eastAsia="Cambria" w:hAnsi="Cambria" w:cs="Cambria"/>
          <w:sz w:val="20"/>
          <w:szCs w:val="20"/>
          <w:lang w:val="en-AU" w:eastAsia="en-ID"/>
        </w:rPr>
        <w:t>pretest</w:t>
      </w:r>
      <w:proofErr w:type="spellEnd"/>
      <w:r w:rsidRPr="00A32FC3">
        <w:rPr>
          <w:rFonts w:ascii="Cambria" w:eastAsia="Cambria" w:hAnsi="Cambria" w:cs="Cambria"/>
          <w:sz w:val="20"/>
          <w:szCs w:val="20"/>
          <w:lang w:val="en-AU" w:eastAsia="en-ID"/>
        </w:rPr>
        <w:t xml:space="preserve"> and post-test to evaluate students' strengths and weaknesses before and after learning. Although the research lasted for one year, only the first three stages (definition, design and development) were successfully completed, while the dissemination stage was not achieved. The scope of this research focuses on the field of education, with the main objective to develop grammar teaching materials that can improve students' reading comprehension and critical thinking skills in elementary schools. The success of the research will be assessed based on how effective the developed module can help grade 5 students and teachers in the learning process. The research variables can be grouped into two main aspects, namely: (1) the development of 5th grade learning media to improve students' reading skills, and (2) assessment criteria that include five levels: "not helpful", "less helpful", "moderately helpful", "helpful", and "very helpful". To provide an overview of the research design, diagrams or illustrations as shown in Figure 1, can be used to present information clearly and effectively.  </w:t>
      </w:r>
    </w:p>
    <w:p w:rsidR="00A32FC3" w:rsidRPr="00A32FC3" w:rsidRDefault="00A32FC3" w:rsidP="00A32FC3">
      <w:pPr>
        <w:spacing w:after="0" w:line="240" w:lineRule="auto"/>
        <w:ind w:firstLine="720"/>
        <w:jc w:val="both"/>
        <w:rPr>
          <w:rFonts w:ascii="Cambria" w:eastAsia="Cambria" w:hAnsi="Cambria" w:cs="Cambria"/>
          <w:color w:val="000000"/>
          <w:sz w:val="20"/>
          <w:szCs w:val="20"/>
          <w:lang w:val="en-AU" w:eastAsia="en-ID"/>
        </w:rPr>
      </w:pPr>
      <w:r w:rsidRPr="00A32FC3">
        <w:rPr>
          <w:rFonts w:ascii="Cambria" w:eastAsia="Cambria" w:hAnsi="Cambria" w:cs="Cambria"/>
          <w:sz w:val="20"/>
          <w:szCs w:val="20"/>
          <w:lang w:val="en-AU" w:eastAsia="en-ID"/>
        </w:rPr>
        <w:t xml:space="preserve">      </w:t>
      </w:r>
    </w:p>
    <w:p w:rsidR="00A32FC3" w:rsidRPr="00A32FC3" w:rsidRDefault="00A32FC3" w:rsidP="00A32FC3">
      <w:pPr>
        <w:spacing w:after="0" w:line="240" w:lineRule="auto"/>
        <w:jc w:val="both"/>
        <w:rPr>
          <w:rFonts w:ascii="Cambria" w:eastAsia="Cambria" w:hAnsi="Cambria" w:cs="Cambria"/>
          <w:sz w:val="20"/>
          <w:szCs w:val="20"/>
          <w:lang w:val="en-AU" w:eastAsia="en-ID"/>
        </w:rPr>
      </w:pPr>
      <w:r w:rsidRPr="00A32FC3">
        <w:rPr>
          <w:rFonts w:ascii="Times New Roman" w:eastAsia="MS Mincho" w:hAnsi="Times New Roman" w:cs="Times New Roman"/>
          <w:noProof/>
          <w:sz w:val="24"/>
          <w:szCs w:val="24"/>
          <w:lang w:val="en-AU" w:eastAsia="en-ID"/>
        </w:rPr>
        <w:lastRenderedPageBreak/>
        <w:drawing>
          <wp:anchor distT="0" distB="0" distL="114300" distR="114300" simplePos="0" relativeHeight="251659264" behindDoc="0" locked="0" layoutInCell="1" allowOverlap="1" wp14:anchorId="6F8258EA" wp14:editId="7699FECB">
            <wp:simplePos x="0" y="0"/>
            <wp:positionH relativeFrom="column">
              <wp:posOffset>861695</wp:posOffset>
            </wp:positionH>
            <wp:positionV relativeFrom="paragraph">
              <wp:posOffset>128270</wp:posOffset>
            </wp:positionV>
            <wp:extent cx="4181475" cy="3133090"/>
            <wp:effectExtent l="0" t="0" r="9525" b="0"/>
            <wp:wrapSquare wrapText="bothSides"/>
            <wp:docPr id="3" name="Picture 3" descr="tmp71015416699499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mp7101541669949931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81475" cy="31330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2FC3" w:rsidRPr="00A32FC3" w:rsidRDefault="00A32FC3" w:rsidP="00A32FC3">
      <w:pPr>
        <w:spacing w:after="0" w:line="240" w:lineRule="auto"/>
        <w:ind w:firstLine="720"/>
        <w:jc w:val="center"/>
        <w:rPr>
          <w:rFonts w:ascii="Cambria" w:eastAsia="Cambria" w:hAnsi="Cambria" w:cs="Cambria"/>
          <w:color w:val="000000"/>
          <w:sz w:val="20"/>
          <w:szCs w:val="20"/>
          <w:lang w:val="en-AU" w:eastAsia="en-ID"/>
        </w:rPr>
      </w:pPr>
      <w:r w:rsidRPr="00A32FC3">
        <w:rPr>
          <w:rFonts w:ascii="Cambria" w:eastAsia="Cambria" w:hAnsi="Cambria" w:cs="Cambria"/>
          <w:b/>
          <w:bCs/>
          <w:color w:val="000000"/>
          <w:sz w:val="20"/>
          <w:szCs w:val="20"/>
          <w:lang w:val="en-AU" w:eastAsia="en-ID"/>
        </w:rPr>
        <w:t>Figure 1</w:t>
      </w:r>
      <w:r w:rsidRPr="00A32FC3">
        <w:rPr>
          <w:rFonts w:ascii="Cambria" w:eastAsia="Cambria" w:hAnsi="Cambria" w:cs="Cambria"/>
          <w:color w:val="000000"/>
          <w:sz w:val="20"/>
          <w:szCs w:val="20"/>
          <w:lang w:val="en-AU" w:eastAsia="en-ID"/>
        </w:rPr>
        <w:t xml:space="preserve">. </w:t>
      </w:r>
      <w:r w:rsidRPr="00A32FC3">
        <w:rPr>
          <w:rFonts w:ascii="Cambria" w:eastAsia="Cambria" w:hAnsi="Cambria" w:cs="Cambria"/>
          <w:i/>
          <w:iCs/>
          <w:color w:val="000000"/>
          <w:sz w:val="20"/>
          <w:szCs w:val="20"/>
          <w:lang w:val="en-AU" w:eastAsia="en-ID"/>
        </w:rPr>
        <w:t>Stages of Adapted Product Development from the ADDIE Model</w:t>
      </w:r>
    </w:p>
    <w:p w:rsidR="00A32FC3" w:rsidRPr="00A32FC3" w:rsidRDefault="00A32FC3" w:rsidP="00A32FC3">
      <w:pPr>
        <w:spacing w:after="0" w:line="240" w:lineRule="auto"/>
        <w:ind w:firstLine="720"/>
        <w:jc w:val="center"/>
        <w:rPr>
          <w:rFonts w:ascii="Cambria" w:eastAsia="Cambria" w:hAnsi="Cambria" w:cs="Cambria"/>
          <w:color w:val="000000"/>
          <w:sz w:val="20"/>
          <w:szCs w:val="20"/>
          <w:highlight w:val="yellow"/>
          <w:lang w:val="en-AU" w:eastAsia="en-ID"/>
        </w:rPr>
      </w:pPr>
    </w:p>
    <w:p w:rsidR="00A32FC3" w:rsidRPr="00A32FC3" w:rsidRDefault="00A32FC3" w:rsidP="00A32FC3">
      <w:pPr>
        <w:spacing w:after="0" w:line="240" w:lineRule="auto"/>
        <w:ind w:firstLine="720"/>
        <w:rPr>
          <w:rFonts w:ascii="Cambria" w:eastAsia="Cambria" w:hAnsi="Cambria" w:cs="Cambria"/>
          <w:color w:val="000000"/>
          <w:sz w:val="20"/>
          <w:szCs w:val="20"/>
          <w:lang w:val="en-AU" w:eastAsia="en-ID"/>
        </w:rPr>
      </w:pPr>
      <w:r w:rsidRPr="00A32FC3">
        <w:rPr>
          <w:rFonts w:ascii="Cambria" w:eastAsia="Cambria" w:hAnsi="Cambria" w:cs="Cambria"/>
          <w:color w:val="000000"/>
          <w:sz w:val="20"/>
          <w:szCs w:val="20"/>
          <w:lang w:val="en-AU" w:eastAsia="en-ID"/>
        </w:rPr>
        <w:t xml:space="preserve">In the ADDIE research model, there are five main stages. According to Robert </w:t>
      </w:r>
      <w:proofErr w:type="spellStart"/>
      <w:r w:rsidRPr="00A32FC3">
        <w:rPr>
          <w:rFonts w:ascii="Cambria" w:eastAsia="Cambria" w:hAnsi="Cambria" w:cs="Cambria"/>
          <w:color w:val="000000"/>
          <w:sz w:val="20"/>
          <w:szCs w:val="20"/>
          <w:lang w:val="en-AU" w:eastAsia="en-ID"/>
        </w:rPr>
        <w:t>Maribe</w:t>
      </w:r>
      <w:proofErr w:type="spellEnd"/>
      <w:r w:rsidRPr="00A32FC3">
        <w:rPr>
          <w:rFonts w:ascii="Cambria" w:eastAsia="Cambria" w:hAnsi="Cambria" w:cs="Cambria"/>
          <w:color w:val="000000"/>
          <w:sz w:val="20"/>
          <w:szCs w:val="20"/>
          <w:lang w:val="en-AU" w:eastAsia="en-ID"/>
        </w:rPr>
        <w:t xml:space="preserve"> Branch </w:t>
      </w:r>
      <w:r w:rsidRPr="00A32FC3">
        <w:rPr>
          <w:rFonts w:ascii="Cambria" w:eastAsia="Cambria" w:hAnsi="Cambria" w:cs="Cambria"/>
          <w:color w:val="000000"/>
          <w:sz w:val="20"/>
          <w:szCs w:val="20"/>
          <w:lang w:val="en-AU" w:eastAsia="en-ID"/>
        </w:rPr>
        <w:fldChar w:fldCharType="begin" w:fldLock="1"/>
      </w:r>
      <w:r w:rsidRPr="00A32FC3">
        <w:rPr>
          <w:rFonts w:ascii="Cambria" w:eastAsia="Cambria" w:hAnsi="Cambria" w:cs="Cambria"/>
          <w:color w:val="000000"/>
          <w:sz w:val="20"/>
          <w:szCs w:val="20"/>
          <w:lang w:val="en-AU" w:eastAsia="en-ID"/>
        </w:rPr>
        <w:instrText>ADDIN CSL_CITATION {"citationItems":[{"id":"ITEM-1","itemData":{"DOI":"10.23887/jisd.v5i2.38072","ISSN":"2579-3276","abstract":"The development of the nation's character has not shown progress in the progress of its citizens to become more characterized. The phenomenon is that many people's behavior is not by the character imbued with the Pancasila philosophy. This study aims to analyze the program for strengthening character education based on school culture as a strengthening of the civic character of elementary school students. The method used in this research is descriptive qualitative with data collection in interviews, observations, and documentation. The data analysis technique uses the Miles and Huberman method triangulation. The results showed that the school culture-based character education program is a civic reinforcement for students by familiarizing the main character values in religion, nationalism, independence, cooperation in various school cultural activities. In addition, there is support in the implementation of character education programs as an enhancer of entrepreneurial character in Ngrukeman Yogyakarta Elementary School students, such as adequate infrastructure and teacher training. This paper concludes that the school culture-based character education program as a strengthening of the civic character of students in elementary schools can be implemented with the cooperation of various parties in the school. The recommendations in this article are to explore further the school culture-based character education program, especially in elementary schools.","author":[{"dropping-particle":"","family":"Retnasari","given":"Lisa","non-dropping-particle":"","parse-names":false,"suffix":""},{"dropping-particle":"","family":"Hidayah","given":"Yayuk","non-dropping-particle":"","parse-names":false,"suffix":""},{"dropping-particle":"","family":"Prasetyo","given":"Danang","non-dropping-particle":"","parse-names":false,"suffix":""}],"container-title":"Jurnal Ilmiah Sekolah Dasar","id":"ITEM-1","issue":"2","issued":{"date-parts":[["2021"]]},"page":"351","title":"Reinforcement of Character Education Based on School Culture to Enhancing Elementary School Students' Citizenship Character","type":"article-journal","volume":"5"},"uris":["http://www.mendeley.com/documents/?uuid=cd2dc48d-7829-4d8c-bc57-0a20ee87f7fd"]}],"mendeley":{"formattedCitation":"(Retnasari et al., 2021)","plainTextFormattedCitation":"(Retnasari et al., 2021)","previouslyFormattedCitation":"(Retnasari et al., 2021)"},"properties":{"noteIndex":0},"schema":"https://github.com/citation-style-language/schema/raw/master/csl-citation.json"}</w:instrText>
      </w:r>
      <w:r w:rsidRPr="00A32FC3">
        <w:rPr>
          <w:rFonts w:ascii="Cambria" w:eastAsia="Cambria" w:hAnsi="Cambria" w:cs="Cambria"/>
          <w:color w:val="000000"/>
          <w:sz w:val="20"/>
          <w:szCs w:val="20"/>
          <w:lang w:val="en-AU" w:eastAsia="en-ID"/>
        </w:rPr>
        <w:fldChar w:fldCharType="separate"/>
      </w:r>
      <w:hyperlink r:id="rId42" w:history="1">
        <w:r w:rsidRPr="00A32FC3">
          <w:rPr>
            <w:rFonts w:ascii="Cambria" w:eastAsia="Cambria" w:hAnsi="Cambria" w:cs="Cambria"/>
            <w:noProof/>
            <w:color w:val="0000FF"/>
            <w:sz w:val="20"/>
            <w:szCs w:val="20"/>
            <w:u w:val="single"/>
            <w:lang w:val="en-AU" w:eastAsia="en-ID"/>
          </w:rPr>
          <w:t>(Retnasari et al., 2021</w:t>
        </w:r>
      </w:hyperlink>
      <w:r w:rsidRPr="00A32FC3">
        <w:rPr>
          <w:rFonts w:ascii="Cambria" w:eastAsia="Cambria" w:hAnsi="Cambria" w:cs="Cambria"/>
          <w:noProof/>
          <w:color w:val="000000"/>
          <w:sz w:val="20"/>
          <w:szCs w:val="20"/>
          <w:lang w:val="en-AU" w:eastAsia="en-ID"/>
        </w:rPr>
        <w:t>)</w:t>
      </w:r>
      <w:r w:rsidRPr="00A32FC3">
        <w:rPr>
          <w:rFonts w:ascii="Cambria" w:eastAsia="Cambria" w:hAnsi="Cambria" w:cs="Cambria"/>
          <w:color w:val="000000"/>
          <w:sz w:val="20"/>
          <w:szCs w:val="20"/>
          <w:lang w:val="en-AU" w:eastAsia="en-ID"/>
        </w:rPr>
        <w:fldChar w:fldCharType="end"/>
      </w:r>
      <w:r w:rsidRPr="00A32FC3">
        <w:rPr>
          <w:rFonts w:ascii="Cambria" w:eastAsia="Cambria" w:hAnsi="Cambria" w:cs="Cambria"/>
          <w:color w:val="000000"/>
          <w:sz w:val="20"/>
          <w:szCs w:val="20"/>
          <w:lang w:val="en-AU" w:eastAsia="en-ID"/>
        </w:rPr>
        <w:t xml:space="preserve">, these five main stages can be divided into 21 specific steps. These steps can be described in a table as follows. </w:t>
      </w:r>
    </w:p>
    <w:p w:rsidR="00A32FC3" w:rsidRPr="00A32FC3" w:rsidRDefault="00A32FC3" w:rsidP="00A32FC3">
      <w:pPr>
        <w:spacing w:after="0" w:line="240" w:lineRule="auto"/>
        <w:ind w:firstLine="720"/>
        <w:jc w:val="center"/>
        <w:rPr>
          <w:rFonts w:ascii="Cambria" w:eastAsia="Cambria" w:hAnsi="Cambria" w:cs="Cambria"/>
          <w:color w:val="000000"/>
          <w:sz w:val="20"/>
          <w:szCs w:val="20"/>
          <w:lang w:val="en-AU" w:eastAsia="en-ID"/>
        </w:rPr>
      </w:pPr>
      <w:r w:rsidRPr="00A32FC3">
        <w:rPr>
          <w:rFonts w:ascii="Cambria" w:eastAsia="Cambria" w:hAnsi="Cambria" w:cs="Cambria"/>
          <w:b/>
          <w:bCs/>
          <w:color w:val="000000"/>
          <w:sz w:val="20"/>
          <w:szCs w:val="20"/>
          <w:lang w:val="en-AU" w:eastAsia="en-ID"/>
        </w:rPr>
        <w:t>Table 2</w:t>
      </w:r>
      <w:r w:rsidRPr="00A32FC3">
        <w:rPr>
          <w:rFonts w:ascii="Cambria" w:eastAsia="Cambria" w:hAnsi="Cambria" w:cs="Cambria"/>
          <w:color w:val="000000"/>
          <w:sz w:val="20"/>
          <w:szCs w:val="20"/>
          <w:lang w:val="en-AU" w:eastAsia="en-ID"/>
        </w:rPr>
        <w:t xml:space="preserve">. </w:t>
      </w:r>
      <w:r w:rsidRPr="00A32FC3">
        <w:rPr>
          <w:rFonts w:ascii="Cambria" w:eastAsia="Cambria" w:hAnsi="Cambria" w:cs="Cambria"/>
          <w:i/>
          <w:iCs/>
          <w:color w:val="000000"/>
          <w:sz w:val="20"/>
          <w:szCs w:val="20"/>
          <w:lang w:val="en-AU" w:eastAsia="en-ID"/>
        </w:rPr>
        <w:t>Details of ADDIE Stages</w:t>
      </w:r>
    </w:p>
    <w:tbl>
      <w:tblPr>
        <w:tblW w:w="779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843"/>
        <w:gridCol w:w="3059"/>
        <w:gridCol w:w="1477"/>
      </w:tblGrid>
      <w:tr w:rsidR="00A32FC3" w:rsidRPr="00A32FC3" w:rsidTr="00294E2E">
        <w:trPr>
          <w:trHeight w:val="275"/>
        </w:trPr>
        <w:tc>
          <w:tcPr>
            <w:tcW w:w="3260" w:type="dxa"/>
            <w:gridSpan w:val="2"/>
          </w:tcPr>
          <w:p w:rsidR="00A32FC3" w:rsidRPr="00A32FC3" w:rsidRDefault="00A32FC3" w:rsidP="00A32FC3">
            <w:pPr>
              <w:widowControl w:val="0"/>
              <w:autoSpaceDE w:val="0"/>
              <w:autoSpaceDN w:val="0"/>
              <w:spacing w:after="0" w:line="240" w:lineRule="auto"/>
              <w:jc w:val="center"/>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CONCEPTS</w:t>
            </w:r>
          </w:p>
        </w:tc>
        <w:tc>
          <w:tcPr>
            <w:tcW w:w="4536" w:type="dxa"/>
            <w:gridSpan w:val="2"/>
          </w:tcPr>
          <w:p w:rsidR="00A32FC3" w:rsidRPr="00A32FC3" w:rsidRDefault="00A32FC3" w:rsidP="00A32FC3">
            <w:pPr>
              <w:widowControl w:val="0"/>
              <w:autoSpaceDE w:val="0"/>
              <w:autoSpaceDN w:val="0"/>
              <w:spacing w:after="0" w:line="240" w:lineRule="auto"/>
              <w:jc w:val="center"/>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COMMON PROCEDURES</w:t>
            </w:r>
          </w:p>
        </w:tc>
      </w:tr>
      <w:tr w:rsidR="00A32FC3" w:rsidRPr="00A32FC3" w:rsidTr="00294E2E">
        <w:trPr>
          <w:trHeight w:val="2626"/>
        </w:trPr>
        <w:tc>
          <w:tcPr>
            <w:tcW w:w="1417" w:type="dxa"/>
          </w:tcPr>
          <w:p w:rsidR="00A32FC3" w:rsidRPr="00A32FC3" w:rsidRDefault="00A32FC3" w:rsidP="00A32FC3">
            <w:pPr>
              <w:widowControl w:val="0"/>
              <w:autoSpaceDE w:val="0"/>
              <w:autoSpaceDN w:val="0"/>
              <w:spacing w:after="0" w:line="240" w:lineRule="auto"/>
              <w:ind w:left="135"/>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Analyze</w:t>
            </w:r>
          </w:p>
        </w:tc>
        <w:tc>
          <w:tcPr>
            <w:tcW w:w="1843" w:type="dxa"/>
          </w:tcPr>
          <w:p w:rsidR="00A32FC3" w:rsidRPr="00A32FC3" w:rsidRDefault="00A32FC3" w:rsidP="00A32FC3">
            <w:pPr>
              <w:widowControl w:val="0"/>
              <w:autoSpaceDE w:val="0"/>
              <w:autoSpaceDN w:val="0"/>
              <w:spacing w:after="0" w:line="240" w:lineRule="auto"/>
              <w:ind w:left="137" w:right="140"/>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Identify</w:t>
            </w:r>
            <w:r w:rsidRPr="00A32FC3">
              <w:rPr>
                <w:rFonts w:ascii="Times New Roman" w:eastAsia="Calibri" w:hAnsi="Times New Roman" w:cs="Times New Roman"/>
                <w:noProof/>
                <w:sz w:val="24"/>
                <w:szCs w:val="24"/>
                <w:lang w:val="en-US"/>
              </w:rPr>
              <w:t xml:space="preserve"> </w:t>
            </w:r>
            <w:r w:rsidRPr="00A32FC3">
              <w:rPr>
                <w:rFonts w:ascii="Times New Roman" w:eastAsia="Calibri" w:hAnsi="Times New Roman" w:cs="Times New Roman"/>
                <w:noProof/>
                <w:sz w:val="24"/>
                <w:szCs w:val="24"/>
                <w:lang w:val="id"/>
              </w:rPr>
              <w:t>the probable causes</w:t>
            </w:r>
            <w:r w:rsidRPr="00A32FC3">
              <w:rPr>
                <w:rFonts w:ascii="Times New Roman" w:eastAsia="Calibri" w:hAnsi="Times New Roman" w:cs="Times New Roman"/>
                <w:noProof/>
                <w:sz w:val="24"/>
                <w:szCs w:val="24"/>
                <w:lang w:val="en-US"/>
              </w:rPr>
              <w:t xml:space="preserve"> </w:t>
            </w:r>
            <w:r w:rsidRPr="00A32FC3">
              <w:rPr>
                <w:rFonts w:ascii="Times New Roman" w:eastAsia="Calibri" w:hAnsi="Times New Roman" w:cs="Times New Roman"/>
                <w:noProof/>
                <w:sz w:val="24"/>
                <w:szCs w:val="24"/>
                <w:lang w:val="id"/>
              </w:rPr>
              <w:t>for</w:t>
            </w:r>
            <w:r w:rsidRPr="00A32FC3">
              <w:rPr>
                <w:rFonts w:ascii="Times New Roman" w:eastAsia="Calibri" w:hAnsi="Times New Roman" w:cs="Times New Roman"/>
                <w:noProof/>
                <w:sz w:val="24"/>
                <w:szCs w:val="24"/>
                <w:lang w:val="en-US"/>
              </w:rPr>
              <w:t xml:space="preserve"> </w:t>
            </w:r>
            <w:r w:rsidRPr="00A32FC3">
              <w:rPr>
                <w:rFonts w:ascii="Times New Roman" w:eastAsia="Calibri" w:hAnsi="Times New Roman" w:cs="Times New Roman"/>
                <w:noProof/>
                <w:sz w:val="24"/>
                <w:szCs w:val="24"/>
                <w:lang w:val="id"/>
              </w:rPr>
              <w:t>a performance gap</w:t>
            </w:r>
          </w:p>
        </w:tc>
        <w:tc>
          <w:tcPr>
            <w:tcW w:w="3059" w:type="dxa"/>
          </w:tcPr>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Validate</w:t>
            </w:r>
            <w:r w:rsidRPr="00A32FC3">
              <w:rPr>
                <w:rFonts w:ascii="Times New Roman" w:eastAsia="Calibri" w:hAnsi="Times New Roman" w:cs="Times New Roman"/>
                <w:noProof/>
                <w:sz w:val="24"/>
                <w:szCs w:val="24"/>
                <w:lang w:val="id"/>
              </w:rPr>
              <w:tab/>
              <w:t>the</w:t>
            </w:r>
            <w:r w:rsidRPr="00A32FC3">
              <w:rPr>
                <w:rFonts w:ascii="Times New Roman" w:eastAsia="Calibri" w:hAnsi="Times New Roman" w:cs="Times New Roman"/>
                <w:noProof/>
                <w:sz w:val="24"/>
                <w:szCs w:val="24"/>
                <w:lang w:val="en-US"/>
              </w:rPr>
              <w:t xml:space="preserve"> </w:t>
            </w:r>
            <w:r w:rsidRPr="00A32FC3">
              <w:rPr>
                <w:rFonts w:ascii="Times New Roman" w:eastAsia="Calibri" w:hAnsi="Times New Roman" w:cs="Times New Roman"/>
                <w:noProof/>
                <w:sz w:val="24"/>
                <w:szCs w:val="24"/>
                <w:lang w:val="id"/>
              </w:rPr>
              <w:t>performance gap</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Determine</w:t>
            </w:r>
            <w:r w:rsidRPr="00A32FC3">
              <w:rPr>
                <w:rFonts w:ascii="Times New Roman" w:eastAsia="Calibri" w:hAnsi="Times New Roman" w:cs="Times New Roman"/>
                <w:noProof/>
                <w:sz w:val="24"/>
                <w:szCs w:val="24"/>
                <w:lang w:val="en-US"/>
              </w:rPr>
              <w:t xml:space="preserve"> </w:t>
            </w:r>
            <w:r w:rsidRPr="00A32FC3">
              <w:rPr>
                <w:rFonts w:ascii="Times New Roman" w:eastAsia="Calibri" w:hAnsi="Times New Roman" w:cs="Times New Roman"/>
                <w:noProof/>
                <w:sz w:val="24"/>
                <w:szCs w:val="24"/>
                <w:lang w:val="id"/>
              </w:rPr>
              <w:t>instructional goals</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Confirm</w:t>
            </w:r>
            <w:r w:rsidRPr="00A32FC3">
              <w:rPr>
                <w:rFonts w:ascii="Times New Roman" w:eastAsia="Calibri" w:hAnsi="Times New Roman" w:cs="Times New Roman"/>
                <w:noProof/>
                <w:sz w:val="24"/>
                <w:szCs w:val="24"/>
                <w:lang w:val="id"/>
              </w:rPr>
              <w:tab/>
              <w:t>the</w:t>
            </w:r>
            <w:r w:rsidRPr="00A32FC3">
              <w:rPr>
                <w:rFonts w:ascii="Times New Roman" w:eastAsia="Calibri" w:hAnsi="Times New Roman" w:cs="Times New Roman"/>
                <w:noProof/>
                <w:sz w:val="24"/>
                <w:szCs w:val="24"/>
                <w:lang w:val="en-US"/>
              </w:rPr>
              <w:t xml:space="preserve"> </w:t>
            </w:r>
            <w:r w:rsidRPr="00A32FC3">
              <w:rPr>
                <w:rFonts w:ascii="Times New Roman" w:eastAsia="Calibri" w:hAnsi="Times New Roman" w:cs="Times New Roman"/>
                <w:noProof/>
                <w:sz w:val="24"/>
                <w:szCs w:val="24"/>
                <w:lang w:val="id"/>
              </w:rPr>
              <w:t>intended audience</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Identify required resources</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Determine potential delivery system (including cost</w:t>
            </w:r>
            <w:r w:rsidRPr="00A32FC3">
              <w:rPr>
                <w:rFonts w:ascii="Times New Roman" w:eastAsia="Calibri" w:hAnsi="Times New Roman" w:cs="Times New Roman"/>
                <w:noProof/>
                <w:sz w:val="24"/>
                <w:szCs w:val="24"/>
                <w:lang w:val="en-US"/>
              </w:rPr>
              <w:t xml:space="preserve"> </w:t>
            </w:r>
            <w:r w:rsidRPr="00A32FC3">
              <w:rPr>
                <w:rFonts w:ascii="Times New Roman" w:eastAsia="Calibri" w:hAnsi="Times New Roman" w:cs="Times New Roman"/>
                <w:noProof/>
                <w:sz w:val="24"/>
                <w:szCs w:val="24"/>
                <w:lang w:val="id"/>
              </w:rPr>
              <w:t>estimate)</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Compose a project management plan</w:t>
            </w:r>
          </w:p>
        </w:tc>
        <w:tc>
          <w:tcPr>
            <w:tcW w:w="1477" w:type="dxa"/>
          </w:tcPr>
          <w:p w:rsidR="00A32FC3" w:rsidRPr="00A32FC3" w:rsidRDefault="00A32FC3" w:rsidP="00A32FC3">
            <w:pPr>
              <w:widowControl w:val="0"/>
              <w:autoSpaceDE w:val="0"/>
              <w:autoSpaceDN w:val="0"/>
              <w:spacing w:after="0" w:line="240" w:lineRule="auto"/>
              <w:ind w:left="60" w:right="219"/>
              <w:rPr>
                <w:rFonts w:ascii="Times New Roman" w:eastAsia="Calibri" w:hAnsi="Times New Roman" w:cs="Times New Roman"/>
                <w:noProof/>
                <w:sz w:val="24"/>
                <w:szCs w:val="24"/>
                <w:lang w:val="id"/>
              </w:rPr>
            </w:pPr>
            <w:r w:rsidRPr="00A32FC3">
              <w:rPr>
                <w:rFonts w:ascii="Times New Roman" w:eastAsia="Calibri" w:hAnsi="Times New Roman" w:cs="Times New Roman"/>
                <w:noProof/>
                <w:sz w:val="24"/>
                <w:szCs w:val="24"/>
                <w:lang w:val="id"/>
              </w:rPr>
              <w:t>Analysis sumary</w:t>
            </w:r>
          </w:p>
        </w:tc>
      </w:tr>
      <w:tr w:rsidR="00A32FC3" w:rsidRPr="00A32FC3" w:rsidTr="00294E2E">
        <w:trPr>
          <w:trHeight w:val="1658"/>
        </w:trPr>
        <w:tc>
          <w:tcPr>
            <w:tcW w:w="1417" w:type="dxa"/>
          </w:tcPr>
          <w:p w:rsidR="00A32FC3" w:rsidRPr="00A32FC3" w:rsidRDefault="00A32FC3" w:rsidP="00A32FC3">
            <w:pPr>
              <w:widowControl w:val="0"/>
              <w:autoSpaceDE w:val="0"/>
              <w:autoSpaceDN w:val="0"/>
              <w:spacing w:after="0" w:line="240" w:lineRule="auto"/>
              <w:ind w:left="135"/>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Design</w:t>
            </w:r>
          </w:p>
        </w:tc>
        <w:tc>
          <w:tcPr>
            <w:tcW w:w="1843" w:type="dxa"/>
          </w:tcPr>
          <w:p w:rsidR="00A32FC3" w:rsidRPr="00A32FC3" w:rsidRDefault="00A32FC3" w:rsidP="00A32FC3">
            <w:pPr>
              <w:widowControl w:val="0"/>
              <w:autoSpaceDE w:val="0"/>
              <w:autoSpaceDN w:val="0"/>
              <w:spacing w:after="0" w:line="240" w:lineRule="auto"/>
              <w:ind w:left="137" w:right="140"/>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Verify</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the desired performances and appropiate testing</w:t>
            </w:r>
          </w:p>
          <w:p w:rsidR="00A32FC3" w:rsidRPr="00A32FC3" w:rsidRDefault="00A32FC3" w:rsidP="00A32FC3">
            <w:pPr>
              <w:widowControl w:val="0"/>
              <w:autoSpaceDE w:val="0"/>
              <w:autoSpaceDN w:val="0"/>
              <w:spacing w:after="0" w:line="240" w:lineRule="auto"/>
              <w:ind w:left="137" w:right="140"/>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methods</w:t>
            </w:r>
          </w:p>
        </w:tc>
        <w:tc>
          <w:tcPr>
            <w:tcW w:w="3059" w:type="dxa"/>
          </w:tcPr>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Conduct a task inventory</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Compose</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performance objectives</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Generate</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testing strategies</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Calculate</w:t>
            </w:r>
            <w:r w:rsidRPr="00A32FC3">
              <w:rPr>
                <w:rFonts w:ascii="Times New Roman" w:eastAsia="Calibri" w:hAnsi="Times New Roman" w:cs="Times New Roman"/>
                <w:noProof/>
                <w:kern w:val="2"/>
                <w:sz w:val="24"/>
                <w:szCs w:val="24"/>
                <w:lang w:val="id"/>
                <w14:ligatures w14:val="standardContextual"/>
              </w:rPr>
              <w:tab/>
              <w:t>return</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on investment</w:t>
            </w:r>
          </w:p>
        </w:tc>
        <w:tc>
          <w:tcPr>
            <w:tcW w:w="1477" w:type="dxa"/>
          </w:tcPr>
          <w:p w:rsidR="00A32FC3" w:rsidRPr="00A32FC3" w:rsidRDefault="00A32FC3" w:rsidP="00A32FC3">
            <w:pPr>
              <w:widowControl w:val="0"/>
              <w:autoSpaceDE w:val="0"/>
              <w:autoSpaceDN w:val="0"/>
              <w:spacing w:after="0" w:line="240" w:lineRule="auto"/>
              <w:ind w:left="60" w:right="219"/>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Design brief</w:t>
            </w:r>
          </w:p>
        </w:tc>
      </w:tr>
      <w:tr w:rsidR="00A32FC3" w:rsidRPr="00A32FC3" w:rsidTr="00294E2E">
        <w:trPr>
          <w:trHeight w:val="1124"/>
        </w:trPr>
        <w:tc>
          <w:tcPr>
            <w:tcW w:w="1417" w:type="dxa"/>
          </w:tcPr>
          <w:p w:rsidR="00A32FC3" w:rsidRPr="00A32FC3" w:rsidRDefault="00A32FC3" w:rsidP="00A32FC3">
            <w:pPr>
              <w:widowControl w:val="0"/>
              <w:autoSpaceDE w:val="0"/>
              <w:autoSpaceDN w:val="0"/>
              <w:spacing w:after="0" w:line="240" w:lineRule="auto"/>
              <w:ind w:left="135"/>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Develop</w:t>
            </w:r>
          </w:p>
        </w:tc>
        <w:tc>
          <w:tcPr>
            <w:tcW w:w="1843" w:type="dxa"/>
          </w:tcPr>
          <w:p w:rsidR="00A32FC3" w:rsidRPr="00A32FC3" w:rsidRDefault="00A32FC3" w:rsidP="00A32FC3">
            <w:pPr>
              <w:widowControl w:val="0"/>
              <w:autoSpaceDE w:val="0"/>
              <w:autoSpaceDN w:val="0"/>
              <w:spacing w:after="0" w:line="240" w:lineRule="auto"/>
              <w:ind w:left="137" w:right="140"/>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Generate</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and validate</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the learning resources</w:t>
            </w:r>
          </w:p>
        </w:tc>
        <w:tc>
          <w:tcPr>
            <w:tcW w:w="3059" w:type="dxa"/>
          </w:tcPr>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Generate content</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Select or develop supporting media</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Develop</w:t>
            </w:r>
            <w:r w:rsidRPr="00A32FC3">
              <w:rPr>
                <w:rFonts w:ascii="Times New Roman" w:eastAsia="Calibri" w:hAnsi="Times New Roman" w:cs="Times New Roman"/>
                <w:noProof/>
                <w:kern w:val="2"/>
                <w:sz w:val="24"/>
                <w:szCs w:val="24"/>
                <w:lang w:val="id"/>
                <w14:ligatures w14:val="standardContextual"/>
              </w:rPr>
              <w:tab/>
              <w:t>guidance</w:t>
            </w:r>
            <w:r w:rsidRPr="00A32FC3">
              <w:rPr>
                <w:rFonts w:ascii="Times New Roman" w:eastAsia="Calibri" w:hAnsi="Times New Roman" w:cs="Times New Roman"/>
                <w:noProof/>
                <w:kern w:val="2"/>
                <w:sz w:val="24"/>
                <w:szCs w:val="24"/>
                <w:lang w:val="id"/>
                <w14:ligatures w14:val="standardContextual"/>
              </w:rPr>
              <w:tab/>
              <w:t>for students</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lastRenderedPageBreak/>
              <w:t>Develop guidance for the teacher</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Conduct formative revisions</w:t>
            </w:r>
          </w:p>
          <w:p w:rsidR="00A32FC3" w:rsidRPr="00A32FC3" w:rsidRDefault="00A32FC3" w:rsidP="00A32FC3">
            <w:pPr>
              <w:widowControl w:val="0"/>
              <w:numPr>
                <w:ilvl w:val="0"/>
                <w:numId w:val="19"/>
              </w:numPr>
              <w:autoSpaceDE w:val="0"/>
              <w:autoSpaceDN w:val="0"/>
              <w:spacing w:after="0" w:line="240" w:lineRule="auto"/>
              <w:ind w:left="427" w:right="81"/>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Conduct a pilot test</w:t>
            </w:r>
          </w:p>
        </w:tc>
        <w:tc>
          <w:tcPr>
            <w:tcW w:w="1477" w:type="dxa"/>
          </w:tcPr>
          <w:p w:rsidR="00A32FC3" w:rsidRPr="00A32FC3" w:rsidRDefault="00A32FC3" w:rsidP="00A32FC3">
            <w:pPr>
              <w:widowControl w:val="0"/>
              <w:autoSpaceDE w:val="0"/>
              <w:autoSpaceDN w:val="0"/>
              <w:spacing w:after="0" w:line="240" w:lineRule="auto"/>
              <w:ind w:left="60" w:right="219"/>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lastRenderedPageBreak/>
              <w:t>Learning resources</w:t>
            </w:r>
          </w:p>
        </w:tc>
      </w:tr>
      <w:tr w:rsidR="00A32FC3" w:rsidRPr="00A32FC3" w:rsidTr="00294E2E">
        <w:trPr>
          <w:trHeight w:val="1379"/>
        </w:trPr>
        <w:tc>
          <w:tcPr>
            <w:tcW w:w="1417" w:type="dxa"/>
          </w:tcPr>
          <w:p w:rsidR="00A32FC3" w:rsidRPr="00A32FC3" w:rsidRDefault="00A32FC3" w:rsidP="00A32FC3">
            <w:pPr>
              <w:widowControl w:val="0"/>
              <w:autoSpaceDE w:val="0"/>
              <w:autoSpaceDN w:val="0"/>
              <w:spacing w:after="0" w:line="240" w:lineRule="auto"/>
              <w:ind w:left="135"/>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Implement</w:t>
            </w:r>
          </w:p>
        </w:tc>
        <w:tc>
          <w:tcPr>
            <w:tcW w:w="1843" w:type="dxa"/>
          </w:tcPr>
          <w:p w:rsidR="00A32FC3" w:rsidRPr="00A32FC3" w:rsidRDefault="00A32FC3" w:rsidP="00A32FC3">
            <w:pPr>
              <w:widowControl w:val="0"/>
              <w:autoSpaceDE w:val="0"/>
              <w:autoSpaceDN w:val="0"/>
              <w:spacing w:after="0" w:line="240" w:lineRule="auto"/>
              <w:ind w:left="137" w:right="140"/>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Prepare</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the learning environment and engage the</w:t>
            </w:r>
          </w:p>
          <w:p w:rsidR="00A32FC3" w:rsidRPr="00A32FC3" w:rsidRDefault="00A32FC3" w:rsidP="00A32FC3">
            <w:pPr>
              <w:widowControl w:val="0"/>
              <w:autoSpaceDE w:val="0"/>
              <w:autoSpaceDN w:val="0"/>
              <w:spacing w:after="0" w:line="240" w:lineRule="auto"/>
              <w:ind w:left="137" w:right="140"/>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students</w:t>
            </w:r>
          </w:p>
        </w:tc>
        <w:tc>
          <w:tcPr>
            <w:tcW w:w="3059" w:type="dxa"/>
          </w:tcPr>
          <w:p w:rsidR="00A32FC3" w:rsidRPr="00A32FC3" w:rsidRDefault="00A32FC3" w:rsidP="00A32FC3">
            <w:pPr>
              <w:widowControl w:val="0"/>
              <w:numPr>
                <w:ilvl w:val="0"/>
                <w:numId w:val="19"/>
              </w:numPr>
              <w:autoSpaceDE w:val="0"/>
              <w:autoSpaceDN w:val="0"/>
              <w:spacing w:after="0" w:line="240" w:lineRule="auto"/>
              <w:ind w:left="427" w:right="223"/>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Prepare the teacher</w:t>
            </w:r>
          </w:p>
          <w:p w:rsidR="00A32FC3" w:rsidRPr="00A32FC3" w:rsidRDefault="00A32FC3" w:rsidP="00A32FC3">
            <w:pPr>
              <w:widowControl w:val="0"/>
              <w:numPr>
                <w:ilvl w:val="0"/>
                <w:numId w:val="19"/>
              </w:numPr>
              <w:autoSpaceDE w:val="0"/>
              <w:autoSpaceDN w:val="0"/>
              <w:spacing w:after="0" w:line="240" w:lineRule="auto"/>
              <w:ind w:left="427" w:right="223"/>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Prepare the student</w:t>
            </w:r>
          </w:p>
        </w:tc>
        <w:tc>
          <w:tcPr>
            <w:tcW w:w="1477" w:type="dxa"/>
          </w:tcPr>
          <w:p w:rsidR="00A32FC3" w:rsidRPr="00A32FC3" w:rsidRDefault="00A32FC3" w:rsidP="00A32FC3">
            <w:pPr>
              <w:widowControl w:val="0"/>
              <w:autoSpaceDE w:val="0"/>
              <w:autoSpaceDN w:val="0"/>
              <w:spacing w:after="0" w:line="240" w:lineRule="auto"/>
              <w:ind w:left="60" w:right="219"/>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Implemen- tation strategy</w:t>
            </w:r>
          </w:p>
        </w:tc>
      </w:tr>
      <w:tr w:rsidR="00A32FC3" w:rsidRPr="00A32FC3" w:rsidTr="00294E2E">
        <w:trPr>
          <w:trHeight w:val="2208"/>
        </w:trPr>
        <w:tc>
          <w:tcPr>
            <w:tcW w:w="1417" w:type="dxa"/>
          </w:tcPr>
          <w:p w:rsidR="00A32FC3" w:rsidRPr="00A32FC3" w:rsidRDefault="00A32FC3" w:rsidP="00A32FC3">
            <w:pPr>
              <w:widowControl w:val="0"/>
              <w:autoSpaceDE w:val="0"/>
              <w:autoSpaceDN w:val="0"/>
              <w:spacing w:after="0" w:line="240" w:lineRule="auto"/>
              <w:ind w:left="135"/>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Evaluation</w:t>
            </w:r>
          </w:p>
        </w:tc>
        <w:tc>
          <w:tcPr>
            <w:tcW w:w="1843" w:type="dxa"/>
          </w:tcPr>
          <w:p w:rsidR="00A32FC3" w:rsidRPr="00A32FC3" w:rsidRDefault="00A32FC3" w:rsidP="00A32FC3">
            <w:pPr>
              <w:widowControl w:val="0"/>
              <w:autoSpaceDE w:val="0"/>
              <w:autoSpaceDN w:val="0"/>
              <w:spacing w:after="0" w:line="240" w:lineRule="auto"/>
              <w:ind w:left="137" w:right="140"/>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Assess</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the quality of the instructional products</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and processes, both before</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and after</w:t>
            </w:r>
          </w:p>
          <w:p w:rsidR="00A32FC3" w:rsidRPr="00A32FC3" w:rsidRDefault="00A32FC3" w:rsidP="00A32FC3">
            <w:pPr>
              <w:widowControl w:val="0"/>
              <w:autoSpaceDE w:val="0"/>
              <w:autoSpaceDN w:val="0"/>
              <w:spacing w:after="0" w:line="240" w:lineRule="auto"/>
              <w:ind w:left="137" w:right="140"/>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implementation</w:t>
            </w:r>
          </w:p>
        </w:tc>
        <w:tc>
          <w:tcPr>
            <w:tcW w:w="3059" w:type="dxa"/>
          </w:tcPr>
          <w:p w:rsidR="00A32FC3" w:rsidRPr="00A32FC3" w:rsidRDefault="00A32FC3" w:rsidP="00A32FC3">
            <w:pPr>
              <w:widowControl w:val="0"/>
              <w:numPr>
                <w:ilvl w:val="0"/>
                <w:numId w:val="19"/>
              </w:numPr>
              <w:autoSpaceDE w:val="0"/>
              <w:autoSpaceDN w:val="0"/>
              <w:spacing w:after="0" w:line="240" w:lineRule="auto"/>
              <w:ind w:left="427" w:right="223"/>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Determine</w:t>
            </w:r>
            <w:r w:rsidRPr="00A32FC3">
              <w:rPr>
                <w:rFonts w:ascii="Times New Roman" w:eastAsia="Calibri" w:hAnsi="Times New Roman" w:cs="Times New Roman"/>
                <w:noProof/>
                <w:kern w:val="2"/>
                <w:sz w:val="24"/>
                <w:szCs w:val="24"/>
                <w:lang w:val="en-US"/>
                <w14:ligatures w14:val="standardContextual"/>
              </w:rPr>
              <w:t xml:space="preserve"> </w:t>
            </w:r>
            <w:r w:rsidRPr="00A32FC3">
              <w:rPr>
                <w:rFonts w:ascii="Times New Roman" w:eastAsia="Calibri" w:hAnsi="Times New Roman" w:cs="Times New Roman"/>
                <w:noProof/>
                <w:kern w:val="2"/>
                <w:sz w:val="24"/>
                <w:szCs w:val="24"/>
                <w:lang w:val="id"/>
                <w14:ligatures w14:val="standardContextual"/>
              </w:rPr>
              <w:t>evaluation criteria</w:t>
            </w:r>
          </w:p>
          <w:p w:rsidR="00A32FC3" w:rsidRPr="00A32FC3" w:rsidRDefault="00A32FC3" w:rsidP="00A32FC3">
            <w:pPr>
              <w:widowControl w:val="0"/>
              <w:numPr>
                <w:ilvl w:val="0"/>
                <w:numId w:val="19"/>
              </w:numPr>
              <w:autoSpaceDE w:val="0"/>
              <w:autoSpaceDN w:val="0"/>
              <w:spacing w:after="0" w:line="240" w:lineRule="auto"/>
              <w:ind w:left="427" w:right="223"/>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Select evaluation tools</w:t>
            </w:r>
          </w:p>
          <w:p w:rsidR="00A32FC3" w:rsidRPr="00A32FC3" w:rsidRDefault="00A32FC3" w:rsidP="00A32FC3">
            <w:pPr>
              <w:widowControl w:val="0"/>
              <w:numPr>
                <w:ilvl w:val="0"/>
                <w:numId w:val="19"/>
              </w:numPr>
              <w:autoSpaceDE w:val="0"/>
              <w:autoSpaceDN w:val="0"/>
              <w:spacing w:after="0" w:line="240" w:lineRule="auto"/>
              <w:ind w:left="427" w:right="223"/>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Conduct evaluation</w:t>
            </w:r>
          </w:p>
        </w:tc>
        <w:tc>
          <w:tcPr>
            <w:tcW w:w="1477" w:type="dxa"/>
          </w:tcPr>
          <w:p w:rsidR="00A32FC3" w:rsidRPr="00A32FC3" w:rsidRDefault="00A32FC3" w:rsidP="00A32FC3">
            <w:pPr>
              <w:widowControl w:val="0"/>
              <w:autoSpaceDE w:val="0"/>
              <w:autoSpaceDN w:val="0"/>
              <w:spacing w:after="0" w:line="240" w:lineRule="auto"/>
              <w:ind w:left="60" w:right="219"/>
              <w:rPr>
                <w:rFonts w:ascii="Times New Roman" w:eastAsia="Calibri" w:hAnsi="Times New Roman" w:cs="Times New Roman"/>
                <w:noProof/>
                <w:kern w:val="2"/>
                <w:sz w:val="24"/>
                <w:szCs w:val="24"/>
                <w:lang w:val="id"/>
                <w14:ligatures w14:val="standardContextual"/>
              </w:rPr>
            </w:pPr>
            <w:r w:rsidRPr="00A32FC3">
              <w:rPr>
                <w:rFonts w:ascii="Times New Roman" w:eastAsia="Calibri" w:hAnsi="Times New Roman" w:cs="Times New Roman"/>
                <w:noProof/>
                <w:kern w:val="2"/>
                <w:sz w:val="24"/>
                <w:szCs w:val="24"/>
                <w:lang w:val="id"/>
                <w14:ligatures w14:val="standardContextual"/>
              </w:rPr>
              <w:t>Evaluation plan</w:t>
            </w:r>
          </w:p>
        </w:tc>
      </w:tr>
    </w:tbl>
    <w:p w:rsidR="005B5AEC" w:rsidRDefault="005B5AEC" w:rsidP="00294E2E">
      <w:pPr>
        <w:pStyle w:val="Alishlah31text"/>
        <w:ind w:firstLine="0"/>
      </w:pPr>
    </w:p>
    <w:p w:rsidR="00294E2E" w:rsidRPr="00294E2E" w:rsidRDefault="005B5AEC" w:rsidP="00294E2E">
      <w:pPr>
        <w:pStyle w:val="Alishlah21heading1"/>
        <w:rPr>
          <w:rFonts w:eastAsia="Arial"/>
        </w:rPr>
      </w:pPr>
      <w:r>
        <w:rPr>
          <w:rFonts w:eastAsia="Arial"/>
        </w:rPr>
        <w:t xml:space="preserve">FINDINGS </w:t>
      </w:r>
      <w:r w:rsidRPr="00723B12">
        <w:rPr>
          <w:rFonts w:eastAsia="Arial"/>
        </w:rPr>
        <w:t>AND DISCUSSION</w:t>
      </w:r>
    </w:p>
    <w:p w:rsidR="00294E2E" w:rsidRPr="00294E2E" w:rsidRDefault="00294E2E" w:rsidP="00294E2E">
      <w:pPr>
        <w:numPr>
          <w:ilvl w:val="0"/>
          <w:numId w:val="26"/>
        </w:numPr>
        <w:spacing w:after="0" w:line="240" w:lineRule="auto"/>
        <w:contextualSpacing/>
        <w:rPr>
          <w:rFonts w:ascii="Cambria" w:eastAsia="Cambria" w:hAnsi="Cambria" w:cs="Cambria"/>
          <w:b/>
          <w:color w:val="000000"/>
          <w:sz w:val="24"/>
          <w:szCs w:val="24"/>
          <w:lang w:val="x-none" w:eastAsia="x-none"/>
        </w:rPr>
      </w:pPr>
      <w:r>
        <w:rPr>
          <w:rFonts w:ascii="Cambria" w:eastAsia="Cambria" w:hAnsi="Cambria" w:cs="Cambria"/>
          <w:b/>
          <w:color w:val="000000"/>
          <w:sz w:val="24"/>
          <w:szCs w:val="24"/>
          <w:lang w:val="en-US" w:eastAsia="x-none"/>
        </w:rPr>
        <w:t>FINDINGS</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At analysis, there are two essential tasks to be completed. The first task involves </w:t>
      </w:r>
      <w:proofErr w:type="spellStart"/>
      <w:r w:rsidRPr="00294E2E">
        <w:rPr>
          <w:rFonts w:ascii="Cambria" w:eastAsia="Cambria" w:hAnsi="Cambria" w:cs="Cambria"/>
          <w:sz w:val="20"/>
          <w:szCs w:val="20"/>
          <w:lang w:val="en-AU" w:eastAsia="en-ID"/>
        </w:rPr>
        <w:t>analyzing</w:t>
      </w:r>
      <w:proofErr w:type="spellEnd"/>
      <w:r w:rsidRPr="00294E2E">
        <w:rPr>
          <w:rFonts w:ascii="Cambria" w:eastAsia="Cambria" w:hAnsi="Cambria" w:cs="Cambria"/>
          <w:sz w:val="20"/>
          <w:szCs w:val="20"/>
          <w:lang w:val="en-AU" w:eastAsia="en-ID"/>
        </w:rPr>
        <w:t xml:space="preserve"> the needs of content or learning materials in Indonesian language teaching materials, especially in the context of reading comprehension in texts related to local struggle figures. The second task is to </w:t>
      </w:r>
      <w:proofErr w:type="spellStart"/>
      <w:r w:rsidRPr="00294E2E">
        <w:rPr>
          <w:rFonts w:ascii="Cambria" w:eastAsia="Cambria" w:hAnsi="Cambria" w:cs="Cambria"/>
          <w:sz w:val="20"/>
          <w:szCs w:val="20"/>
          <w:lang w:val="en-AU" w:eastAsia="en-ID"/>
        </w:rPr>
        <w:t>analyze</w:t>
      </w:r>
      <w:proofErr w:type="spellEnd"/>
      <w:r w:rsidRPr="00294E2E">
        <w:rPr>
          <w:rFonts w:ascii="Cambria" w:eastAsia="Cambria" w:hAnsi="Cambria" w:cs="Cambria"/>
          <w:sz w:val="20"/>
          <w:szCs w:val="20"/>
          <w:lang w:val="en-AU" w:eastAsia="en-ID"/>
        </w:rPr>
        <w:t xml:space="preserve"> the need for teaching materials specifically designed to improve reading comprehension and critical thinking skills in studying the struggle of Prince </w:t>
      </w:r>
      <w:proofErr w:type="spellStart"/>
      <w:r w:rsidRPr="00294E2E">
        <w:rPr>
          <w:rFonts w:ascii="Cambria" w:eastAsia="Cambria" w:hAnsi="Cambria" w:cs="Cambria"/>
          <w:sz w:val="20"/>
          <w:szCs w:val="20"/>
          <w:lang w:val="en-AU" w:eastAsia="en-ID"/>
        </w:rPr>
        <w:t>Antasari</w:t>
      </w:r>
      <w:proofErr w:type="spellEnd"/>
      <w:r w:rsidRPr="00294E2E">
        <w:rPr>
          <w:rFonts w:ascii="Cambria" w:eastAsia="Cambria" w:hAnsi="Cambria" w:cs="Cambria"/>
          <w:sz w:val="20"/>
          <w:szCs w:val="20"/>
          <w:lang w:val="en-AU" w:eastAsia="en-ID"/>
        </w:rPr>
        <w:t xml:space="preserve"> as a West Kalimantan warrior figure. </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At this stage, the focus is on conducting activities to ascertain the content or learning materials required for the development of teaching materials. The specific objective was to identify all relevant content based on the Indonesian curriculum, with an emphasis on reading comprehension and critical thinking in the Bung </w:t>
      </w:r>
      <w:proofErr w:type="spellStart"/>
      <w:r w:rsidRPr="00294E2E">
        <w:rPr>
          <w:rFonts w:ascii="Cambria" w:eastAsia="Cambria" w:hAnsi="Cambria" w:cs="Cambria"/>
          <w:sz w:val="20"/>
          <w:szCs w:val="20"/>
          <w:lang w:val="en-AU" w:eastAsia="en-ID"/>
        </w:rPr>
        <w:t>Karno</w:t>
      </w:r>
      <w:proofErr w:type="spellEnd"/>
      <w:r w:rsidRPr="00294E2E">
        <w:rPr>
          <w:rFonts w:ascii="Cambria" w:eastAsia="Cambria" w:hAnsi="Cambria" w:cs="Cambria"/>
          <w:sz w:val="20"/>
          <w:szCs w:val="20"/>
          <w:lang w:val="en-AU" w:eastAsia="en-ID"/>
        </w:rPr>
        <w:t xml:space="preserve"> text, aimed at grade 5 students. In addition, a characteristic analysis was conducted by examining the curriculum and valid lesson plans (RPP) on reading comprehension in Indonesian language materials.</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p>
    <w:tbl>
      <w:tblPr>
        <w:tblStyle w:val="TableGrid2"/>
        <w:tblW w:w="0" w:type="auto"/>
        <w:tblLook w:val="04A0" w:firstRow="1" w:lastRow="0" w:firstColumn="1" w:lastColumn="0" w:noHBand="0" w:noVBand="1"/>
      </w:tblPr>
      <w:tblGrid>
        <w:gridCol w:w="3095"/>
        <w:gridCol w:w="5518"/>
      </w:tblGrid>
      <w:tr w:rsidR="00294E2E" w:rsidRPr="00294E2E" w:rsidTr="00294E2E">
        <w:tc>
          <w:tcPr>
            <w:tcW w:w="8613" w:type="dxa"/>
            <w:gridSpan w:val="2"/>
            <w:tcBorders>
              <w:left w:val="nil"/>
              <w:bottom w:val="single" w:sz="4" w:space="0" w:color="auto"/>
              <w:right w:val="nil"/>
            </w:tcBorders>
          </w:tcPr>
          <w:p w:rsidR="00294E2E" w:rsidRPr="00294E2E" w:rsidRDefault="00294E2E" w:rsidP="00294E2E">
            <w:pPr>
              <w:rPr>
                <w:rFonts w:ascii="Times New Roman" w:eastAsia="MS Mincho" w:hAnsi="Times New Roman"/>
              </w:rPr>
            </w:pPr>
            <w:r w:rsidRPr="00294E2E">
              <w:rPr>
                <w:rFonts w:ascii="Times New Roman" w:eastAsia="MS Mincho" w:hAnsi="Times New Roman"/>
              </w:rPr>
              <w:t>Instrument Eligibility Criteria</w:t>
            </w:r>
          </w:p>
        </w:tc>
      </w:tr>
      <w:tr w:rsidR="00294E2E" w:rsidRPr="00294E2E" w:rsidTr="00294E2E">
        <w:tc>
          <w:tcPr>
            <w:tcW w:w="3095" w:type="dxa"/>
            <w:tcBorders>
              <w:top w:val="single" w:sz="4" w:space="0" w:color="auto"/>
              <w:left w:val="nil"/>
              <w:bottom w:val="nil"/>
              <w:right w:val="nil"/>
            </w:tcBorders>
          </w:tcPr>
          <w:p w:rsidR="00294E2E" w:rsidRPr="00294E2E" w:rsidRDefault="00294E2E" w:rsidP="00294E2E">
            <w:pPr>
              <w:rPr>
                <w:rFonts w:ascii="Times New Roman" w:eastAsia="MS Mincho" w:hAnsi="Times New Roman"/>
              </w:rPr>
            </w:pPr>
            <w:r w:rsidRPr="00294E2E">
              <w:rPr>
                <w:rFonts w:ascii="Times New Roman" w:eastAsia="MS Mincho" w:hAnsi="Times New Roman"/>
              </w:rPr>
              <w:t>Content Eligibility</w:t>
            </w:r>
          </w:p>
        </w:tc>
        <w:tc>
          <w:tcPr>
            <w:tcW w:w="5518" w:type="dxa"/>
            <w:tcBorders>
              <w:top w:val="single" w:sz="4" w:space="0" w:color="auto"/>
              <w:left w:val="nil"/>
              <w:bottom w:val="nil"/>
              <w:right w:val="nil"/>
            </w:tcBorders>
          </w:tcPr>
          <w:p w:rsidR="00294E2E" w:rsidRPr="00294E2E" w:rsidRDefault="00294E2E" w:rsidP="00294E2E">
            <w:pPr>
              <w:numPr>
                <w:ilvl w:val="0"/>
                <w:numId w:val="22"/>
              </w:numPr>
              <w:spacing w:after="200"/>
              <w:contextualSpacing/>
              <w:rPr>
                <w:rFonts w:ascii="Times New Roman" w:hAnsi="Times New Roman"/>
                <w:lang w:val="x-none" w:eastAsia="x-none"/>
              </w:rPr>
            </w:pPr>
            <w:r w:rsidRPr="00294E2E">
              <w:rPr>
                <w:rFonts w:ascii="Times New Roman" w:hAnsi="Times New Roman"/>
                <w:lang w:val="x-none" w:eastAsia="x-none"/>
              </w:rPr>
              <w:t xml:space="preserve">Completeness of material in </w:t>
            </w:r>
            <w:proofErr w:type="spellStart"/>
            <w:r w:rsidRPr="00294E2E">
              <w:rPr>
                <w:rFonts w:ascii="Times New Roman" w:hAnsi="Times New Roman"/>
                <w:lang w:val="x-none" w:eastAsia="x-none"/>
              </w:rPr>
              <w:t>teacng</w:t>
            </w:r>
            <w:proofErr w:type="spellEnd"/>
            <w:r w:rsidRPr="00294E2E">
              <w:rPr>
                <w:rFonts w:ascii="Times New Roman" w:hAnsi="Times New Roman"/>
                <w:lang w:val="x-none" w:eastAsia="x-none"/>
              </w:rPr>
              <w:t xml:space="preserve"> materials</w:t>
            </w:r>
          </w:p>
          <w:p w:rsidR="00294E2E" w:rsidRPr="00294E2E" w:rsidRDefault="00294E2E" w:rsidP="00294E2E">
            <w:pPr>
              <w:numPr>
                <w:ilvl w:val="0"/>
                <w:numId w:val="22"/>
              </w:numPr>
              <w:spacing w:after="200"/>
              <w:contextualSpacing/>
              <w:rPr>
                <w:rFonts w:ascii="Times New Roman" w:hAnsi="Times New Roman"/>
                <w:lang w:val="x-none" w:eastAsia="x-none"/>
              </w:rPr>
            </w:pPr>
            <w:r w:rsidRPr="00294E2E">
              <w:rPr>
                <w:rFonts w:ascii="Times New Roman" w:hAnsi="Times New Roman"/>
                <w:lang w:val="x-none" w:eastAsia="x-none"/>
              </w:rPr>
              <w:t>The depth of the material in teaching materials</w:t>
            </w:r>
          </w:p>
          <w:p w:rsidR="00294E2E" w:rsidRPr="00294E2E" w:rsidRDefault="00294E2E" w:rsidP="00294E2E">
            <w:pPr>
              <w:numPr>
                <w:ilvl w:val="0"/>
                <w:numId w:val="22"/>
              </w:numPr>
              <w:spacing w:after="200"/>
              <w:contextualSpacing/>
              <w:rPr>
                <w:rFonts w:ascii="Times New Roman" w:hAnsi="Times New Roman"/>
                <w:lang w:val="x-none" w:eastAsia="x-none"/>
              </w:rPr>
            </w:pPr>
            <w:r w:rsidRPr="00294E2E">
              <w:rPr>
                <w:rFonts w:ascii="Times New Roman" w:hAnsi="Times New Roman"/>
                <w:lang w:val="x-none" w:eastAsia="x-none"/>
              </w:rPr>
              <w:t>Accuracy of material contained in</w:t>
            </w:r>
          </w:p>
          <w:p w:rsidR="00294E2E" w:rsidRPr="00294E2E" w:rsidRDefault="00294E2E" w:rsidP="00294E2E">
            <w:pPr>
              <w:numPr>
                <w:ilvl w:val="0"/>
                <w:numId w:val="22"/>
              </w:numPr>
              <w:spacing w:after="200"/>
              <w:contextualSpacing/>
              <w:rPr>
                <w:rFonts w:ascii="Times New Roman" w:hAnsi="Times New Roman"/>
                <w:lang w:val="x-none" w:eastAsia="x-none"/>
              </w:rPr>
            </w:pPr>
            <w:r w:rsidRPr="00294E2E">
              <w:rPr>
                <w:rFonts w:ascii="Times New Roman" w:hAnsi="Times New Roman"/>
                <w:lang w:val="x-none" w:eastAsia="x-none"/>
              </w:rPr>
              <w:t>Support Learning Materials in tea</w:t>
            </w:r>
          </w:p>
        </w:tc>
      </w:tr>
      <w:tr w:rsidR="00294E2E" w:rsidRPr="00294E2E" w:rsidTr="00294E2E">
        <w:tc>
          <w:tcPr>
            <w:tcW w:w="3095" w:type="dxa"/>
            <w:tcBorders>
              <w:top w:val="nil"/>
              <w:left w:val="nil"/>
              <w:bottom w:val="single" w:sz="4" w:space="0" w:color="auto"/>
              <w:right w:val="nil"/>
            </w:tcBorders>
          </w:tcPr>
          <w:p w:rsidR="00294E2E" w:rsidRPr="00294E2E" w:rsidRDefault="00294E2E" w:rsidP="00294E2E">
            <w:pPr>
              <w:rPr>
                <w:rFonts w:ascii="Times New Roman" w:eastAsia="MS Mincho" w:hAnsi="Times New Roman"/>
              </w:rPr>
            </w:pPr>
            <w:r w:rsidRPr="00294E2E">
              <w:rPr>
                <w:rFonts w:ascii="Times New Roman" w:eastAsia="MS Mincho" w:hAnsi="Times New Roman"/>
              </w:rPr>
              <w:t>Appropriateness</w:t>
            </w:r>
          </w:p>
          <w:p w:rsidR="00294E2E" w:rsidRPr="00294E2E" w:rsidRDefault="00294E2E" w:rsidP="00294E2E">
            <w:pPr>
              <w:rPr>
                <w:rFonts w:ascii="Times New Roman" w:eastAsia="MS Mincho" w:hAnsi="Times New Roman"/>
              </w:rPr>
            </w:pPr>
            <w:r w:rsidRPr="00294E2E">
              <w:rPr>
                <w:rFonts w:ascii="Times New Roman" w:eastAsia="MS Mincho" w:hAnsi="Times New Roman"/>
              </w:rPr>
              <w:t>Language</w:t>
            </w:r>
          </w:p>
        </w:tc>
        <w:tc>
          <w:tcPr>
            <w:tcW w:w="5518" w:type="dxa"/>
            <w:tcBorders>
              <w:top w:val="nil"/>
              <w:left w:val="nil"/>
              <w:bottom w:val="single" w:sz="4" w:space="0" w:color="auto"/>
              <w:right w:val="nil"/>
            </w:tcBorders>
          </w:tcPr>
          <w:p w:rsidR="00294E2E" w:rsidRPr="00294E2E" w:rsidRDefault="00294E2E" w:rsidP="00294E2E">
            <w:pPr>
              <w:numPr>
                <w:ilvl w:val="3"/>
                <w:numId w:val="21"/>
              </w:numPr>
              <w:spacing w:after="200"/>
              <w:contextualSpacing/>
              <w:rPr>
                <w:rFonts w:ascii="Times New Roman" w:hAnsi="Times New Roman"/>
                <w:lang w:val="x-none" w:eastAsia="x-none"/>
              </w:rPr>
            </w:pPr>
            <w:r w:rsidRPr="00294E2E">
              <w:rPr>
                <w:rFonts w:ascii="Times New Roman" w:hAnsi="Times New Roman"/>
                <w:lang w:val="x-none" w:eastAsia="x-none"/>
              </w:rPr>
              <w:t>Compatibility with Developmental Level</w:t>
            </w:r>
          </w:p>
        </w:tc>
      </w:tr>
    </w:tbl>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At this stage, the focus of the research was on identifying the requirements of teaching materials that support reading comprehension and critical thinking skills, especially in the context of Prince </w:t>
      </w:r>
      <w:proofErr w:type="spellStart"/>
      <w:r w:rsidRPr="00294E2E">
        <w:rPr>
          <w:rFonts w:ascii="Cambria" w:eastAsia="Cambria" w:hAnsi="Cambria" w:cs="Cambria"/>
          <w:sz w:val="20"/>
          <w:szCs w:val="20"/>
          <w:lang w:val="en-AU" w:eastAsia="en-ID"/>
        </w:rPr>
        <w:t>Antasari</w:t>
      </w:r>
      <w:proofErr w:type="spellEnd"/>
      <w:r w:rsidRPr="00294E2E">
        <w:rPr>
          <w:rFonts w:ascii="Cambria" w:eastAsia="Cambria" w:hAnsi="Cambria" w:cs="Cambria"/>
          <w:sz w:val="20"/>
          <w:szCs w:val="20"/>
          <w:lang w:val="en-AU" w:eastAsia="en-ID"/>
        </w:rPr>
        <w:t xml:space="preserve"> texts. The aim was to identify the key components required in the development of effective teaching materials to improve students' reading skills when studying texts about </w:t>
      </w:r>
      <w:proofErr w:type="spellStart"/>
      <w:r w:rsidRPr="00294E2E">
        <w:rPr>
          <w:rFonts w:ascii="Cambria" w:eastAsia="Cambria" w:hAnsi="Cambria" w:cs="Cambria"/>
          <w:sz w:val="20"/>
          <w:szCs w:val="20"/>
          <w:lang w:val="en-AU" w:eastAsia="en-ID"/>
        </w:rPr>
        <w:t>Pangeran</w:t>
      </w:r>
      <w:proofErr w:type="spellEnd"/>
      <w:r w:rsidRPr="00294E2E">
        <w:rPr>
          <w:rFonts w:ascii="Cambria" w:eastAsia="Cambria" w:hAnsi="Cambria" w:cs="Cambria"/>
          <w:sz w:val="20"/>
          <w:szCs w:val="20"/>
          <w:lang w:val="en-AU" w:eastAsia="en-ID"/>
        </w:rPr>
        <w:t xml:space="preserve"> </w:t>
      </w:r>
      <w:proofErr w:type="spellStart"/>
      <w:r w:rsidRPr="00294E2E">
        <w:rPr>
          <w:rFonts w:ascii="Cambria" w:eastAsia="Cambria" w:hAnsi="Cambria" w:cs="Cambria"/>
          <w:sz w:val="20"/>
          <w:szCs w:val="20"/>
          <w:lang w:val="en-AU" w:eastAsia="en-ID"/>
        </w:rPr>
        <w:t>Antasari</w:t>
      </w:r>
      <w:proofErr w:type="spellEnd"/>
      <w:r w:rsidRPr="00294E2E">
        <w:rPr>
          <w:rFonts w:ascii="Cambria" w:eastAsia="Cambria" w:hAnsi="Cambria" w:cs="Cambria"/>
          <w:sz w:val="20"/>
          <w:szCs w:val="20"/>
          <w:lang w:val="en-AU" w:eastAsia="en-ID"/>
        </w:rPr>
        <w:t>.</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At this stage, a needs analysis is conducted with the aim of thoroughly evaluating the need for teaching materials, considering the complex interaction of various factors that play a role in improving students' reading comprehension. These factors include the teacher's guidance strategy, the learning environment, the reader's background, individual differences among readers, the specific task, and the nature of the text itself.</w:t>
      </w:r>
    </w:p>
    <w:p w:rsidR="00294E2E" w:rsidRPr="00294E2E" w:rsidRDefault="00294E2E" w:rsidP="00294E2E">
      <w:pPr>
        <w:spacing w:after="0" w:line="240" w:lineRule="auto"/>
        <w:ind w:firstLine="709"/>
        <w:jc w:val="center"/>
        <w:rPr>
          <w:rFonts w:ascii="Cambria" w:eastAsia="Cambria" w:hAnsi="Cambria" w:cs="Cambria"/>
          <w:sz w:val="20"/>
          <w:szCs w:val="20"/>
          <w:lang w:val="en-AU" w:eastAsia="en-ID"/>
        </w:rPr>
      </w:pPr>
      <w:r w:rsidRPr="00294E2E">
        <w:rPr>
          <w:rFonts w:ascii="Cambria" w:eastAsia="Cambria" w:hAnsi="Cambria" w:cs="Cambria"/>
          <w:b/>
          <w:bCs/>
          <w:sz w:val="20"/>
          <w:szCs w:val="20"/>
          <w:lang w:val="en-AU" w:eastAsia="en-ID"/>
        </w:rPr>
        <w:t>Table 1.</w:t>
      </w:r>
      <w:r w:rsidRPr="00294E2E">
        <w:rPr>
          <w:rFonts w:ascii="Cambria" w:eastAsia="Cambria" w:hAnsi="Cambria" w:cs="Cambria"/>
          <w:sz w:val="20"/>
          <w:szCs w:val="20"/>
          <w:lang w:val="en-AU" w:eastAsia="en-ID"/>
        </w:rPr>
        <w:t xml:space="preserve"> </w:t>
      </w:r>
      <w:r w:rsidRPr="00294E2E">
        <w:rPr>
          <w:rFonts w:ascii="Cambria" w:eastAsia="Cambria" w:hAnsi="Cambria" w:cs="Cambria"/>
          <w:i/>
          <w:iCs/>
          <w:sz w:val="20"/>
          <w:szCs w:val="20"/>
          <w:lang w:val="en-AU" w:eastAsia="en-ID"/>
        </w:rPr>
        <w:t>Results of the trial by Indonesian language experts</w:t>
      </w:r>
    </w:p>
    <w:tbl>
      <w:tblPr>
        <w:tblW w:w="9933" w:type="dxa"/>
        <w:tblInd w:w="-147" w:type="dxa"/>
        <w:tblBorders>
          <w:top w:val="single" w:sz="4" w:space="0" w:color="auto"/>
        </w:tblBorders>
        <w:tblLayout w:type="fixed"/>
        <w:tblCellMar>
          <w:left w:w="0" w:type="dxa"/>
          <w:right w:w="0" w:type="dxa"/>
        </w:tblCellMar>
        <w:tblLook w:val="01E0" w:firstRow="1" w:lastRow="1" w:firstColumn="1" w:lastColumn="1" w:noHBand="0" w:noVBand="0"/>
      </w:tblPr>
      <w:tblGrid>
        <w:gridCol w:w="2839"/>
        <w:gridCol w:w="2446"/>
        <w:gridCol w:w="708"/>
        <w:gridCol w:w="708"/>
        <w:gridCol w:w="964"/>
        <w:gridCol w:w="851"/>
        <w:gridCol w:w="1417"/>
      </w:tblGrid>
      <w:tr w:rsidR="00294E2E" w:rsidRPr="00294E2E" w:rsidTr="00294E2E">
        <w:trPr>
          <w:trHeight w:val="776"/>
        </w:trPr>
        <w:tc>
          <w:tcPr>
            <w:tcW w:w="5285" w:type="dxa"/>
            <w:gridSpan w:val="2"/>
            <w:tcBorders>
              <w:top w:val="single" w:sz="4" w:space="0" w:color="auto"/>
              <w:bottom w:val="single" w:sz="4" w:space="0" w:color="auto"/>
            </w:tcBorders>
            <w:shd w:val="clear" w:color="auto" w:fill="auto"/>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r w:rsidRPr="00294E2E">
              <w:rPr>
                <w:rFonts w:ascii="Times New Roman" w:eastAsia="Times New Roman" w:hAnsi="Times New Roman" w:cs="Times New Roman"/>
                <w:b/>
                <w:noProof/>
                <w:sz w:val="20"/>
                <w:szCs w:val="20"/>
                <w:lang w:val="en" w:eastAsia="tr-TR"/>
              </w:rPr>
              <w:t>Criteria</w:t>
            </w:r>
          </w:p>
        </w:tc>
        <w:tc>
          <w:tcPr>
            <w:tcW w:w="708" w:type="dxa"/>
            <w:tcBorders>
              <w:top w:val="single" w:sz="4" w:space="0" w:color="auto"/>
              <w:bottom w:val="single" w:sz="4" w:space="0" w:color="auto"/>
            </w:tcBorders>
            <w:shd w:val="clear" w:color="auto" w:fill="auto"/>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r w:rsidRPr="00294E2E">
              <w:rPr>
                <w:rFonts w:ascii="Times New Roman" w:eastAsia="Times New Roman" w:hAnsi="Times New Roman" w:cs="Times New Roman"/>
                <w:b/>
                <w:noProof/>
                <w:sz w:val="20"/>
                <w:szCs w:val="20"/>
                <w:lang w:val="en" w:eastAsia="tr-TR"/>
              </w:rPr>
              <w:t>obtain</w:t>
            </w:r>
          </w:p>
        </w:tc>
        <w:tc>
          <w:tcPr>
            <w:tcW w:w="708" w:type="dxa"/>
            <w:tcBorders>
              <w:top w:val="single" w:sz="4" w:space="0" w:color="auto"/>
              <w:bottom w:val="single" w:sz="4" w:space="0" w:color="auto"/>
            </w:tcBorders>
            <w:shd w:val="clear" w:color="auto" w:fill="auto"/>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r w:rsidRPr="00294E2E">
              <w:rPr>
                <w:rFonts w:ascii="Times New Roman" w:eastAsia="Times New Roman" w:hAnsi="Times New Roman" w:cs="Times New Roman"/>
                <w:b/>
                <w:noProof/>
                <w:sz w:val="20"/>
                <w:szCs w:val="20"/>
                <w:lang w:val="en" w:eastAsia="tr-TR"/>
              </w:rPr>
              <w:t>Score</w:t>
            </w:r>
          </w:p>
        </w:tc>
        <w:tc>
          <w:tcPr>
            <w:tcW w:w="964" w:type="dxa"/>
            <w:tcBorders>
              <w:top w:val="single" w:sz="4" w:space="0" w:color="auto"/>
              <w:bottom w:val="single" w:sz="4" w:space="0" w:color="auto"/>
            </w:tcBorders>
            <w:shd w:val="clear" w:color="auto" w:fill="auto"/>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US" w:eastAsia="tr-TR"/>
              </w:rPr>
            </w:pPr>
            <w:r w:rsidRPr="00294E2E">
              <w:rPr>
                <w:rFonts w:ascii="Times New Roman" w:eastAsia="Times New Roman" w:hAnsi="Times New Roman" w:cs="Times New Roman"/>
                <w:b/>
                <w:noProof/>
                <w:sz w:val="20"/>
                <w:szCs w:val="20"/>
                <w:lang w:val="en-US" w:eastAsia="tr-TR"/>
              </w:rPr>
              <w:t xml:space="preserve">Core maximum </w:t>
            </w:r>
            <w:r w:rsidRPr="00294E2E">
              <w:rPr>
                <w:rFonts w:ascii="Times New Roman" w:eastAsia="Times New Roman" w:hAnsi="Times New Roman" w:cs="Times New Roman"/>
                <w:b/>
                <w:noProof/>
                <w:sz w:val="20"/>
                <w:szCs w:val="20"/>
                <w:lang w:val="en" w:eastAsia="tr-TR"/>
              </w:rPr>
              <w:t>S_</w:t>
            </w:r>
          </w:p>
        </w:tc>
        <w:tc>
          <w:tcPr>
            <w:tcW w:w="851" w:type="dxa"/>
            <w:tcBorders>
              <w:top w:val="single" w:sz="4" w:space="0" w:color="auto"/>
              <w:bottom w:val="single" w:sz="4" w:space="0" w:color="auto"/>
            </w:tcBorders>
            <w:shd w:val="clear" w:color="auto" w:fill="auto"/>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r w:rsidRPr="00294E2E">
              <w:rPr>
                <w:rFonts w:ascii="Times New Roman" w:eastAsia="Times New Roman" w:hAnsi="Times New Roman" w:cs="Times New Roman"/>
                <w:b/>
                <w:noProof/>
                <w:sz w:val="20"/>
                <w:szCs w:val="20"/>
                <w:lang w:val="en" w:eastAsia="tr-TR"/>
              </w:rPr>
              <w:t>Average score</w:t>
            </w:r>
          </w:p>
        </w:tc>
        <w:tc>
          <w:tcPr>
            <w:tcW w:w="1417" w:type="dxa"/>
            <w:tcBorders>
              <w:top w:val="single" w:sz="4" w:space="0" w:color="auto"/>
              <w:bottom w:val="single" w:sz="4" w:space="0" w:color="auto"/>
            </w:tcBorders>
            <w:shd w:val="clear" w:color="auto" w:fill="auto"/>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r w:rsidRPr="00294E2E">
              <w:rPr>
                <w:rFonts w:ascii="Times New Roman" w:eastAsia="Times New Roman" w:hAnsi="Times New Roman" w:cs="Times New Roman"/>
                <w:b/>
                <w:noProof/>
                <w:sz w:val="20"/>
                <w:szCs w:val="20"/>
                <w:lang w:val="en" w:eastAsia="tr-TR"/>
              </w:rPr>
              <w:t>Percentage per Criterion</w:t>
            </w:r>
          </w:p>
        </w:tc>
      </w:tr>
      <w:tr w:rsidR="00294E2E" w:rsidRPr="00294E2E" w:rsidTr="00294E2E">
        <w:trPr>
          <w:trHeight w:val="230"/>
        </w:trPr>
        <w:tc>
          <w:tcPr>
            <w:tcW w:w="2839" w:type="dxa"/>
            <w:vMerge w:val="restart"/>
            <w:tcBorders>
              <w:top w:val="nil"/>
            </w:tcBorders>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Content Eligibility</w:t>
            </w:r>
          </w:p>
        </w:tc>
        <w:tc>
          <w:tcPr>
            <w:tcW w:w="2446" w:type="dxa"/>
            <w:vMerge w:val="restart"/>
            <w:tcBorders>
              <w:top w:val="nil"/>
            </w:tcBorders>
          </w:tcPr>
          <w:p w:rsidR="00294E2E" w:rsidRPr="00294E2E" w:rsidRDefault="00294E2E" w:rsidP="00294E2E">
            <w:pPr>
              <w:spacing w:after="0" w:line="240" w:lineRule="auto"/>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 w:eastAsia="tr-TR"/>
              </w:rPr>
              <w:t>1. Completeness of material in teaching materials</w:t>
            </w:r>
          </w:p>
        </w:tc>
        <w:tc>
          <w:tcPr>
            <w:tcW w:w="708" w:type="dxa"/>
            <w:tcBorders>
              <w:top w:val="nil"/>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1</w:t>
            </w:r>
          </w:p>
        </w:tc>
        <w:tc>
          <w:tcPr>
            <w:tcW w:w="708" w:type="dxa"/>
            <w:tcBorders>
              <w:top w:val="nil"/>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3</w:t>
            </w:r>
          </w:p>
        </w:tc>
        <w:tc>
          <w:tcPr>
            <w:tcW w:w="964" w:type="dxa"/>
            <w:tcBorders>
              <w:top w:val="nil"/>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restart"/>
            <w:tcBorders>
              <w:top w:val="nil"/>
            </w:tcBorders>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3,5</w:t>
            </w:r>
          </w:p>
        </w:tc>
        <w:tc>
          <w:tcPr>
            <w:tcW w:w="1417" w:type="dxa"/>
            <w:vMerge w:val="restart"/>
            <w:tcBorders>
              <w:top w:val="nil"/>
            </w:tcBorders>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70%</w:t>
            </w: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2</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3</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3</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val="restart"/>
          </w:tcPr>
          <w:p w:rsidR="00294E2E" w:rsidRPr="00294E2E" w:rsidRDefault="00294E2E" w:rsidP="00294E2E">
            <w:pPr>
              <w:spacing w:after="0" w:line="240" w:lineRule="auto"/>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 w:eastAsia="tr-TR"/>
              </w:rPr>
              <w:t>2. The depth of the material in teaching materials</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1</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4</w:t>
            </w:r>
          </w:p>
        </w:tc>
        <w:tc>
          <w:tcPr>
            <w:tcW w:w="851" w:type="dxa"/>
            <w:vMerge w:val="restart"/>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 w:eastAsia="tr-TR"/>
              </w:rPr>
              <w:t xml:space="preserve">3, </w:t>
            </w:r>
            <w:r w:rsidRPr="00294E2E">
              <w:rPr>
                <w:rFonts w:ascii="Times New Roman" w:eastAsia="Times New Roman" w:hAnsi="Times New Roman" w:cs="Times New Roman"/>
                <w:noProof/>
                <w:sz w:val="20"/>
                <w:szCs w:val="20"/>
                <w:lang w:val="en-US" w:eastAsia="tr-TR"/>
              </w:rPr>
              <w:t>25</w:t>
            </w:r>
          </w:p>
        </w:tc>
        <w:tc>
          <w:tcPr>
            <w:tcW w:w="1417" w:type="dxa"/>
            <w:vMerge w:val="restart"/>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85%</w:t>
            </w: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2</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3</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3</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3</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3</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US"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val="restart"/>
          </w:tcPr>
          <w:p w:rsidR="00294E2E" w:rsidRPr="00294E2E" w:rsidRDefault="00294E2E" w:rsidP="00294E2E">
            <w:pPr>
              <w:spacing w:after="0" w:line="240" w:lineRule="auto"/>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 w:eastAsia="tr-TR"/>
              </w:rPr>
              <w:t>3. Accuracy of</w:t>
            </w:r>
            <w:r w:rsidRPr="00294E2E">
              <w:rPr>
                <w:rFonts w:ascii="Times New Roman" w:eastAsia="Times New Roman" w:hAnsi="Times New Roman" w:cs="Times New Roman"/>
                <w:noProof/>
                <w:sz w:val="20"/>
                <w:szCs w:val="20"/>
                <w:lang w:val="en-US" w:eastAsia="tr-TR"/>
              </w:rPr>
              <w:t xml:space="preserve"> </w:t>
            </w:r>
            <w:r w:rsidRPr="00294E2E">
              <w:rPr>
                <w:rFonts w:ascii="Times New Roman" w:eastAsia="Times New Roman" w:hAnsi="Times New Roman" w:cs="Times New Roman"/>
                <w:noProof/>
                <w:sz w:val="20"/>
                <w:szCs w:val="20"/>
                <w:lang w:val="en" w:eastAsia="tr-TR"/>
              </w:rPr>
              <w:t>material contained in teaching materials</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1</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restart"/>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1417" w:type="dxa"/>
            <w:vMerge w:val="restart"/>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100%</w:t>
            </w: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2</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3</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val="restart"/>
          </w:tcPr>
          <w:p w:rsidR="00294E2E" w:rsidRPr="00294E2E" w:rsidRDefault="00294E2E" w:rsidP="00294E2E">
            <w:pPr>
              <w:spacing w:after="0" w:line="240" w:lineRule="auto"/>
              <w:rPr>
                <w:rFonts w:ascii="Times New Roman" w:eastAsia="Times New Roman" w:hAnsi="Times New Roman" w:cs="Times New Roman"/>
                <w:noProof/>
                <w:sz w:val="20"/>
                <w:szCs w:val="20"/>
                <w:lang w:val="en-US" w:eastAsia="tr-TR"/>
              </w:rPr>
            </w:pPr>
            <w:r w:rsidRPr="00294E2E">
              <w:rPr>
                <w:rFonts w:ascii="Times New Roman" w:eastAsia="Times New Roman" w:hAnsi="Times New Roman" w:cs="Times New Roman"/>
                <w:noProof/>
                <w:sz w:val="20"/>
                <w:szCs w:val="20"/>
                <w:lang w:val="en" w:eastAsia="tr-TR"/>
              </w:rPr>
              <w:t>4.Support Learning Materials in teaching materials</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1</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restart"/>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1417" w:type="dxa"/>
            <w:vMerge w:val="restart"/>
            <w:vAlign w:val="center"/>
          </w:tcPr>
          <w:p w:rsidR="00294E2E" w:rsidRPr="00294E2E" w:rsidRDefault="00294E2E" w:rsidP="00294E2E">
            <w:pPr>
              <w:spacing w:after="0" w:line="240" w:lineRule="auto"/>
              <w:jc w:val="center"/>
              <w:rPr>
                <w:rFonts w:ascii="Times New Roman" w:eastAsia="Times New Roman" w:hAnsi="Times New Roman" w:cs="Times New Roman"/>
                <w:b/>
                <w:noProof/>
                <w:sz w:val="20"/>
                <w:szCs w:val="20"/>
                <w:lang w:val="en" w:eastAsia="tr-TR"/>
              </w:rPr>
            </w:pPr>
          </w:p>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100%</w:t>
            </w:r>
          </w:p>
        </w:tc>
      </w:tr>
      <w:tr w:rsidR="00294E2E" w:rsidRPr="00294E2E" w:rsidTr="00294E2E">
        <w:trPr>
          <w:trHeight w:val="230"/>
        </w:trPr>
        <w:tc>
          <w:tcPr>
            <w:tcW w:w="2839"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2</w:t>
            </w:r>
          </w:p>
        </w:tc>
        <w:tc>
          <w:tcPr>
            <w:tcW w:w="708"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964" w:type="dxa"/>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vMerge/>
            <w:tcBorders>
              <w:bottom w:val="nil"/>
            </w:tcBorders>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2446" w:type="dxa"/>
            <w:vMerge/>
            <w:tcBorders>
              <w:bottom w:val="nil"/>
            </w:tcBorders>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US" w:eastAsia="tr-TR"/>
              </w:rPr>
            </w:pPr>
          </w:p>
        </w:tc>
        <w:tc>
          <w:tcPr>
            <w:tcW w:w="708" w:type="dxa"/>
            <w:tcBorders>
              <w:bottom w:val="nil"/>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3</w:t>
            </w:r>
          </w:p>
        </w:tc>
        <w:tc>
          <w:tcPr>
            <w:tcW w:w="708" w:type="dxa"/>
            <w:tcBorders>
              <w:bottom w:val="nil"/>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964" w:type="dxa"/>
            <w:tcBorders>
              <w:bottom w:val="nil"/>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vMerge/>
            <w:tcBorders>
              <w:bottom w:val="nil"/>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c>
          <w:tcPr>
            <w:tcW w:w="1417" w:type="dxa"/>
            <w:vMerge/>
            <w:tcBorders>
              <w:bottom w:val="nil"/>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US" w:eastAsia="tr-TR"/>
              </w:rPr>
            </w:pPr>
          </w:p>
        </w:tc>
      </w:tr>
      <w:tr w:rsidR="00294E2E" w:rsidRPr="00294E2E" w:rsidTr="00294E2E">
        <w:trPr>
          <w:trHeight w:val="230"/>
        </w:trPr>
        <w:tc>
          <w:tcPr>
            <w:tcW w:w="2839" w:type="dxa"/>
            <w:tcBorders>
              <w:top w:val="nil"/>
              <w:bottom w:val="single" w:sz="4" w:space="0" w:color="auto"/>
            </w:tcBorders>
          </w:tcPr>
          <w:p w:rsidR="00294E2E" w:rsidRPr="00294E2E" w:rsidRDefault="00294E2E" w:rsidP="00294E2E">
            <w:pPr>
              <w:spacing w:after="0" w:line="240" w:lineRule="auto"/>
              <w:jc w:val="both"/>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Appropriateness</w:t>
            </w:r>
          </w:p>
          <w:p w:rsidR="00294E2E" w:rsidRPr="00294E2E" w:rsidRDefault="00294E2E" w:rsidP="00294E2E">
            <w:pPr>
              <w:spacing w:after="0" w:line="240" w:lineRule="auto"/>
              <w:jc w:val="both"/>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Language</w:t>
            </w:r>
          </w:p>
        </w:tc>
        <w:tc>
          <w:tcPr>
            <w:tcW w:w="2446" w:type="dxa"/>
            <w:tcBorders>
              <w:top w:val="nil"/>
              <w:bottom w:val="single" w:sz="4" w:space="0" w:color="auto"/>
            </w:tcBorders>
          </w:tcPr>
          <w:p w:rsidR="00294E2E" w:rsidRPr="00294E2E" w:rsidRDefault="00294E2E" w:rsidP="00294E2E">
            <w:pPr>
              <w:spacing w:after="0" w:line="240" w:lineRule="auto"/>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5.Compatibility with</w:t>
            </w:r>
          </w:p>
          <w:p w:rsidR="00294E2E" w:rsidRPr="00294E2E" w:rsidRDefault="00294E2E" w:rsidP="00294E2E">
            <w:pPr>
              <w:spacing w:after="0" w:line="240" w:lineRule="auto"/>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Developmental Level</w:t>
            </w:r>
          </w:p>
          <w:p w:rsidR="00294E2E" w:rsidRPr="00294E2E" w:rsidRDefault="00294E2E" w:rsidP="00294E2E">
            <w:pPr>
              <w:spacing w:after="0" w:line="240" w:lineRule="auto"/>
              <w:jc w:val="both"/>
              <w:rPr>
                <w:rFonts w:ascii="Times New Roman" w:eastAsia="Times New Roman" w:hAnsi="Times New Roman" w:cs="Times New Roman"/>
                <w:noProof/>
                <w:sz w:val="20"/>
                <w:szCs w:val="20"/>
                <w:lang w:val="en" w:eastAsia="tr-TR"/>
              </w:rPr>
            </w:pPr>
          </w:p>
        </w:tc>
        <w:tc>
          <w:tcPr>
            <w:tcW w:w="708" w:type="dxa"/>
            <w:tcBorders>
              <w:top w:val="nil"/>
              <w:bottom w:val="single" w:sz="4" w:space="0" w:color="auto"/>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1</w:t>
            </w:r>
          </w:p>
        </w:tc>
        <w:tc>
          <w:tcPr>
            <w:tcW w:w="708" w:type="dxa"/>
            <w:tcBorders>
              <w:top w:val="nil"/>
              <w:bottom w:val="single" w:sz="4" w:space="0" w:color="auto"/>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964" w:type="dxa"/>
            <w:tcBorders>
              <w:top w:val="nil"/>
              <w:bottom w:val="single" w:sz="4" w:space="0" w:color="auto"/>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4</w:t>
            </w:r>
          </w:p>
        </w:tc>
        <w:tc>
          <w:tcPr>
            <w:tcW w:w="851" w:type="dxa"/>
            <w:tcBorders>
              <w:top w:val="nil"/>
              <w:bottom w:val="single" w:sz="4" w:space="0" w:color="auto"/>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3,6</w:t>
            </w:r>
          </w:p>
        </w:tc>
        <w:tc>
          <w:tcPr>
            <w:tcW w:w="1417" w:type="dxa"/>
            <w:tcBorders>
              <w:top w:val="nil"/>
              <w:bottom w:val="single" w:sz="4" w:space="0" w:color="auto"/>
            </w:tcBorders>
            <w:vAlign w:val="center"/>
          </w:tcPr>
          <w:p w:rsidR="00294E2E" w:rsidRPr="00294E2E" w:rsidRDefault="00294E2E" w:rsidP="00294E2E">
            <w:pPr>
              <w:spacing w:after="0" w:line="240" w:lineRule="auto"/>
              <w:jc w:val="center"/>
              <w:rPr>
                <w:rFonts w:ascii="Times New Roman" w:eastAsia="Times New Roman" w:hAnsi="Times New Roman" w:cs="Times New Roman"/>
                <w:noProof/>
                <w:sz w:val="20"/>
                <w:szCs w:val="20"/>
                <w:lang w:val="en" w:eastAsia="tr-TR"/>
              </w:rPr>
            </w:pPr>
            <w:r w:rsidRPr="00294E2E">
              <w:rPr>
                <w:rFonts w:ascii="Times New Roman" w:eastAsia="Times New Roman" w:hAnsi="Times New Roman" w:cs="Times New Roman"/>
                <w:noProof/>
                <w:sz w:val="20"/>
                <w:szCs w:val="20"/>
                <w:lang w:val="en" w:eastAsia="tr-TR"/>
              </w:rPr>
              <w:t>91.6%</w:t>
            </w:r>
          </w:p>
        </w:tc>
      </w:tr>
    </w:tbl>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At design, Activities in this stage involve designing teaching materials, where reading is defined as the process of </w:t>
      </w:r>
      <w:proofErr w:type="spellStart"/>
      <w:r w:rsidRPr="00294E2E">
        <w:rPr>
          <w:rFonts w:ascii="Cambria" w:eastAsia="Cambria" w:hAnsi="Cambria" w:cs="Cambria"/>
          <w:sz w:val="20"/>
          <w:szCs w:val="20"/>
          <w:lang w:val="en-AU" w:eastAsia="en-ID"/>
        </w:rPr>
        <w:t>analyzing</w:t>
      </w:r>
      <w:proofErr w:type="spellEnd"/>
      <w:r w:rsidRPr="00294E2E">
        <w:rPr>
          <w:rFonts w:ascii="Cambria" w:eastAsia="Cambria" w:hAnsi="Cambria" w:cs="Cambria"/>
          <w:sz w:val="20"/>
          <w:szCs w:val="20"/>
          <w:lang w:val="en-AU" w:eastAsia="en-ID"/>
        </w:rPr>
        <w:t xml:space="preserve">, evaluating, and synthesizing information for decision making. This review focuses on </w:t>
      </w:r>
      <w:proofErr w:type="spellStart"/>
      <w:r w:rsidRPr="00294E2E">
        <w:rPr>
          <w:rFonts w:ascii="Cambria" w:eastAsia="Cambria" w:hAnsi="Cambria" w:cs="Cambria"/>
          <w:sz w:val="20"/>
          <w:szCs w:val="20"/>
          <w:lang w:val="en-AU" w:eastAsia="en-ID"/>
        </w:rPr>
        <w:t>analyzing</w:t>
      </w:r>
      <w:proofErr w:type="spellEnd"/>
      <w:r w:rsidRPr="00294E2E">
        <w:rPr>
          <w:rFonts w:ascii="Cambria" w:eastAsia="Cambria" w:hAnsi="Cambria" w:cs="Cambria"/>
          <w:sz w:val="20"/>
          <w:szCs w:val="20"/>
          <w:lang w:val="en-AU" w:eastAsia="en-ID"/>
        </w:rPr>
        <w:t xml:space="preserve">, evaluating, and summarizing studies based on responses to the review questions. The research instrument used is the System Thinking Inventory (STI), which is formed as a collection of </w:t>
      </w:r>
      <w:proofErr w:type="gramStart"/>
      <w:r w:rsidRPr="00294E2E">
        <w:rPr>
          <w:rFonts w:ascii="Cambria" w:eastAsia="Cambria" w:hAnsi="Cambria" w:cs="Cambria"/>
          <w:sz w:val="20"/>
          <w:szCs w:val="20"/>
          <w:lang w:val="en-AU" w:eastAsia="en-ID"/>
        </w:rPr>
        <w:t>multiple choice</w:t>
      </w:r>
      <w:proofErr w:type="gramEnd"/>
      <w:r w:rsidRPr="00294E2E">
        <w:rPr>
          <w:rFonts w:ascii="Cambria" w:eastAsia="Cambria" w:hAnsi="Cambria" w:cs="Cambria"/>
          <w:sz w:val="20"/>
          <w:szCs w:val="20"/>
          <w:lang w:val="en-AU" w:eastAsia="en-ID"/>
        </w:rPr>
        <w:t xml:space="preserve"> questions to measure student learning achievement, focusing on 15 indicators of system thinking. To respond to these challenges, students in primary school conducted an analysis of Indonesian language textbooks, focusing on the information processing and evaluative activities provided to them.</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At this development stage, several activities are carried out, including preparing teaching materials that are in accordance with the syllabus. Innovative educators design curricula to promote respectful relationships between students and teachers, prioritizing a more student-oriented approach. </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At this development stage, </w:t>
      </w:r>
      <w:proofErr w:type="gramStart"/>
      <w:r w:rsidRPr="00294E2E">
        <w:rPr>
          <w:rFonts w:ascii="Cambria" w:eastAsia="Cambria" w:hAnsi="Cambria" w:cs="Cambria"/>
          <w:sz w:val="20"/>
          <w:szCs w:val="20"/>
          <w:lang w:val="en-AU" w:eastAsia="en-ID"/>
        </w:rPr>
        <w:t>The</w:t>
      </w:r>
      <w:proofErr w:type="gramEnd"/>
      <w:r w:rsidRPr="00294E2E">
        <w:rPr>
          <w:rFonts w:ascii="Cambria" w:eastAsia="Cambria" w:hAnsi="Cambria" w:cs="Cambria"/>
          <w:sz w:val="20"/>
          <w:szCs w:val="20"/>
          <w:lang w:val="en-AU" w:eastAsia="en-ID"/>
        </w:rPr>
        <w:t xml:space="preserve"> 5E learning model is in accordance with constructivist approaches and principles. This model stage involves participation, exploration, explanation, elaboration, and evaluation. Each step has a different purpose from the student's perspective, emphasizing the importance of linking past and current learning experiences. In addition, this model supports evaluation that is useful for students and teachers to evaluate learning and understanding. The development of teaching materials is carried out to meet the needs of teachers and students. The results of this stage are in the form of teaching material products that are structured and in accordance with the required competencies, as well as questionnaires designed to measure validity and collect data from research subjects.</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US" w:eastAsia="en-ID"/>
        </w:rPr>
        <w:t>When using teaching materials, there are several important elements to consider, including:</w:t>
      </w:r>
    </w:p>
    <w:p w:rsidR="00294E2E" w:rsidRPr="00294E2E" w:rsidRDefault="00294E2E" w:rsidP="00294E2E">
      <w:pPr>
        <w:spacing w:after="0" w:line="240" w:lineRule="auto"/>
        <w:ind w:left="426"/>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1. Need for teaching materials:</w:t>
      </w:r>
    </w:p>
    <w:p w:rsidR="00294E2E" w:rsidRPr="00294E2E" w:rsidRDefault="00294E2E" w:rsidP="00294E2E">
      <w:pPr>
        <w:spacing w:after="0" w:line="240" w:lineRule="auto"/>
        <w:ind w:left="709"/>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 xml:space="preserve">  In this context, the teacher's role in developing teaching materials is an indicator of how effectively learning objectives can be achieved.</w:t>
      </w:r>
    </w:p>
    <w:p w:rsidR="00294E2E" w:rsidRPr="00294E2E" w:rsidRDefault="00294E2E" w:rsidP="00294E2E">
      <w:pPr>
        <w:spacing w:after="0" w:line="240" w:lineRule="auto"/>
        <w:ind w:left="426"/>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2. Test and evaluate:</w:t>
      </w:r>
    </w:p>
    <w:p w:rsidR="00294E2E" w:rsidRPr="00294E2E" w:rsidRDefault="00294E2E" w:rsidP="00294E2E">
      <w:pPr>
        <w:spacing w:after="0" w:line="240" w:lineRule="auto"/>
        <w:ind w:left="709"/>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 xml:space="preserve">    Evaluation at this stage is not only limited to the design and development stage, or product implementation, but is carried out at all stages of ADDIE model development.</w:t>
      </w:r>
    </w:p>
    <w:p w:rsidR="00294E2E" w:rsidRPr="00294E2E" w:rsidRDefault="00294E2E" w:rsidP="00294E2E">
      <w:pPr>
        <w:spacing w:after="0" w:line="240" w:lineRule="auto"/>
        <w:ind w:firstLine="709"/>
        <w:jc w:val="both"/>
        <w:rPr>
          <w:rFonts w:ascii="Cambria" w:eastAsia="Cambria" w:hAnsi="Cambria" w:cs="Cambria"/>
          <w:sz w:val="20"/>
          <w:szCs w:val="20"/>
          <w:lang w:val="en-US" w:eastAsia="en-ID"/>
        </w:rPr>
      </w:pPr>
      <w:r w:rsidRPr="00294E2E">
        <w:rPr>
          <w:rFonts w:ascii="Cambria" w:eastAsia="Cambria" w:hAnsi="Cambria" w:cs="Cambria"/>
          <w:sz w:val="20"/>
          <w:szCs w:val="20"/>
          <w:lang w:val="en-US" w:eastAsia="en-ID"/>
        </w:rPr>
        <w:t xml:space="preserve">However, formative evaluation is also carried out at each stage to immediately identify areas of necessary improvement. The evaluation stage is the final step in the ADDIE model for developing teaching materials  </w:t>
      </w:r>
      <w:hyperlink r:id="rId43" w:history="1">
        <w:r w:rsidRPr="00294E2E">
          <w:rPr>
            <w:rFonts w:ascii="Cambria" w:eastAsia="Cambria" w:hAnsi="Cambria" w:cs="Cambria"/>
            <w:color w:val="0000FF"/>
            <w:sz w:val="20"/>
            <w:szCs w:val="20"/>
            <w:lang w:val="en-US" w:eastAsia="en-ID"/>
          </w:rPr>
          <w:fldChar w:fldCharType="begin" w:fldLock="1"/>
        </w:r>
        <w:r w:rsidRPr="00294E2E">
          <w:rPr>
            <w:rFonts w:ascii="Cambria" w:eastAsia="Cambria" w:hAnsi="Cambria" w:cs="Cambria"/>
            <w:color w:val="0000FF"/>
            <w:sz w:val="20"/>
            <w:szCs w:val="20"/>
            <w:lang w:val="en-US" w:eastAsia="en-ID"/>
          </w:rPr>
          <w:instrText>ADDIN CSL_CITATION {"citationItems":[{"id":"ITEM-1","itemData":{"DOI":"10.1016/j.caeai.2021.100030","ISSN":"2666920X","author":[{"dropping-particle":"","family":"Yu","given":"Shih-Jou","non-dropping-particle":"","parse-names":false,"suffix":""},{"dropping-particle":"","family":"Hsueh","given":"Yu-Ling","non-dropping-particle":"","parse-names":false,"suffix":""},{"dropping-particle":"","family":"Sun","given":"Jerry Chih-Yuan","non-dropping-particle":"","parse-names":false,"suffix":""},{"dropping-particle":"","family":"Liu","given":"Hao-Ze","non-dropping-particle":"","parse-names":false,"suffix":""}],"container-title":"Computers and Education: Artificial Intelligence","id":"ITEM-1","issued":{"date-parts":[["2021"]]},"page":"100030","title":"Developing an intelligent virtual reality interactive system based on the ADDIE model for learning pour-over coffee brewing","type":"article-journal","volume":"2"},"uris":["http://www.mendeley.com/documents/?uuid=92ff841f-bbcb-46aa-a244-2a3e3ef51864"]}],"mendeley":{"formattedCitation":"(Yu et al., 2021)","plainTextFormattedCitation":"(Yu et al., 2021)","previouslyFormattedCitation":"(Yu et al., 2021)"},"properties":{"noteIndex":0},"schema":"https://github.com/citation-style-language/schema/raw/master/csl-citation.json"}</w:instrText>
        </w:r>
        <w:r w:rsidRPr="00294E2E">
          <w:rPr>
            <w:rFonts w:ascii="Cambria" w:eastAsia="Cambria" w:hAnsi="Cambria" w:cs="Cambria"/>
            <w:color w:val="0000FF"/>
            <w:sz w:val="20"/>
            <w:szCs w:val="20"/>
            <w:lang w:val="en-US" w:eastAsia="en-ID"/>
          </w:rPr>
          <w:fldChar w:fldCharType="separate"/>
        </w:r>
        <w:r w:rsidRPr="00294E2E">
          <w:rPr>
            <w:rFonts w:ascii="Cambria" w:eastAsia="Cambria" w:hAnsi="Cambria" w:cs="Cambria"/>
            <w:noProof/>
            <w:color w:val="0000FF"/>
            <w:sz w:val="20"/>
            <w:szCs w:val="20"/>
            <w:lang w:val="en-US" w:eastAsia="en-ID"/>
          </w:rPr>
          <w:t>(Yu et al., 2021)</w:t>
        </w:r>
        <w:r w:rsidRPr="00294E2E">
          <w:rPr>
            <w:rFonts w:ascii="Cambria" w:eastAsia="Cambria" w:hAnsi="Cambria" w:cs="Cambria"/>
            <w:color w:val="0000FF"/>
            <w:sz w:val="20"/>
            <w:szCs w:val="20"/>
            <w:lang w:val="en-US" w:eastAsia="en-ID"/>
          </w:rPr>
          <w:fldChar w:fldCharType="end"/>
        </w:r>
      </w:hyperlink>
      <w:r w:rsidRPr="00294E2E">
        <w:rPr>
          <w:rFonts w:ascii="Cambria" w:eastAsia="Cambria" w:hAnsi="Cambria" w:cs="Cambria"/>
          <w:sz w:val="20"/>
          <w:szCs w:val="20"/>
          <w:lang w:val="en-US" w:eastAsia="en-ID"/>
        </w:rPr>
        <w:t>. The aim is to provide an assessment of the teaching materials that have been developed, ensure their effectiveness, and check their suitability to the learning objectives that have been set.</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US" w:eastAsia="en-ID"/>
        </w:rPr>
        <w:t>The overall evaluation by Indonesian language experts showed that the teaching materials achieved 85% of the maximum total score of 100%, indicating general suitability for application. According to the guidelines, products with a score of 75% or more are considered suitable for use in learning.</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US" w:eastAsia="en-ID"/>
        </w:rPr>
        <w:t xml:space="preserve">Even though these three criteria do not reach the maximum score of 100%, they are still considered adequate, with mastery of the material reaching a score of 75%, depth of material reaching a score of 85%, </w:t>
      </w:r>
      <w:r w:rsidRPr="00294E2E">
        <w:rPr>
          <w:rFonts w:ascii="Cambria" w:eastAsia="Cambria" w:hAnsi="Cambria" w:cs="Cambria"/>
          <w:sz w:val="20"/>
          <w:szCs w:val="20"/>
          <w:lang w:val="en-US" w:eastAsia="en-ID"/>
        </w:rPr>
        <w:lastRenderedPageBreak/>
        <w:t>and suitability of the language to the student's level of development reaching a score of 85%. Thus, the overall score is 91.6%. For example, in the content appropriateness component, the material completeness subcomponent achieved a score of 75%, meeting the minimum standard without the need for revision. Furthermore, the depth of the material received a score of 85%, indicating a high level of feasibility and application in teaching materials.</w:t>
      </w:r>
    </w:p>
    <w:p w:rsidR="00294E2E" w:rsidRPr="00294E2E" w:rsidRDefault="00294E2E" w:rsidP="00294E2E">
      <w:pPr>
        <w:spacing w:after="0" w:line="240" w:lineRule="auto"/>
        <w:ind w:firstLine="709"/>
        <w:jc w:val="both"/>
        <w:rPr>
          <w:rFonts w:ascii="Cambria" w:eastAsia="Cambria" w:hAnsi="Cambria" w:cs="Cambria"/>
          <w:sz w:val="20"/>
          <w:szCs w:val="20"/>
          <w:lang w:val="en-US" w:eastAsia="en-ID"/>
        </w:rPr>
      </w:pPr>
      <w:r w:rsidRPr="00294E2E">
        <w:rPr>
          <w:rFonts w:ascii="Cambria" w:eastAsia="Cambria" w:hAnsi="Cambria" w:cs="Cambria"/>
          <w:sz w:val="20"/>
          <w:szCs w:val="20"/>
          <w:lang w:val="en-US" w:eastAsia="en-ID"/>
        </w:rPr>
        <w:t xml:space="preserve">The subcomponents of material accuracy and learning support materials both scored 100%, indicating that they are feasible to implement without revision. Regarding language appropriateness, the subcomponent of assessing language suitability to students' development levels received a score of 91.6%, with the predicate "very appropriate". In addition, the communicative subcomponents and coherence and unity of ideas each achieved a score of 100%, thus qualifying as very suitable for implementation without revision. </w:t>
      </w:r>
    </w:p>
    <w:p w:rsidR="00294E2E" w:rsidRPr="00294E2E" w:rsidRDefault="00294E2E" w:rsidP="00294E2E">
      <w:pPr>
        <w:spacing w:after="0" w:line="240" w:lineRule="auto"/>
        <w:ind w:left="426" w:firstLine="588"/>
        <w:contextualSpacing/>
        <w:jc w:val="center"/>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Table 2. Graphic Expert Test Results</w:t>
      </w:r>
    </w:p>
    <w:tbl>
      <w:tblPr>
        <w:tblW w:w="8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61"/>
        <w:gridCol w:w="1986"/>
        <w:gridCol w:w="673"/>
        <w:gridCol w:w="731"/>
        <w:gridCol w:w="966"/>
        <w:gridCol w:w="995"/>
        <w:gridCol w:w="1276"/>
      </w:tblGrid>
      <w:tr w:rsidR="00294E2E" w:rsidRPr="00294E2E" w:rsidTr="00294E2E">
        <w:trPr>
          <w:trHeight w:val="690"/>
          <w:jc w:val="center"/>
        </w:trPr>
        <w:tc>
          <w:tcPr>
            <w:tcW w:w="4047" w:type="dxa"/>
            <w:gridSpan w:val="2"/>
            <w:tcBorders>
              <w:top w:val="single" w:sz="4" w:space="0" w:color="auto"/>
              <w:left w:val="nil"/>
              <w:bottom w:val="single" w:sz="4" w:space="0" w:color="auto"/>
              <w:right w:val="nil"/>
            </w:tcBorders>
            <w:shd w:val="clear" w:color="auto" w:fill="auto"/>
          </w:tcPr>
          <w:p w:rsidR="00294E2E" w:rsidRPr="00294E2E" w:rsidRDefault="00294E2E" w:rsidP="00294E2E">
            <w:pPr>
              <w:spacing w:after="0" w:line="240" w:lineRule="auto"/>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rPr>
                <w:rFonts w:ascii="Times New Roman" w:eastAsia="MS Mincho" w:hAnsi="Times New Roman" w:cs="Times New Roman"/>
                <w:b/>
                <w:sz w:val="20"/>
                <w:szCs w:val="20"/>
                <w:lang w:val="en-US" w:eastAsia="en-ID"/>
              </w:rPr>
            </w:pPr>
            <w:r w:rsidRPr="00294E2E">
              <w:rPr>
                <w:rFonts w:ascii="Times New Roman" w:eastAsia="MS Mincho" w:hAnsi="Times New Roman" w:cs="Times New Roman"/>
                <w:b/>
                <w:sz w:val="20"/>
                <w:szCs w:val="20"/>
                <w:lang w:val="en-AU" w:eastAsia="en-ID"/>
              </w:rPr>
              <w:t>Criteria</w:t>
            </w:r>
          </w:p>
        </w:tc>
        <w:tc>
          <w:tcPr>
            <w:tcW w:w="673" w:type="dxa"/>
            <w:tcBorders>
              <w:top w:val="single" w:sz="4" w:space="0" w:color="auto"/>
              <w:left w:val="nil"/>
              <w:bottom w:val="single" w:sz="4" w:space="0" w:color="auto"/>
              <w:right w:val="nil"/>
            </w:tcBorders>
            <w:shd w:val="clear" w:color="auto" w:fill="auto"/>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r w:rsidRPr="00294E2E">
              <w:rPr>
                <w:rFonts w:ascii="Times New Roman" w:eastAsia="MS Mincho" w:hAnsi="Times New Roman" w:cs="Times New Roman"/>
                <w:b/>
                <w:sz w:val="20"/>
                <w:szCs w:val="20"/>
                <w:lang w:val="en-AU" w:eastAsia="en-ID"/>
              </w:rPr>
              <w:t>obtain</w:t>
            </w:r>
          </w:p>
        </w:tc>
        <w:tc>
          <w:tcPr>
            <w:tcW w:w="731" w:type="dxa"/>
            <w:tcBorders>
              <w:top w:val="single" w:sz="4" w:space="0" w:color="auto"/>
              <w:left w:val="nil"/>
              <w:bottom w:val="single" w:sz="4" w:space="0" w:color="auto"/>
              <w:right w:val="nil"/>
            </w:tcBorders>
            <w:shd w:val="clear" w:color="auto" w:fill="auto"/>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r w:rsidRPr="00294E2E">
              <w:rPr>
                <w:rFonts w:ascii="Times New Roman" w:eastAsia="MS Mincho" w:hAnsi="Times New Roman" w:cs="Times New Roman"/>
                <w:b/>
                <w:sz w:val="20"/>
                <w:szCs w:val="20"/>
                <w:lang w:val="en-AU" w:eastAsia="en-ID"/>
              </w:rPr>
              <w:t>Score</w:t>
            </w:r>
          </w:p>
        </w:tc>
        <w:tc>
          <w:tcPr>
            <w:tcW w:w="966" w:type="dxa"/>
            <w:tcBorders>
              <w:top w:val="single" w:sz="4" w:space="0" w:color="auto"/>
              <w:left w:val="nil"/>
              <w:bottom w:val="single" w:sz="4" w:space="0" w:color="auto"/>
              <w:right w:val="nil"/>
            </w:tcBorders>
            <w:shd w:val="clear" w:color="auto" w:fill="auto"/>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r w:rsidRPr="00294E2E">
              <w:rPr>
                <w:rFonts w:ascii="Times New Roman" w:eastAsia="MS Mincho" w:hAnsi="Times New Roman" w:cs="Times New Roman"/>
                <w:b/>
                <w:sz w:val="20"/>
                <w:szCs w:val="20"/>
                <w:lang w:val="en-US" w:eastAsia="en-ID"/>
              </w:rPr>
              <w:t xml:space="preserve">Core maximum </w:t>
            </w:r>
            <w:r w:rsidRPr="00294E2E">
              <w:rPr>
                <w:rFonts w:ascii="Times New Roman" w:eastAsia="MS Mincho" w:hAnsi="Times New Roman" w:cs="Times New Roman"/>
                <w:b/>
                <w:sz w:val="20"/>
                <w:szCs w:val="20"/>
                <w:lang w:val="en-AU" w:eastAsia="en-ID"/>
              </w:rPr>
              <w:t>S_</w:t>
            </w:r>
          </w:p>
        </w:tc>
        <w:tc>
          <w:tcPr>
            <w:tcW w:w="995" w:type="dxa"/>
            <w:tcBorders>
              <w:top w:val="single" w:sz="4" w:space="0" w:color="auto"/>
              <w:left w:val="nil"/>
              <w:bottom w:val="single" w:sz="4" w:space="0" w:color="auto"/>
              <w:right w:val="nil"/>
            </w:tcBorders>
            <w:shd w:val="clear" w:color="auto" w:fill="auto"/>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r w:rsidRPr="00294E2E">
              <w:rPr>
                <w:rFonts w:ascii="Times New Roman" w:eastAsia="MS Mincho" w:hAnsi="Times New Roman" w:cs="Times New Roman"/>
                <w:b/>
                <w:sz w:val="20"/>
                <w:szCs w:val="20"/>
                <w:lang w:val="en-AU" w:eastAsia="en-ID"/>
              </w:rPr>
              <w:t>Average score</w:t>
            </w:r>
          </w:p>
        </w:tc>
        <w:tc>
          <w:tcPr>
            <w:tcW w:w="1276" w:type="dxa"/>
            <w:tcBorders>
              <w:top w:val="single" w:sz="4" w:space="0" w:color="auto"/>
              <w:left w:val="nil"/>
              <w:bottom w:val="single" w:sz="4" w:space="0" w:color="auto"/>
              <w:right w:val="nil"/>
            </w:tcBorders>
            <w:shd w:val="clear" w:color="auto" w:fill="auto"/>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r w:rsidRPr="00294E2E">
              <w:rPr>
                <w:rFonts w:ascii="Times New Roman" w:eastAsia="MS Mincho" w:hAnsi="Times New Roman" w:cs="Times New Roman"/>
                <w:b/>
                <w:sz w:val="20"/>
                <w:szCs w:val="20"/>
                <w:lang w:val="en-AU" w:eastAsia="en-ID"/>
              </w:rPr>
              <w:t>Percentage per Criterion</w:t>
            </w:r>
          </w:p>
        </w:tc>
      </w:tr>
      <w:tr w:rsidR="00294E2E" w:rsidRPr="00294E2E" w:rsidTr="00294E2E">
        <w:trPr>
          <w:trHeight w:val="230"/>
          <w:jc w:val="center"/>
        </w:trPr>
        <w:tc>
          <w:tcPr>
            <w:tcW w:w="2061" w:type="dxa"/>
            <w:vMerge w:val="restart"/>
            <w:tcBorders>
              <w:top w:val="single" w:sz="4" w:space="0" w:color="auto"/>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Cover Image</w:t>
            </w:r>
          </w:p>
        </w:tc>
        <w:tc>
          <w:tcPr>
            <w:tcW w:w="1986" w:type="dxa"/>
            <w:vMerge w:val="restart"/>
            <w:tcBorders>
              <w:top w:val="single" w:sz="4" w:space="0" w:color="auto"/>
              <w:left w:val="nil"/>
              <w:bottom w:val="nil"/>
              <w:right w:val="nil"/>
            </w:tcBorders>
          </w:tcPr>
          <w:p w:rsidR="00294E2E" w:rsidRPr="00294E2E" w:rsidRDefault="00294E2E" w:rsidP="00294E2E">
            <w:pPr>
              <w:numPr>
                <w:ilvl w:val="0"/>
                <w:numId w:val="25"/>
              </w:numPr>
              <w:spacing w:after="200" w:line="240" w:lineRule="auto"/>
              <w:ind w:left="302" w:hanging="284"/>
              <w:contextualSpacing/>
              <w:rPr>
                <w:rFonts w:ascii="Times New Roman" w:eastAsia="MS Mincho" w:hAnsi="Times New Roman" w:cs="Times New Roman"/>
                <w:sz w:val="20"/>
                <w:szCs w:val="20"/>
                <w:lang w:val="en-US" w:eastAsia="x-none"/>
              </w:rPr>
            </w:pPr>
            <w:r w:rsidRPr="00294E2E">
              <w:rPr>
                <w:rFonts w:ascii="Times New Roman" w:eastAsia="MS Mincho" w:hAnsi="Times New Roman" w:cs="Times New Roman"/>
                <w:sz w:val="20"/>
                <w:szCs w:val="20"/>
                <w:lang w:val="x-none" w:eastAsia="x-none"/>
              </w:rPr>
              <w:t>Layout of teaching materials</w:t>
            </w:r>
          </w:p>
        </w:tc>
        <w:tc>
          <w:tcPr>
            <w:tcW w:w="673" w:type="dxa"/>
            <w:tcBorders>
              <w:top w:val="single" w:sz="4" w:space="0" w:color="auto"/>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1</w:t>
            </w:r>
          </w:p>
        </w:tc>
        <w:tc>
          <w:tcPr>
            <w:tcW w:w="731" w:type="dxa"/>
            <w:tcBorders>
              <w:top w:val="single" w:sz="4" w:space="0" w:color="auto"/>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single" w:sz="4" w:space="0" w:color="auto"/>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val="restart"/>
            <w:tcBorders>
              <w:top w:val="single" w:sz="4" w:space="0" w:color="auto"/>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3,5</w:t>
            </w:r>
          </w:p>
        </w:tc>
        <w:tc>
          <w:tcPr>
            <w:tcW w:w="1276" w:type="dxa"/>
            <w:vMerge w:val="restart"/>
            <w:tcBorders>
              <w:top w:val="single" w:sz="4" w:space="0" w:color="auto"/>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87.5%</w:t>
            </w: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2</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val="restart"/>
            <w:tcBorders>
              <w:top w:val="nil"/>
              <w:left w:val="nil"/>
              <w:bottom w:val="nil"/>
              <w:right w:val="nil"/>
            </w:tcBorders>
          </w:tcPr>
          <w:p w:rsidR="00294E2E" w:rsidRPr="00294E2E" w:rsidRDefault="00294E2E" w:rsidP="00294E2E">
            <w:pPr>
              <w:numPr>
                <w:ilvl w:val="0"/>
                <w:numId w:val="24"/>
              </w:numPr>
              <w:spacing w:after="200" w:line="240" w:lineRule="auto"/>
              <w:ind w:left="302" w:hanging="284"/>
              <w:contextualSpacing/>
              <w:rPr>
                <w:rFonts w:ascii="Times New Roman" w:eastAsia="MS Mincho" w:hAnsi="Times New Roman" w:cs="Times New Roman"/>
                <w:sz w:val="20"/>
                <w:szCs w:val="20"/>
                <w:lang w:val="en-US" w:eastAsia="x-none"/>
              </w:rPr>
            </w:pPr>
            <w:r w:rsidRPr="00294E2E">
              <w:rPr>
                <w:rFonts w:ascii="Times New Roman" w:eastAsia="MS Mincho" w:hAnsi="Times New Roman" w:cs="Times New Roman"/>
                <w:sz w:val="20"/>
                <w:szCs w:val="20"/>
                <w:lang w:val="x-none" w:eastAsia="x-none"/>
              </w:rPr>
              <w:t>Typography teaching materials</w:t>
            </w: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1</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1276"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75%</w:t>
            </w: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2</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2</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val="restart"/>
            <w:tcBorders>
              <w:top w:val="nil"/>
              <w:left w:val="nil"/>
              <w:bottom w:val="nil"/>
              <w:right w:val="nil"/>
            </w:tcBorders>
          </w:tcPr>
          <w:p w:rsidR="00294E2E" w:rsidRPr="00294E2E" w:rsidRDefault="00294E2E" w:rsidP="00294E2E">
            <w:pPr>
              <w:numPr>
                <w:ilvl w:val="0"/>
                <w:numId w:val="23"/>
              </w:numPr>
              <w:spacing w:after="200" w:line="240" w:lineRule="auto"/>
              <w:ind w:left="302" w:hanging="302"/>
              <w:contextualSpacing/>
              <w:rPr>
                <w:rFonts w:ascii="Times New Roman" w:eastAsia="MS Mincho" w:hAnsi="Times New Roman" w:cs="Times New Roman"/>
                <w:sz w:val="20"/>
                <w:szCs w:val="20"/>
                <w:lang w:val="en-US" w:eastAsia="x-none"/>
              </w:rPr>
            </w:pPr>
            <w:r w:rsidRPr="00294E2E">
              <w:rPr>
                <w:rFonts w:ascii="Times New Roman" w:eastAsia="MS Mincho" w:hAnsi="Times New Roman" w:cs="Times New Roman"/>
                <w:sz w:val="20"/>
                <w:szCs w:val="20"/>
                <w:lang w:val="en-US" w:eastAsia="x-none"/>
              </w:rPr>
              <w:t xml:space="preserve">teaching </w:t>
            </w:r>
            <w:r w:rsidRPr="00294E2E">
              <w:rPr>
                <w:rFonts w:ascii="Times New Roman" w:eastAsia="MS Mincho" w:hAnsi="Times New Roman" w:cs="Times New Roman"/>
                <w:sz w:val="20"/>
                <w:szCs w:val="20"/>
                <w:lang w:val="x-none" w:eastAsia="x-none"/>
              </w:rPr>
              <w:t>materials</w:t>
            </w: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1</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1276"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75%</w:t>
            </w: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2</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2</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val="restart"/>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Content Graphics</w:t>
            </w:r>
          </w:p>
        </w:tc>
        <w:tc>
          <w:tcPr>
            <w:tcW w:w="1986" w:type="dxa"/>
            <w:vMerge w:val="restart"/>
            <w:tcBorders>
              <w:top w:val="nil"/>
              <w:left w:val="nil"/>
              <w:bottom w:val="nil"/>
              <w:right w:val="nil"/>
            </w:tcBorders>
          </w:tcPr>
          <w:p w:rsidR="00294E2E" w:rsidRPr="00294E2E" w:rsidRDefault="00294E2E" w:rsidP="00294E2E">
            <w:pPr>
              <w:numPr>
                <w:ilvl w:val="0"/>
                <w:numId w:val="23"/>
              </w:numPr>
              <w:spacing w:after="200" w:line="240" w:lineRule="auto"/>
              <w:ind w:left="302" w:hanging="284"/>
              <w:contextualSpacing/>
              <w:rPr>
                <w:rFonts w:ascii="Times New Roman" w:eastAsia="MS Mincho" w:hAnsi="Times New Roman" w:cs="Times New Roman"/>
                <w:sz w:val="20"/>
                <w:szCs w:val="20"/>
                <w:lang w:val="en-US" w:eastAsia="x-none"/>
              </w:rPr>
            </w:pPr>
            <w:r w:rsidRPr="00294E2E">
              <w:rPr>
                <w:rFonts w:ascii="Times New Roman" w:eastAsia="MS Mincho" w:hAnsi="Times New Roman" w:cs="Times New Roman"/>
                <w:sz w:val="20"/>
                <w:szCs w:val="20"/>
                <w:lang w:val="x-none" w:eastAsia="x-none"/>
              </w:rPr>
              <w:t>Layout of teaching materials</w:t>
            </w: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1</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1276"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100%</w:t>
            </w: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2</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val="restart"/>
            <w:tcBorders>
              <w:top w:val="nil"/>
              <w:left w:val="nil"/>
              <w:bottom w:val="nil"/>
              <w:right w:val="nil"/>
            </w:tcBorders>
          </w:tcPr>
          <w:p w:rsidR="00294E2E" w:rsidRPr="00294E2E" w:rsidRDefault="00294E2E" w:rsidP="00294E2E">
            <w:pPr>
              <w:numPr>
                <w:ilvl w:val="0"/>
                <w:numId w:val="23"/>
              </w:numPr>
              <w:spacing w:after="200" w:line="240" w:lineRule="auto"/>
              <w:ind w:left="302" w:hanging="284"/>
              <w:contextualSpacing/>
              <w:rPr>
                <w:rFonts w:ascii="Times New Roman" w:eastAsia="MS Mincho" w:hAnsi="Times New Roman" w:cs="Times New Roman"/>
                <w:sz w:val="20"/>
                <w:szCs w:val="20"/>
                <w:lang w:val="en-US" w:eastAsia="x-none"/>
              </w:rPr>
            </w:pPr>
            <w:r w:rsidRPr="00294E2E">
              <w:rPr>
                <w:rFonts w:ascii="Times New Roman" w:eastAsia="MS Mincho" w:hAnsi="Times New Roman" w:cs="Times New Roman"/>
                <w:sz w:val="20"/>
                <w:szCs w:val="20"/>
                <w:lang w:val="x-none" w:eastAsia="x-none"/>
              </w:rPr>
              <w:t>Typography teaching materials</w:t>
            </w: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1</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3,6</w:t>
            </w:r>
          </w:p>
        </w:tc>
        <w:tc>
          <w:tcPr>
            <w:tcW w:w="1276"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91.6%</w:t>
            </w: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2</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val="restart"/>
            <w:tcBorders>
              <w:top w:val="nil"/>
              <w:left w:val="nil"/>
              <w:bottom w:val="nil"/>
              <w:right w:val="nil"/>
            </w:tcBorders>
          </w:tcPr>
          <w:p w:rsidR="00294E2E" w:rsidRPr="00294E2E" w:rsidRDefault="00294E2E" w:rsidP="00294E2E">
            <w:pPr>
              <w:numPr>
                <w:ilvl w:val="0"/>
                <w:numId w:val="23"/>
              </w:numPr>
              <w:spacing w:after="200" w:line="240" w:lineRule="auto"/>
              <w:ind w:left="302" w:hanging="284"/>
              <w:contextualSpacing/>
              <w:rPr>
                <w:rFonts w:ascii="Times New Roman" w:eastAsia="MS Mincho" w:hAnsi="Times New Roman" w:cs="Times New Roman"/>
                <w:sz w:val="20"/>
                <w:szCs w:val="20"/>
                <w:lang w:val="en-US" w:eastAsia="x-none"/>
              </w:rPr>
            </w:pPr>
            <w:r w:rsidRPr="00294E2E">
              <w:rPr>
                <w:rFonts w:ascii="Times New Roman" w:eastAsia="MS Mincho" w:hAnsi="Times New Roman" w:cs="Times New Roman"/>
                <w:sz w:val="20"/>
                <w:szCs w:val="20"/>
                <w:lang w:val="x-none" w:eastAsia="x-none"/>
              </w:rPr>
              <w:t>Illustration of teaching materials</w:t>
            </w:r>
          </w:p>
        </w:tc>
        <w:tc>
          <w:tcPr>
            <w:tcW w:w="673"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1</w:t>
            </w:r>
          </w:p>
        </w:tc>
        <w:tc>
          <w:tcPr>
            <w:tcW w:w="731"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1276" w:type="dxa"/>
            <w:vMerge w:val="restart"/>
            <w:tcBorders>
              <w:top w:val="nil"/>
              <w:left w:val="nil"/>
              <w:bottom w:val="nil"/>
              <w:right w:val="nil"/>
            </w:tcBorders>
            <w:vAlign w:val="center"/>
          </w:tcPr>
          <w:p w:rsidR="00294E2E" w:rsidRPr="00294E2E" w:rsidRDefault="00294E2E" w:rsidP="00294E2E">
            <w:pPr>
              <w:spacing w:after="0" w:line="240" w:lineRule="auto"/>
              <w:jc w:val="center"/>
              <w:rPr>
                <w:rFonts w:ascii="Times New Roman" w:eastAsia="MS Mincho" w:hAnsi="Times New Roman" w:cs="Times New Roman"/>
                <w:b/>
                <w:sz w:val="20"/>
                <w:szCs w:val="20"/>
                <w:lang w:val="en-AU" w:eastAsia="en-ID"/>
              </w:rPr>
            </w:pPr>
          </w:p>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100%</w:t>
            </w:r>
          </w:p>
        </w:tc>
      </w:tr>
      <w:tr w:rsidR="00294E2E" w:rsidRPr="00294E2E" w:rsidTr="00294E2E">
        <w:trPr>
          <w:trHeight w:val="230"/>
          <w:jc w:val="center"/>
        </w:trPr>
        <w:tc>
          <w:tcPr>
            <w:tcW w:w="2061" w:type="dxa"/>
            <w:vMerge/>
            <w:tcBorders>
              <w:top w:val="nil"/>
              <w:left w:val="nil"/>
              <w:bottom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bottom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673" w:type="dxa"/>
            <w:tcBorders>
              <w:top w:val="nil"/>
              <w:left w:val="nil"/>
              <w:bottom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2</w:t>
            </w:r>
          </w:p>
        </w:tc>
        <w:tc>
          <w:tcPr>
            <w:tcW w:w="731" w:type="dxa"/>
            <w:tcBorders>
              <w:top w:val="nil"/>
              <w:left w:val="nil"/>
              <w:bottom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bottom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bottom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1276" w:type="dxa"/>
            <w:vMerge/>
            <w:tcBorders>
              <w:top w:val="nil"/>
              <w:left w:val="nil"/>
              <w:bottom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r>
      <w:tr w:rsidR="00294E2E" w:rsidRPr="00294E2E" w:rsidTr="00294E2E">
        <w:trPr>
          <w:trHeight w:val="230"/>
          <w:jc w:val="center"/>
        </w:trPr>
        <w:tc>
          <w:tcPr>
            <w:tcW w:w="2061" w:type="dxa"/>
            <w:vMerge/>
            <w:tcBorders>
              <w:top w:val="nil"/>
              <w:left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986" w:type="dxa"/>
            <w:vMerge/>
            <w:tcBorders>
              <w:top w:val="nil"/>
              <w:left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US" w:eastAsia="en-ID"/>
              </w:rPr>
            </w:pPr>
          </w:p>
        </w:tc>
        <w:tc>
          <w:tcPr>
            <w:tcW w:w="673" w:type="dxa"/>
            <w:tcBorders>
              <w:top w:val="nil"/>
              <w:left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3</w:t>
            </w:r>
          </w:p>
        </w:tc>
        <w:tc>
          <w:tcPr>
            <w:tcW w:w="731" w:type="dxa"/>
            <w:tcBorders>
              <w:top w:val="nil"/>
              <w:left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66" w:type="dxa"/>
            <w:tcBorders>
              <w:top w:val="nil"/>
              <w:left w:val="nil"/>
              <w:right w:val="nil"/>
            </w:tcBorders>
          </w:tcPr>
          <w:p w:rsidR="00294E2E" w:rsidRPr="00294E2E" w:rsidRDefault="00294E2E" w:rsidP="00294E2E">
            <w:pPr>
              <w:spacing w:after="0" w:line="240" w:lineRule="auto"/>
              <w:jc w:val="center"/>
              <w:rPr>
                <w:rFonts w:ascii="Times New Roman" w:eastAsia="MS Mincho" w:hAnsi="Times New Roman" w:cs="Times New Roman"/>
                <w:sz w:val="20"/>
                <w:szCs w:val="20"/>
                <w:lang w:val="en-AU" w:eastAsia="en-ID"/>
              </w:rPr>
            </w:pPr>
            <w:r w:rsidRPr="00294E2E">
              <w:rPr>
                <w:rFonts w:ascii="Times New Roman" w:eastAsia="MS Mincho" w:hAnsi="Times New Roman" w:cs="Times New Roman"/>
                <w:sz w:val="20"/>
                <w:szCs w:val="20"/>
                <w:lang w:val="en-AU" w:eastAsia="en-ID"/>
              </w:rPr>
              <w:t>4</w:t>
            </w:r>
          </w:p>
        </w:tc>
        <w:tc>
          <w:tcPr>
            <w:tcW w:w="995" w:type="dxa"/>
            <w:vMerge/>
            <w:tcBorders>
              <w:top w:val="nil"/>
              <w:left w:val="nil"/>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c>
          <w:tcPr>
            <w:tcW w:w="1276" w:type="dxa"/>
            <w:vMerge/>
            <w:tcBorders>
              <w:top w:val="nil"/>
              <w:left w:val="nil"/>
              <w:bottom w:val="single" w:sz="4" w:space="0" w:color="auto"/>
              <w:right w:val="nil"/>
            </w:tcBorders>
          </w:tcPr>
          <w:p w:rsidR="00294E2E" w:rsidRPr="00294E2E" w:rsidRDefault="00294E2E" w:rsidP="00294E2E">
            <w:pPr>
              <w:spacing w:after="0" w:line="240" w:lineRule="auto"/>
              <w:rPr>
                <w:rFonts w:ascii="Times New Roman" w:eastAsia="MS Mincho" w:hAnsi="Times New Roman" w:cs="Times New Roman"/>
                <w:sz w:val="20"/>
                <w:szCs w:val="20"/>
                <w:lang w:val="en-US" w:eastAsia="en-ID"/>
              </w:rPr>
            </w:pPr>
          </w:p>
        </w:tc>
      </w:tr>
    </w:tbl>
    <w:p w:rsidR="00294E2E" w:rsidRPr="00294E2E" w:rsidRDefault="00294E2E" w:rsidP="00294E2E">
      <w:pPr>
        <w:spacing w:after="0" w:line="240" w:lineRule="auto"/>
        <w:ind w:left="142" w:firstLine="578"/>
        <w:contextualSpacing/>
        <w:jc w:val="both"/>
        <w:rPr>
          <w:rFonts w:ascii="Cambria" w:eastAsia="Cambria" w:hAnsi="Cambria" w:cs="Cambria"/>
          <w:sz w:val="20"/>
          <w:szCs w:val="20"/>
          <w:lang w:val="en-US" w:eastAsia="x-none"/>
        </w:rPr>
      </w:pPr>
    </w:p>
    <w:p w:rsidR="00294E2E" w:rsidRPr="00294E2E" w:rsidRDefault="00294E2E" w:rsidP="00294E2E">
      <w:pPr>
        <w:spacing w:after="0" w:line="240" w:lineRule="auto"/>
        <w:ind w:left="142" w:firstLine="578"/>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 xml:space="preserve">Evaluation of all graphic aspects, including cover and content, resulted in a score of 89%. For cover images, the percentage values for each subcomponent are as follows: 87.5% for layout, 75% for typography, and 75% for illustrations. For graphic content, with percentage values of 100% for layout, 91.6% for typography, and 100% for illustrations. </w:t>
      </w:r>
    </w:p>
    <w:p w:rsidR="00294E2E" w:rsidRDefault="00294E2E" w:rsidP="00294E2E">
      <w:pPr>
        <w:spacing w:after="0" w:line="240" w:lineRule="auto"/>
        <w:ind w:left="142" w:firstLine="578"/>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 xml:space="preserve">The title Development of Indonesian Language Teaching Materials Based on Folklore to Support the School Literacy Movement in Low Grades written by Muhammad </w:t>
      </w:r>
      <w:proofErr w:type="spellStart"/>
      <w:r w:rsidRPr="00294E2E">
        <w:rPr>
          <w:rFonts w:ascii="Cambria" w:eastAsia="Cambria" w:hAnsi="Cambria" w:cs="Cambria"/>
          <w:sz w:val="20"/>
          <w:szCs w:val="20"/>
          <w:lang w:val="en-US" w:eastAsia="x-none"/>
        </w:rPr>
        <w:t>Asip</w:t>
      </w:r>
      <w:proofErr w:type="spellEnd"/>
      <w:r w:rsidRPr="00294E2E">
        <w:rPr>
          <w:rFonts w:ascii="Cambria" w:eastAsia="Cambria" w:hAnsi="Cambria" w:cs="Cambria"/>
          <w:sz w:val="20"/>
          <w:szCs w:val="20"/>
          <w:lang w:val="en-US" w:eastAsia="x-none"/>
        </w:rPr>
        <w:t xml:space="preserve">, Abdul </w:t>
      </w:r>
      <w:proofErr w:type="spellStart"/>
      <w:r w:rsidRPr="00294E2E">
        <w:rPr>
          <w:rFonts w:ascii="Cambria" w:eastAsia="Cambria" w:hAnsi="Cambria" w:cs="Cambria"/>
          <w:sz w:val="20"/>
          <w:szCs w:val="20"/>
          <w:lang w:val="en-US" w:eastAsia="x-none"/>
        </w:rPr>
        <w:t>Muktadir</w:t>
      </w:r>
      <w:proofErr w:type="spellEnd"/>
      <w:r w:rsidRPr="00294E2E">
        <w:rPr>
          <w:rFonts w:ascii="Cambria" w:eastAsia="Cambria" w:hAnsi="Cambria" w:cs="Cambria"/>
          <w:sz w:val="20"/>
          <w:szCs w:val="20"/>
          <w:lang w:val="en-US" w:eastAsia="x-none"/>
        </w:rPr>
        <w:t xml:space="preserve"> and </w:t>
      </w:r>
      <w:proofErr w:type="spellStart"/>
      <w:r w:rsidRPr="00294E2E">
        <w:rPr>
          <w:rFonts w:ascii="Cambria" w:eastAsia="Cambria" w:hAnsi="Cambria" w:cs="Cambria"/>
          <w:sz w:val="20"/>
          <w:szCs w:val="20"/>
          <w:lang w:val="en-US" w:eastAsia="x-none"/>
        </w:rPr>
        <w:t>Irwan</w:t>
      </w:r>
      <w:proofErr w:type="spellEnd"/>
      <w:r w:rsidRPr="00294E2E">
        <w:rPr>
          <w:rFonts w:ascii="Cambria" w:eastAsia="Cambria" w:hAnsi="Cambria" w:cs="Cambria"/>
          <w:sz w:val="20"/>
          <w:szCs w:val="20"/>
          <w:lang w:val="en-US" w:eastAsia="x-none"/>
        </w:rPr>
        <w:t xml:space="preserve"> Koto. This study highlights the low interest in reading elementary school children, therefore researchers designed teaching materials based on local stories of Bengkulu people. The results showed that teachers need teaching materials that contain Bengkulu folklore, and combine verbal and visual language. Meanwhile, students need teaching materials in the form of folklore with illustrations, bright colors, and short sentences. The title Effectiveness of Local Wisdom-Based Teaching Materials on Students' Activities and Learning Outcomes written by </w:t>
      </w:r>
      <w:proofErr w:type="spellStart"/>
      <w:r w:rsidRPr="00294E2E">
        <w:rPr>
          <w:rFonts w:ascii="Cambria" w:eastAsia="Cambria" w:hAnsi="Cambria" w:cs="Cambria"/>
          <w:sz w:val="20"/>
          <w:szCs w:val="20"/>
          <w:lang w:val="en-US" w:eastAsia="x-none"/>
        </w:rPr>
        <w:t>Anggi</w:t>
      </w:r>
      <w:proofErr w:type="spellEnd"/>
      <w:r w:rsidRPr="00294E2E">
        <w:rPr>
          <w:rFonts w:ascii="Cambria" w:eastAsia="Cambria" w:hAnsi="Cambria" w:cs="Cambria"/>
          <w:sz w:val="20"/>
          <w:szCs w:val="20"/>
          <w:lang w:val="en-US" w:eastAsia="x-none"/>
        </w:rPr>
        <w:t xml:space="preserve"> </w:t>
      </w:r>
      <w:proofErr w:type="spellStart"/>
      <w:r w:rsidRPr="00294E2E">
        <w:rPr>
          <w:rFonts w:ascii="Cambria" w:eastAsia="Cambria" w:hAnsi="Cambria" w:cs="Cambria"/>
          <w:sz w:val="20"/>
          <w:szCs w:val="20"/>
          <w:lang w:val="en-US" w:eastAsia="x-none"/>
        </w:rPr>
        <w:t>Anggramayeni</w:t>
      </w:r>
      <w:proofErr w:type="spellEnd"/>
      <w:r w:rsidRPr="00294E2E">
        <w:rPr>
          <w:rFonts w:ascii="Cambria" w:eastAsia="Cambria" w:hAnsi="Cambria" w:cs="Cambria"/>
          <w:sz w:val="20"/>
          <w:szCs w:val="20"/>
          <w:lang w:val="en-US" w:eastAsia="x-none"/>
        </w:rPr>
        <w:t xml:space="preserve">, </w:t>
      </w:r>
      <w:proofErr w:type="spellStart"/>
      <w:r w:rsidRPr="00294E2E">
        <w:rPr>
          <w:rFonts w:ascii="Cambria" w:eastAsia="Cambria" w:hAnsi="Cambria" w:cs="Cambria"/>
          <w:sz w:val="20"/>
          <w:szCs w:val="20"/>
          <w:lang w:val="en-US" w:eastAsia="x-none"/>
        </w:rPr>
        <w:t>Berti</w:t>
      </w:r>
      <w:proofErr w:type="spellEnd"/>
      <w:r w:rsidRPr="00294E2E">
        <w:rPr>
          <w:rFonts w:ascii="Cambria" w:eastAsia="Cambria" w:hAnsi="Cambria" w:cs="Cambria"/>
          <w:sz w:val="20"/>
          <w:szCs w:val="20"/>
          <w:lang w:val="en-US" w:eastAsia="x-none"/>
        </w:rPr>
        <w:t xml:space="preserve"> </w:t>
      </w:r>
      <w:proofErr w:type="spellStart"/>
      <w:r w:rsidRPr="00294E2E">
        <w:rPr>
          <w:rFonts w:ascii="Cambria" w:eastAsia="Cambria" w:hAnsi="Cambria" w:cs="Cambria"/>
          <w:sz w:val="20"/>
          <w:szCs w:val="20"/>
          <w:lang w:val="en-US" w:eastAsia="x-none"/>
        </w:rPr>
        <w:t>Yolida</w:t>
      </w:r>
      <w:proofErr w:type="spellEnd"/>
      <w:r w:rsidRPr="00294E2E">
        <w:rPr>
          <w:rFonts w:ascii="Cambria" w:eastAsia="Cambria" w:hAnsi="Cambria" w:cs="Cambria"/>
          <w:sz w:val="20"/>
          <w:szCs w:val="20"/>
          <w:lang w:val="en-US" w:eastAsia="x-none"/>
        </w:rPr>
        <w:t xml:space="preserve">, </w:t>
      </w:r>
      <w:proofErr w:type="spellStart"/>
      <w:r w:rsidRPr="00294E2E">
        <w:rPr>
          <w:rFonts w:ascii="Cambria" w:eastAsia="Cambria" w:hAnsi="Cambria" w:cs="Cambria"/>
          <w:sz w:val="20"/>
          <w:szCs w:val="20"/>
          <w:lang w:val="en-US" w:eastAsia="x-none"/>
        </w:rPr>
        <w:t>Rini</w:t>
      </w:r>
      <w:proofErr w:type="spellEnd"/>
      <w:r w:rsidRPr="00294E2E">
        <w:rPr>
          <w:rFonts w:ascii="Cambria" w:eastAsia="Cambria" w:hAnsi="Cambria" w:cs="Cambria"/>
          <w:sz w:val="20"/>
          <w:szCs w:val="20"/>
          <w:lang w:val="en-US" w:eastAsia="x-none"/>
        </w:rPr>
        <w:t xml:space="preserve"> Rita T. </w:t>
      </w:r>
      <w:proofErr w:type="spellStart"/>
      <w:r w:rsidRPr="00294E2E">
        <w:rPr>
          <w:rFonts w:ascii="Cambria" w:eastAsia="Cambria" w:hAnsi="Cambria" w:cs="Cambria"/>
          <w:sz w:val="20"/>
          <w:szCs w:val="20"/>
          <w:lang w:val="en-US" w:eastAsia="x-none"/>
        </w:rPr>
        <w:t>Marpaung</w:t>
      </w:r>
      <w:proofErr w:type="spellEnd"/>
      <w:r w:rsidRPr="00294E2E">
        <w:rPr>
          <w:rFonts w:ascii="Cambria" w:eastAsia="Cambria" w:hAnsi="Cambria" w:cs="Cambria"/>
          <w:sz w:val="20"/>
          <w:szCs w:val="20"/>
          <w:lang w:val="en-US" w:eastAsia="x-none"/>
        </w:rPr>
        <w:t xml:space="preserve">. This research highlights the difficulties of teachers in implementing thematic learning in classrooms where children still appear passive. Based on this, the research developed teaching materials to increase the effectiveness of learning by utilizing local wisdom. The results showed that students' learning activities were considered good. The highest activity aspect was listening to the teacher's explanation, while the lowest was defending opinions. Teaching materials based on local wisdom proved effective in improving students' learning outcomes. The title Effectiveness of Local Wisdom-Based Teaching Materials on Writing Literacy Skills of Elementary School Students written by </w:t>
      </w:r>
      <w:proofErr w:type="spellStart"/>
      <w:r w:rsidRPr="00294E2E">
        <w:rPr>
          <w:rFonts w:ascii="Cambria" w:eastAsia="Cambria" w:hAnsi="Cambria" w:cs="Cambria"/>
          <w:sz w:val="20"/>
          <w:szCs w:val="20"/>
          <w:lang w:val="en-US" w:eastAsia="x-none"/>
        </w:rPr>
        <w:t>Mimin</w:t>
      </w:r>
      <w:proofErr w:type="spellEnd"/>
      <w:r w:rsidRPr="00294E2E">
        <w:rPr>
          <w:rFonts w:ascii="Cambria" w:eastAsia="Cambria" w:hAnsi="Cambria" w:cs="Cambria"/>
          <w:sz w:val="20"/>
          <w:szCs w:val="20"/>
          <w:lang w:val="en-US" w:eastAsia="x-none"/>
        </w:rPr>
        <w:t xml:space="preserve"> </w:t>
      </w:r>
      <w:proofErr w:type="spellStart"/>
      <w:r w:rsidRPr="00294E2E">
        <w:rPr>
          <w:rFonts w:ascii="Cambria" w:eastAsia="Cambria" w:hAnsi="Cambria" w:cs="Cambria"/>
          <w:sz w:val="20"/>
          <w:szCs w:val="20"/>
          <w:lang w:val="en-US" w:eastAsia="x-none"/>
        </w:rPr>
        <w:t>Ninawati</w:t>
      </w:r>
      <w:proofErr w:type="spellEnd"/>
      <w:r w:rsidRPr="00294E2E">
        <w:rPr>
          <w:rFonts w:ascii="Cambria" w:eastAsia="Cambria" w:hAnsi="Cambria" w:cs="Cambria"/>
          <w:sz w:val="20"/>
          <w:szCs w:val="20"/>
          <w:lang w:val="en-US" w:eastAsia="x-none"/>
        </w:rPr>
        <w:t xml:space="preserve"> and Nur </w:t>
      </w:r>
      <w:proofErr w:type="spellStart"/>
      <w:r w:rsidRPr="00294E2E">
        <w:rPr>
          <w:rFonts w:ascii="Cambria" w:eastAsia="Cambria" w:hAnsi="Cambria" w:cs="Cambria"/>
          <w:sz w:val="20"/>
          <w:szCs w:val="20"/>
          <w:lang w:val="en-US" w:eastAsia="x-none"/>
        </w:rPr>
        <w:t>Wahyuni</w:t>
      </w:r>
      <w:proofErr w:type="spellEnd"/>
      <w:r w:rsidRPr="00294E2E">
        <w:rPr>
          <w:rFonts w:ascii="Cambria" w:eastAsia="Cambria" w:hAnsi="Cambria" w:cs="Cambria"/>
          <w:sz w:val="20"/>
          <w:szCs w:val="20"/>
          <w:lang w:val="en-US" w:eastAsia="x-none"/>
        </w:rPr>
        <w:t>. This research highlights the low listening and writing skills of elementary school students so that research designs teaching materials for local wisdom-based to increase learning effectiveness. The research found that there was a significant difference in students' writing ability before and after using the local wisdom-focused lesson materials. These materials help develop positive values in students and also improve their writing skills at the primary school level</w:t>
      </w:r>
      <w:r>
        <w:rPr>
          <w:rFonts w:ascii="Cambria" w:eastAsia="Cambria" w:hAnsi="Cambria" w:cs="Cambria"/>
          <w:sz w:val="20"/>
          <w:szCs w:val="20"/>
          <w:lang w:val="en-US" w:eastAsia="x-none"/>
        </w:rPr>
        <w:t>.</w:t>
      </w:r>
    </w:p>
    <w:p w:rsidR="00294E2E" w:rsidRPr="00294E2E" w:rsidRDefault="00294E2E" w:rsidP="00294E2E">
      <w:pPr>
        <w:spacing w:after="0" w:line="240" w:lineRule="auto"/>
        <w:ind w:left="142" w:firstLine="578"/>
        <w:contextualSpacing/>
        <w:jc w:val="both"/>
        <w:rPr>
          <w:rFonts w:ascii="Cambria" w:eastAsia="Cambria" w:hAnsi="Cambria" w:cs="Cambria"/>
          <w:sz w:val="20"/>
          <w:szCs w:val="20"/>
          <w:lang w:val="en-US" w:eastAsia="x-none"/>
        </w:rPr>
      </w:pPr>
    </w:p>
    <w:p w:rsidR="00294E2E" w:rsidRPr="00294E2E" w:rsidRDefault="00294E2E" w:rsidP="00294E2E">
      <w:pPr>
        <w:spacing w:after="0" w:line="240" w:lineRule="auto"/>
        <w:rPr>
          <w:rFonts w:ascii="Cambria" w:eastAsia="Cambria" w:hAnsi="Cambria" w:cs="Cambria"/>
          <w:b/>
          <w:color w:val="000000"/>
          <w:sz w:val="24"/>
          <w:szCs w:val="24"/>
          <w:lang w:val="en-AU" w:eastAsia="en-ID"/>
        </w:rPr>
      </w:pPr>
    </w:p>
    <w:p w:rsidR="00294E2E" w:rsidRPr="00294E2E" w:rsidRDefault="00294E2E" w:rsidP="00294E2E">
      <w:pPr>
        <w:spacing w:after="0" w:line="240" w:lineRule="auto"/>
        <w:rPr>
          <w:rFonts w:ascii="Cambria" w:eastAsia="Cambria" w:hAnsi="Cambria" w:cs="Cambria"/>
          <w:b/>
          <w:color w:val="000000"/>
          <w:sz w:val="24"/>
          <w:szCs w:val="24"/>
          <w:lang w:val="en-AU" w:eastAsia="en-ID"/>
        </w:rPr>
      </w:pPr>
      <w:r w:rsidRPr="00294E2E">
        <w:rPr>
          <w:rFonts w:ascii="Cambria" w:eastAsia="Cambria" w:hAnsi="Cambria" w:cs="Cambria"/>
          <w:b/>
          <w:color w:val="000000"/>
          <w:sz w:val="24"/>
          <w:szCs w:val="24"/>
          <w:lang w:val="en-AU" w:eastAsia="en-ID"/>
        </w:rPr>
        <w:lastRenderedPageBreak/>
        <w:t>Analysis</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bookmarkStart w:id="1" w:name="_Hlk166748223"/>
      <w:r w:rsidRPr="00294E2E">
        <w:rPr>
          <w:rFonts w:ascii="Cambria" w:eastAsia="Cambria" w:hAnsi="Cambria" w:cs="Cambria"/>
          <w:sz w:val="20"/>
          <w:szCs w:val="20"/>
          <w:lang w:val="en-AU" w:eastAsia="en-ID"/>
        </w:rPr>
        <w:t xml:space="preserve">At this stage, there are two essential tasks to be completed. The first task involves </w:t>
      </w:r>
      <w:proofErr w:type="spellStart"/>
      <w:r w:rsidRPr="00294E2E">
        <w:rPr>
          <w:rFonts w:ascii="Cambria" w:eastAsia="Cambria" w:hAnsi="Cambria" w:cs="Cambria"/>
          <w:sz w:val="20"/>
          <w:szCs w:val="20"/>
          <w:lang w:val="en-AU" w:eastAsia="en-ID"/>
        </w:rPr>
        <w:t>analyzing</w:t>
      </w:r>
      <w:proofErr w:type="spellEnd"/>
      <w:r w:rsidRPr="00294E2E">
        <w:rPr>
          <w:rFonts w:ascii="Cambria" w:eastAsia="Cambria" w:hAnsi="Cambria" w:cs="Cambria"/>
          <w:sz w:val="20"/>
          <w:szCs w:val="20"/>
          <w:lang w:val="en-AU" w:eastAsia="en-ID"/>
        </w:rPr>
        <w:t xml:space="preserve"> the needs of content or learning materials in Indonesian language teaching materials, especially in the context of reading comprehension in texts related to local struggle figures. The second task is to </w:t>
      </w:r>
      <w:proofErr w:type="spellStart"/>
      <w:r w:rsidRPr="00294E2E">
        <w:rPr>
          <w:rFonts w:ascii="Cambria" w:eastAsia="Cambria" w:hAnsi="Cambria" w:cs="Cambria"/>
          <w:sz w:val="20"/>
          <w:szCs w:val="20"/>
          <w:lang w:val="en-AU" w:eastAsia="en-ID"/>
        </w:rPr>
        <w:t>analyze</w:t>
      </w:r>
      <w:proofErr w:type="spellEnd"/>
      <w:r w:rsidRPr="00294E2E">
        <w:rPr>
          <w:rFonts w:ascii="Cambria" w:eastAsia="Cambria" w:hAnsi="Cambria" w:cs="Cambria"/>
          <w:sz w:val="20"/>
          <w:szCs w:val="20"/>
          <w:lang w:val="en-AU" w:eastAsia="en-ID"/>
        </w:rPr>
        <w:t xml:space="preserve"> the need for teaching materials specifically designed to improve reading comprehension and critical thinking skills in studying the struggle of Prince </w:t>
      </w:r>
      <w:proofErr w:type="spellStart"/>
      <w:r w:rsidRPr="00294E2E">
        <w:rPr>
          <w:rFonts w:ascii="Cambria" w:eastAsia="Cambria" w:hAnsi="Cambria" w:cs="Cambria"/>
          <w:sz w:val="20"/>
          <w:szCs w:val="20"/>
          <w:lang w:val="en-AU" w:eastAsia="en-ID"/>
        </w:rPr>
        <w:t>Antasari</w:t>
      </w:r>
      <w:proofErr w:type="spellEnd"/>
      <w:r w:rsidRPr="00294E2E">
        <w:rPr>
          <w:rFonts w:ascii="Cambria" w:eastAsia="Cambria" w:hAnsi="Cambria" w:cs="Cambria"/>
          <w:sz w:val="20"/>
          <w:szCs w:val="20"/>
          <w:lang w:val="en-AU" w:eastAsia="en-ID"/>
        </w:rPr>
        <w:t xml:space="preserve"> as a West Kalimantan warrior figure. </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At this stage, the focus is on conducting activities to ascertain the content or learning materials required for the development of teaching materials. The specific objective was to identify all relevant content based on the Indonesian curriculum, with an emphasis on reading comprehension and critical thinking in the Bung </w:t>
      </w:r>
      <w:proofErr w:type="spellStart"/>
      <w:r w:rsidRPr="00294E2E">
        <w:rPr>
          <w:rFonts w:ascii="Cambria" w:eastAsia="Cambria" w:hAnsi="Cambria" w:cs="Cambria"/>
          <w:sz w:val="20"/>
          <w:szCs w:val="20"/>
          <w:lang w:val="en-AU" w:eastAsia="en-ID"/>
        </w:rPr>
        <w:t>Karno</w:t>
      </w:r>
      <w:proofErr w:type="spellEnd"/>
      <w:r w:rsidRPr="00294E2E">
        <w:rPr>
          <w:rFonts w:ascii="Cambria" w:eastAsia="Cambria" w:hAnsi="Cambria" w:cs="Cambria"/>
          <w:sz w:val="20"/>
          <w:szCs w:val="20"/>
          <w:lang w:val="en-AU" w:eastAsia="en-ID"/>
        </w:rPr>
        <w:t xml:space="preserve"> text, aimed at grade 5 students. In addition, a characteristic analysis was conducted by examining the curriculum and valid lesson plans (RPP) on reading comprehension in Indonesian language materials.</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At this stage, the focus of the research was on identifying the requirements of teaching materials that support reading comprehension and critical thinking skills, especially in the context of Prince </w:t>
      </w:r>
      <w:proofErr w:type="spellStart"/>
      <w:r w:rsidRPr="00294E2E">
        <w:rPr>
          <w:rFonts w:ascii="Cambria" w:eastAsia="Cambria" w:hAnsi="Cambria" w:cs="Cambria"/>
          <w:sz w:val="20"/>
          <w:szCs w:val="20"/>
          <w:lang w:val="en-AU" w:eastAsia="en-ID"/>
        </w:rPr>
        <w:t>Antasari</w:t>
      </w:r>
      <w:proofErr w:type="spellEnd"/>
      <w:r w:rsidRPr="00294E2E">
        <w:rPr>
          <w:rFonts w:ascii="Cambria" w:eastAsia="Cambria" w:hAnsi="Cambria" w:cs="Cambria"/>
          <w:sz w:val="20"/>
          <w:szCs w:val="20"/>
          <w:lang w:val="en-AU" w:eastAsia="en-ID"/>
        </w:rPr>
        <w:t xml:space="preserve"> texts. The aim was to identify the key components required in the development of effective teaching materials to improve students' reading skills when studying texts about </w:t>
      </w:r>
      <w:proofErr w:type="spellStart"/>
      <w:r w:rsidRPr="00294E2E">
        <w:rPr>
          <w:rFonts w:ascii="Cambria" w:eastAsia="Cambria" w:hAnsi="Cambria" w:cs="Cambria"/>
          <w:sz w:val="20"/>
          <w:szCs w:val="20"/>
          <w:lang w:val="en-AU" w:eastAsia="en-ID"/>
        </w:rPr>
        <w:t>Pangeran</w:t>
      </w:r>
      <w:proofErr w:type="spellEnd"/>
      <w:r w:rsidRPr="00294E2E">
        <w:rPr>
          <w:rFonts w:ascii="Cambria" w:eastAsia="Cambria" w:hAnsi="Cambria" w:cs="Cambria"/>
          <w:sz w:val="20"/>
          <w:szCs w:val="20"/>
          <w:lang w:val="en-AU" w:eastAsia="en-ID"/>
        </w:rPr>
        <w:t xml:space="preserve"> </w:t>
      </w:r>
      <w:proofErr w:type="spellStart"/>
      <w:r w:rsidRPr="00294E2E">
        <w:rPr>
          <w:rFonts w:ascii="Cambria" w:eastAsia="Cambria" w:hAnsi="Cambria" w:cs="Cambria"/>
          <w:sz w:val="20"/>
          <w:szCs w:val="20"/>
          <w:lang w:val="en-AU" w:eastAsia="en-ID"/>
        </w:rPr>
        <w:t>Antasari</w:t>
      </w:r>
      <w:proofErr w:type="spellEnd"/>
      <w:r w:rsidRPr="00294E2E">
        <w:rPr>
          <w:rFonts w:ascii="Cambria" w:eastAsia="Cambria" w:hAnsi="Cambria" w:cs="Cambria"/>
          <w:sz w:val="20"/>
          <w:szCs w:val="20"/>
          <w:lang w:val="en-AU" w:eastAsia="en-ID"/>
        </w:rPr>
        <w:t>.</w:t>
      </w:r>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r w:rsidRPr="00294E2E">
        <w:rPr>
          <w:rFonts w:ascii="Times New Roman" w:eastAsia="MS Mincho" w:hAnsi="Times New Roman" w:cs="Times New Roman"/>
          <w:sz w:val="24"/>
          <w:szCs w:val="24"/>
          <w:lang w:val="en-AU" w:eastAsia="en-ID"/>
        </w:rPr>
        <w:t xml:space="preserve"> </w:t>
      </w:r>
      <w:r w:rsidRPr="00294E2E">
        <w:rPr>
          <w:rFonts w:ascii="Cambria" w:eastAsia="Cambria" w:hAnsi="Cambria" w:cs="Cambria"/>
          <w:sz w:val="20"/>
          <w:szCs w:val="20"/>
          <w:lang w:val="en-AU" w:eastAsia="en-ID"/>
        </w:rPr>
        <w:t xml:space="preserve">At this stage, a needs analysis is conducted with the aim of thoroughly evaluating the need for teaching materials, considering the complex interaction of various factors that play a role in improving students' reading comprehension. These factors include the teacher's guidance strategy, the learning environment, the reader's background, individual differences among readers, the specific task, and the nature of the text itself. </w:t>
      </w:r>
      <w:bookmarkEnd w:id="1"/>
      <w:r w:rsidRPr="00294E2E">
        <w:rPr>
          <w:rFonts w:ascii="Cambria" w:eastAsia="Cambria" w:hAnsi="Cambria" w:cs="Cambria"/>
          <w:sz w:val="20"/>
          <w:szCs w:val="20"/>
          <w:lang w:val="en-AU" w:eastAsia="en-ID"/>
        </w:rPr>
        <w:t xml:space="preserve">In the context of teaching reading comprehension in narrative texts, various learning models are considered, as highlighted in the study by  </w:t>
      </w:r>
      <w:r w:rsidRPr="00294E2E">
        <w:rPr>
          <w:rFonts w:ascii="Cambria" w:eastAsia="Cambria" w:hAnsi="Cambria" w:cs="Cambria"/>
          <w:sz w:val="20"/>
          <w:szCs w:val="20"/>
          <w:lang w:val="en-AU" w:eastAsia="en-ID"/>
        </w:rPr>
        <w:fldChar w:fldCharType="begin" w:fldLock="1"/>
      </w:r>
      <w:r w:rsidRPr="00294E2E">
        <w:rPr>
          <w:rFonts w:ascii="Cambria" w:eastAsia="Cambria" w:hAnsi="Cambria" w:cs="Cambria"/>
          <w:sz w:val="20"/>
          <w:szCs w:val="20"/>
          <w:lang w:val="en-AU" w:eastAsia="en-ID"/>
        </w:rPr>
        <w:instrText>ADDIN CSL_CITATION {"citationItems":[{"id":"ITEM-1","itemData":{"DOI":"10.1016/j.lindif.2023.102290","ISSN":"10416080","author":[{"dropping-particle":"","family":"Wu","given":"Lin","non-dropping-particle":"","parse-names":false,"suffix":""},{"dropping-particle":"","family":"Valcke","given":"Martin","non-dropping-particle":"","parse-names":false,"suffix":""},{"dropping-particle":"","family":"Keer","given":"Hilde","non-dropping-particle":"Van","parse-names":false,"suffix":""}],"container-title":"Learning and Individual Differences","id":"ITEM-1","issued":{"date-parts":[["2023","5"]]},"page":"102290","title":"Differential effects of reading strategy intervention for three levels of comprehenders: Focus on text comprehension and autonomous reading motivation","type":"article-journal","volume":"104"},"uris":["http://www.mendeley.com/documents/?uuid=ec503e51-c5dc-4563-ac1b-e195a7f973b2"]}],"mendeley":{"formattedCitation":"(L. Wu et al., 2023)","manualFormatting":"(Wu et al., 2023 ; Serrano-Mendizábal et al., 2023)","plainTextFormattedCitation":"(L. Wu et al., 2023)","previouslyFormattedCitation":"(L. Wu et al., 2023)"},"properties":{"noteIndex":0},"schema":"https://github.com/citation-style-language/schema/raw/master/csl-citation.json"}</w:instrText>
      </w:r>
      <w:r w:rsidRPr="00294E2E">
        <w:rPr>
          <w:rFonts w:ascii="Cambria" w:eastAsia="Cambria" w:hAnsi="Cambria" w:cs="Cambria"/>
          <w:sz w:val="20"/>
          <w:szCs w:val="20"/>
          <w:lang w:val="en-AU" w:eastAsia="en-ID"/>
        </w:rPr>
        <w:fldChar w:fldCharType="separate"/>
      </w:r>
      <w:hyperlink r:id="rId44" w:history="1">
        <w:r w:rsidRPr="00294E2E">
          <w:rPr>
            <w:rFonts w:ascii="Cambria" w:eastAsia="Cambria" w:hAnsi="Cambria" w:cs="Cambria"/>
            <w:noProof/>
            <w:color w:val="0000FF"/>
            <w:sz w:val="20"/>
            <w:szCs w:val="20"/>
            <w:lang w:val="en-AU" w:eastAsia="en-ID"/>
          </w:rPr>
          <w:t xml:space="preserve">(Wu et al., 2023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compedu.2023.104727","ISSN":"03601315","author":[{"dropping-particle":"","family":"Serrano-Mendizábal","given":"Marian","non-dropping-particle":"","parse-names":false,"suffix":""},{"dropping-particle":"","family":"Villalón","given":"Ruth","non-dropping-particle":"","parse-names":false,"suffix":""},{"dropping-particle":"","family":"Melero","given":"Ángeles","non-dropping-particle":"","parse-names":false,"suffix":""},{"dropping-particle":"","family":"Izquierdo-Magaldi","given":"Belén","non-dropping-particle":"","parse-names":false,"suffix":""}],"container-title":"Computers &amp; Education","id":"ITEM-1","issued":{"date-parts":[["2023","4"]]},"page":"104727","title":"Effects of two computer-based interventions on reading comprehension: Does strategy instruction matter?","type":"article-journal","volume":"196"},"uris":["http://www.mendeley.com/documents/?uuid=19cdaecb-b1e0-4164-a7cb-ccaf248fbdc5"]}],"mendeley":{"formattedCitation":"(Serrano-Mendizábal et al., 2023)","manualFormatting":"Serrano-Mendizábal et al., 2023)","plainTextFormattedCitation":"(Serrano-Mendizábal et al., 2023)","previouslyFormattedCitation":"(Serrano-Mendizábal et al., 2023)"},"properties":{"noteIndex":0},"schema":"https://github.com/citation-style-language/schema/raw/master/csl-citation.json"}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Serrano-Mendizábal et al., 2023)</w:t>
        </w:r>
        <w:r w:rsidRPr="00294E2E">
          <w:rPr>
            <w:rFonts w:ascii="Cambria" w:eastAsia="Cambria" w:hAnsi="Cambria" w:cs="Cambria"/>
            <w:noProof/>
            <w:color w:val="0000FF"/>
            <w:sz w:val="20"/>
            <w:szCs w:val="20"/>
            <w:lang w:val="en-AU" w:eastAsia="en-ID"/>
          </w:rPr>
          <w:fldChar w:fldCharType="end"/>
        </w:r>
      </w:hyperlink>
      <w:r w:rsidRPr="00294E2E">
        <w:rPr>
          <w:rFonts w:ascii="Cambria" w:eastAsia="Cambria" w:hAnsi="Cambria" w:cs="Cambria"/>
          <w:sz w:val="20"/>
          <w:szCs w:val="20"/>
          <w:lang w:val="en-AU" w:eastAsia="en-ID"/>
        </w:rPr>
        <w:fldChar w:fldCharType="end"/>
      </w:r>
      <w:r w:rsidRPr="00294E2E">
        <w:rPr>
          <w:rFonts w:ascii="Cambria" w:eastAsia="Cambria" w:hAnsi="Cambria" w:cs="Cambria"/>
          <w:sz w:val="20"/>
          <w:szCs w:val="20"/>
          <w:lang w:val="en-AU" w:eastAsia="en-ID"/>
        </w:rPr>
        <w:t xml:space="preserve">. In addition, the advent of digital texts opens up new opportunities to improve children's reading comprehension, and children's individual characteristics can influence the relationship between word frame use and text reading comprehension, as noted by </w:t>
      </w:r>
      <w:hyperlink r:id="rId45" w:history="1">
        <w:r w:rsidRPr="00294E2E">
          <w:rPr>
            <w:rFonts w:ascii="Cambria" w:eastAsia="Cambria" w:hAnsi="Cambria" w:cs="Cambria"/>
            <w:color w:val="0000FF"/>
            <w:sz w:val="20"/>
            <w:szCs w:val="20"/>
            <w:lang w:val="en-AU" w:eastAsia="en-ID"/>
          </w:rPr>
          <w:t xml:space="preserve"> </w:t>
        </w:r>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{"citationItems":[{"id":"ITEM-1","itemData":{"DOI":"10.1016/j.sheji.2018.12.001","ISSN":"24058726","author":[{"dropping-particle":"","family":"Hagan","given":"Susan M.","non-dropping-particle":"","parse-names":false,"suffix":""},{"dropping-particle":"","family":"Barron","given":"Deirdre H.","non-dropping-particle":"","parse-names":false,"suffix":""}],"container-title":"She Ji: The Journal of Design, Economics, and Innovation","id":"ITEM-1","issue":"1","issued":{"date-parts":[["2019"]]},"page":"55-73","title":"Reviewing Practice-Based Design Research—The Pursuit of a Disciplinary Destination","type":"article-journal","volume":"5"},"uris":["http://www.mendeley.com/documents/?uuid=bcb14183-489b-49ef-b22c-2ec5fc80267c"]}],"mendeley":{"formattedCitation":"(Hagan &amp; Barron, 2019)","plainTextFormattedCitation":"(Hagan &amp; Barron, 2019)","previouslyFormattedCitation":"(Hagan &amp; Barron, 2019)"},"properties":{"noteIndex":0},"schema":"https://github.com/citation-style-language/schema/raw/master/csl-citation.json"}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(Hagan &amp; Barron, 2019)</w:t>
        </w:r>
        <w:r w:rsidRPr="00294E2E">
          <w:rPr>
            <w:rFonts w:ascii="Cambria" w:eastAsia="Cambria" w:hAnsi="Cambria" w:cs="Cambria"/>
            <w:color w:val="0000FF"/>
            <w:sz w:val="20"/>
            <w:szCs w:val="20"/>
            <w:lang w:val="en-AU" w:eastAsia="en-ID"/>
          </w:rPr>
          <w:fldChar w:fldCharType="end"/>
        </w:r>
      </w:hyperlink>
      <w:r w:rsidRPr="00294E2E">
        <w:rPr>
          <w:rFonts w:ascii="Cambria" w:eastAsia="Cambria" w:hAnsi="Cambria" w:cs="Cambria"/>
          <w:sz w:val="20"/>
          <w:szCs w:val="20"/>
          <w:lang w:val="en-AU" w:eastAsia="en-ID"/>
        </w:rPr>
        <w:t xml:space="preserve">. Reading is a fundamental skill, and the key to developing reading comprehension lies in comprehension itself  </w:t>
      </w:r>
      <w:hyperlink r:id="rId46" w:history="1">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{"citationItems":[{"id":"ITEM-1","itemData":{"DOI":"10.1016/j.heliyon.2024.e24281","ISSN":"24058440","author":[{"dropping-particle":"","family":"Habók","given":"Anita","non-dropping-particle":"","parse-names":false,"suffix":""},{"dropping-particle":"","family":"Oo","given":"Tun Zaw","non-dropping-particle":"","parse-names":false,"suffix":""},{"dropping-particle":"","family":"Magyar","given":"Andrea","non-dropping-particle":"","parse-names":false,"suffix":""}],"container-title":"Heliyon","id":"ITEM-1","issue":"2","issued":{"date-parts":[["2024","1"]]},"page":"e24281","title":"The effect of reading strategy use on online reading comprehension","type":"article-journal","volume":"10"},"uris":["http://www.mendeley.com/documents/?uuid=2d30168d-96c0-473f-98bb-16e6b09383a2"]}],"mendeley":{"formattedCitation":"(Habók et al., 2024)","manualFormatting":"(Habók et al., 2024 ; Cervetti &amp; Pearson, 2023)","plainTextFormattedCitation":"(Habók et al., 2024)","previouslyFormattedCitation":"(Habók et al., 2024)"},"properties":{"noteIndex":0},"schema":"https://github.com/citation-style-language/schema/raw/master/csl-citation.json"}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 xml:space="preserve">(Habók et al., 2024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{"citationItems":[{"id":"ITEM-1","itemData":{"DOI":"10.1016/B978-0-12-818630-5.07046-9","author":[{"dropping-particle":"","family":"Cervetti","given":"Gina N.","non-dropping-particle":"","parse-names":false,"suffix":""},{"dropping-particle":"","family":"Pearson","given":"P. David","non-dropping-particle":"","parse-names":false,"suffix":""}],"container-title":"International Encyclopedia of Education(Fourth Edition)","id":"ITEM-1","issued":{"date-parts":[["2023"]]},"page":"319-329","publisher":"Elsevier","title":"Reading comprehension in troubled times","type":"chapter"},"uris":["http://www.mendeley.com/documents/?uuid=307e9217-cb92-4c11-ab83-40d36440ec2b"]}],"mendeley":{"formattedCitation":"(Cervetti &amp; Pearson, 2023)","manualFormatting":"Cervetti &amp; Pearson, 2023)","plainTextFormattedCitation":"(Cervetti &amp; Pearson, 2023)","previouslyFormattedCitation":"(Cervetti &amp; Pearson, 2023)"},"properties":{"noteIndex":0},"schema":"https://github.com/citation-style-language/schema/raw/master/csl-citation.json"}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Cervetti &amp; Pearson, 2023)</w:t>
        </w:r>
        <w:r w:rsidRPr="00294E2E">
          <w:rPr>
            <w:rFonts w:ascii="Cambria" w:eastAsia="Cambria" w:hAnsi="Cambria" w:cs="Cambria"/>
            <w:noProof/>
            <w:color w:val="0000FF"/>
            <w:sz w:val="20"/>
            <w:szCs w:val="20"/>
            <w:lang w:val="en-AU" w:eastAsia="en-ID"/>
          </w:rPr>
          <w:fldChar w:fldCharType="end"/>
        </w:r>
        <w:r w:rsidRPr="00294E2E">
          <w:rPr>
            <w:rFonts w:ascii="Cambria" w:eastAsia="Cambria" w:hAnsi="Cambria" w:cs="Cambria"/>
            <w:color w:val="0000FF"/>
            <w:sz w:val="20"/>
            <w:szCs w:val="20"/>
            <w:lang w:val="en-AU" w:eastAsia="en-ID"/>
          </w:rPr>
          <w:fldChar w:fldCharType="end"/>
        </w:r>
        <w:r w:rsidRPr="00294E2E">
          <w:rPr>
            <w:rFonts w:ascii="Cambria" w:eastAsia="Cambria" w:hAnsi="Cambria" w:cs="Cambria"/>
            <w:color w:val="0000FF"/>
            <w:sz w:val="20"/>
            <w:szCs w:val="20"/>
            <w:lang w:val="en-AU" w:eastAsia="en-ID"/>
          </w:rPr>
          <w:t>.</w:t>
        </w:r>
      </w:hyperlink>
      <w:bookmarkStart w:id="2" w:name="_Hlk166749643"/>
    </w:p>
    <w:bookmarkEnd w:id="2"/>
    <w:p w:rsidR="00294E2E" w:rsidRPr="00294E2E" w:rsidRDefault="00294E2E" w:rsidP="00294E2E">
      <w:pPr>
        <w:spacing w:after="0" w:line="240" w:lineRule="auto"/>
        <w:ind w:firstLine="709"/>
        <w:jc w:val="both"/>
        <w:rPr>
          <w:rFonts w:ascii="Cambria" w:eastAsia="Cambria" w:hAnsi="Cambria" w:cs="Cambria"/>
          <w:color w:val="0000FF"/>
          <w:sz w:val="20"/>
          <w:szCs w:val="20"/>
          <w:lang w:val="en-AU" w:eastAsia="en-ID"/>
        </w:rPr>
      </w:pPr>
      <w:r w:rsidRPr="00294E2E">
        <w:rPr>
          <w:rFonts w:ascii="Cambria" w:eastAsia="Cambria" w:hAnsi="Cambria" w:cs="Cambria"/>
          <w:sz w:val="20"/>
          <w:szCs w:val="20"/>
          <w:lang w:val="en-AU" w:eastAsia="en-ID"/>
        </w:rPr>
        <w:t xml:space="preserve">In the 21st century era, modern technological advances such as podcasting and blogging have transformed teaching and learning methods, as highlighted by  </w:t>
      </w:r>
      <w:hyperlink r:id="rId47" w:history="1">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{"citationItems":[{"id":"ITEM-1","itemData":{"DOI":"10.24071/ijels.v8i2.4713","ISSN":"2442-790X","abstract":"The area of language schooling is converting at an ever-growing rate. Traditional notions of schooling are giving way to newer, greater modern approaches to considering how we analyze, accumulate information, and educate. The study room surroundings these days are absolutely one of a different kind from the conventional ones. The conventional strategies that are especially primarily based totally on lecturing and rote studying lessen English language studying to mechanical memorization and miserably fail in growing the English language as an ability for most of the newcomers. In an age of ubiquitous presence of technology, the pedagogy of coaching method has additionally passed through a sea-change. New technologies, just like the Internet, YouTube, Skype, Twitter, Blogs, etc., have brought the best stimulus and additionally, newcomers’ engagement and proper interactivity in the classrooms. But instructors’ burnout is an unhappy phenomenon that is affecting the coaching career in a whole lot of approaches. As we recognize, whiners don’t encourage others or mobilize them to act. Learning via way of means of instance, greater than ever, is the process of a trainee in the twenty-first century. Teachers, via the usage of the modern ELT (English Language Teaching) strategies like English songs, film clippings, dramatics, advertisements, sports activities, commentaries and plenty of greater values, can have interaction with the newcomers to come to be professionals in the English language. This paper specializes in the want to make English language coaching smooth and exciting through modern strategies.","author":[{"dropping-particle":"","family":"Sinha","given":"Kanhaiya Kumar","non-dropping-particle":"","parse-names":false,"suffix":""}],"container-title":"Indonesian Journal of English Language Studies (IJELS)","id":"ITEM-1","issue":"2","issued":{"date-parts":[["2022"]]},"page":"19-30","title":"Role of Modern Technology in Teaching and Learning the English Language in Indian Educational Institutions","type":"article-journal","volume":"8"},"uris":["http://www.mendeley.com/documents/?uuid=8b0a8ec7-8a6c-4ac1-a238-e9cbfb3a8a99"]}],"mendeley":{"formattedCitation":"(Sinha, 2022)","manualFormatting":"(Sinha, 2022 ; ","plainTextFormattedCitation":"(Sinha, 2022)","previouslyFormattedCitation":"(Sinha, 2022)"},"properties":{"noteIndex":0},"schema":"https://github.com/citation-style-language/schema/raw/master/csl-citation.json"}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 xml:space="preserve">(Sinha, 2022 ; </w:t>
        </w:r>
        <w:r w:rsidRPr="00294E2E">
          <w:rPr>
            <w:rFonts w:ascii="Cambria" w:eastAsia="Cambria" w:hAnsi="Cambria" w:cs="Cambria"/>
            <w:color w:val="0000FF"/>
            <w:sz w:val="20"/>
            <w:szCs w:val="20"/>
            <w:lang w:val="en-AU" w:eastAsia="en-ID"/>
          </w:rPr>
          <w:fldChar w:fldCharType="end"/>
        </w:r>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{"citationItems":[{"id":"ITEM-1","itemData":{"abstract":"The 21st century requires technology-based education to keep up with the rapidly globalizing world. The global government employs a variety of strategies to get pupils ready for the 21st century, which includes critical thinking, problem-solving, communication, teamwork, creativity, and innovation. The related topic area places a strong emphasis on developing competence in both personal and professional skills. 21st century skills include life planning, flexibility, adaptability, entrepreneurship, productivity, leadership, critical thinking, communication, and digital literacy. The use of instructional technology has advantages and disadvantages, just like any other advancement. With more and more tools being developed by educators and developers to raise educational standards, technology is already finding its way into classrooms.","author":[{"dropping-particle":"","family":"Vistari","given":"Lalita","non-dropping-particle":"","parse-names":false,"suffix":""}],"container-title":"UNNES-TEFLIN National Conference","id":"ITEM-1","issued":{"date-parts":[["2023"]]},"page":"434-442","title":"Technology-Based Education in the 21St Century","type":"article-journal","volume":"5"},"uris":["http://www.mendeley.com/documents/?uuid=a7f65685-8af1-4d7d-ba22-b1d1b18b6797"]}],"mendeley":{"formattedCitation":"(Vistari, 2023)","manualFormatting":"Vistari, 2023)","plainTextFormattedCitation":"(Vistari, 2023)","previouslyFormattedCitation":"(Vistari, 2023)"},"properties":{"noteIndex":0},"schema":"https://github.com/citation-style-language/schema/raw/master/csl-citation.json"}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Vistari, 2023)</w:t>
        </w:r>
        <w:r w:rsidRPr="00294E2E">
          <w:rPr>
            <w:rFonts w:ascii="Cambria" w:eastAsia="Cambria" w:hAnsi="Cambria" w:cs="Cambria"/>
            <w:color w:val="0000FF"/>
            <w:sz w:val="20"/>
            <w:szCs w:val="20"/>
            <w:lang w:val="en-AU" w:eastAsia="en-ID"/>
          </w:rPr>
          <w:fldChar w:fldCharType="end"/>
        </w:r>
      </w:hyperlink>
      <w:r w:rsidRPr="00294E2E">
        <w:rPr>
          <w:rFonts w:ascii="Cambria" w:eastAsia="Cambria" w:hAnsi="Cambria" w:cs="Cambria"/>
          <w:sz w:val="20"/>
          <w:szCs w:val="20"/>
          <w:lang w:val="en-AU" w:eastAsia="en-ID"/>
        </w:rPr>
        <w:t xml:space="preserve">. Education today is not limited to traditional concrete media, and learning can also be enhanced through educational video games, an area that has been investigated in depth to explore the latest impact of educational video games, as described by  </w:t>
      </w:r>
      <w:hyperlink r:id="rId48" w:history="1">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j.compedu.2008.06.008","ISSN":"03601315","author":[{"dropping-particle":"","family":"Tüzün","given":"Hakan","non-dropping-particle":"","parse-names":false,"suffix":""},{"dropping-particle":"","family":"Yılmaz-Soylu","given":"Meryem","non-dropping-particle":"","parse-names":false,"suffix":""},{"dropping-particle":"","family":"Karakuş","given":"Türkan","non-dropping-particle":"","parse-names":false,"suffix":""},{"dropping-particle":"","family":"İnal","given":"Yavuz","non-dropping-particle":"","parse-names":false,"suffix":""},{"dropping-particle":"","family":"Kızılkaya","given":"Gonca","non-dropping-particle":"","parse-names":false,"suffix":""}],"container-title":"Computers &amp; Education","id":"ITEM-1","issue":"1","issued":{"date-parts":[["2009","1"]]},"page":"68-77","title":"The effects of computer games on primary school students’ achievement and motivation in geography learning","type":"article-journal","volume":"52"},"uris":["http://www.mendeley.com/documents/?uuid=6f7eba8b-3f9a-4f87-b867-146f44bd4415"]}],"mendeley":{"formattedCitation":"(Tüzün et al., 2009)","manualFormatting":"(Tüzün et al., 2009 ; Kurilovas &amp; Kubilinskiene, 2020)","plainTextFormattedCitation":"(Tüzün et al., 2009)","previouslyFormattedCitation":"(Tüzün et al., 2009)"},"properties":{"noteIndex":0},"schema":"https://github.com/citation-style-language/schema/raw/master/csl-citation.json"}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 xml:space="preserve">(Tüzün et al., 2009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chb.2020.106274","ISSN":"07475632","author":[{"dropping-particle":"","family":"Kurilovas","given":"Eugenijus","non-dropping-particle":"","parse-names":false,"suffix":""},{"dropping-particle":"","family":"Kubilinskiene","given":"Svetlana","non-dropping-particle":"","parse-names":false,"suffix":""}],"container-title":"Computers in Human Behavior","id":"ITEM-1","issued":{"date-parts":[["2020","6"]]},"page":"106274","title":"Lithuanian case study on evaluating suitability, acceptance and use of IT tools by students – An example of applying Technology Enhanced Learning Research methods in Higher Education","type":"article-journal","volume":"107"},"uris":["http://www.mendeley.com/documents/?uuid=d8aaae2e-f5f5-43d6-bebd-7d202bbaadaf"]}],"mendeley":{"formattedCitation":"(Kurilovas &amp; Kubilinskiene, 2020)","manualFormatting":"Kurilovas &amp; Kubilinskiene, 2020)","plainTextFormattedCitation":"(Kurilovas &amp; Kubilinskiene, 2020)","previouslyFormattedCitation":"(Kurilovas &amp; Kubilinskiene, 2020)"},"properties":{"noteIndex":0},"schema":"https://github.com/citation-style-language/schema/raw/master/csl-citation.json"}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Kurilovas &amp; Kubilinskiene, 2020)</w:t>
        </w:r>
        <w:r w:rsidRPr="00294E2E">
          <w:rPr>
            <w:rFonts w:ascii="Cambria" w:eastAsia="Cambria" w:hAnsi="Cambria" w:cs="Cambria"/>
            <w:noProof/>
            <w:color w:val="0000FF"/>
            <w:sz w:val="20"/>
            <w:szCs w:val="20"/>
            <w:lang w:val="en-AU" w:eastAsia="en-ID"/>
          </w:rPr>
          <w:fldChar w:fldCharType="end"/>
        </w:r>
        <w:r w:rsidRPr="00294E2E">
          <w:rPr>
            <w:rFonts w:ascii="Cambria" w:eastAsia="Cambria" w:hAnsi="Cambria" w:cs="Cambria"/>
            <w:color w:val="0000FF"/>
            <w:sz w:val="20"/>
            <w:szCs w:val="20"/>
            <w:lang w:val="en-AU" w:eastAsia="en-ID"/>
          </w:rPr>
          <w:fldChar w:fldCharType="end"/>
        </w:r>
      </w:hyperlink>
      <w:r w:rsidRPr="00294E2E">
        <w:rPr>
          <w:rFonts w:ascii="Cambria" w:eastAsia="Cambria" w:hAnsi="Cambria" w:cs="Cambria"/>
          <w:sz w:val="20"/>
          <w:szCs w:val="20"/>
          <w:lang w:val="en-AU" w:eastAsia="en-ID"/>
        </w:rPr>
        <w:t xml:space="preserve">. Collaboration among peers can be challenging for students, especially for those with vulnerable social motivation and difficulties in reading, and the emotional aspects of such collaboration are not fully understood. In a learning environment, teachers and peers interact and influence each other in a dynamic system, as suggested in research by  </w:t>
      </w:r>
      <w:hyperlink r:id="rId49" w:history="1">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j.nedt.2023.106071","ISSN":"02606917","author":[{"dropping-particle":"","family":"Dong","given":"Xueqi","non-dropping-particle":"","parse-names":false,"suffix":""},{"dropping-particle":"","family":"Yuan","given":"Hua","non-dropping-particle":"","parse-names":false,"suffix":""},{"dropping-particle":"","family":"Xue","given":"Hui","non-dropping-particle":"","parse-names":false,"suffix":""},{"dropping-particle":"","family":"Li","given":"Yan","non-dropping-particle":"","parse-names":false,"suffix":""},{"dropping-particle":"","family":"Jia","given":"Luyao","non-dropping-particle":"","parse-names":false,"suffix":""},{"dropping-particle":"","family":"Chen","given":"Jialu","non-dropping-particle":"","parse-names":false,"suffix":""},{"dropping-particle":"","family":"Shi","given":"Yu","non-dropping-particle":"","parse-names":false,"suffix":""},{"dropping-particle":"","family":"Zhang","given":"Xiuying","non-dropping-particle":"","parse-names":false,"suffix":""}],"container-title":"Nurse Education Today","id":"ITEM-1","issued":{"date-parts":[["2024","2"]]},"page":"106071","title":"Factors influencing college students' self-regulated learning in online learning environment: A systematic review","type":"article-journal","volume":"133"},"uris":["http://www.mendeley.com/documents/?uuid=546bda91-1d92-46fe-9384-c2877c0865bf"]}],"mendeley":{"formattedCitation":"(Dong et al., 2024)","manualFormatting":"(Dong et al., 2024 ; Gorham et al., 2024)","plainTextFormattedCitation":"(Dong et al., 2024)","previouslyFormattedCitation":"(Dong et al., 2024)"},"properties":{"noteIndex":0},"schema":"https://github.com/citation-style-language/schema/raw/master/csl-citation.json"}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 xml:space="preserve">(Dong et al., 2024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stueduc.2024.101352","ISSN":"0191491X","author":[{"dropping-particle":"","family":"Gorham","given":"Tom","non-dropping-particle":"","parse-names":false,"suffix":""},{"dropping-particle":"","family":"Majumdar","given":"Rwitajit","non-dropping-particle":"","parse-names":false,"suffix":""},{"dropping-particle":"","family":"Ogata","given":"Hiroaki","non-dropping-particle":"","parse-names":false,"suffix":""}],"container-title":"Studies in Educational Evaluation","id":"ITEM-1","issued":{"date-parts":[["2024","6"]]},"page":"101352","title":"Learning analytics of peer feedback on communicative skills in an EFL course across different learning modalities","type":"article-journal","volume":"81"},"uris":["http://www.mendeley.com/documents/?uuid=a10dacb8-347c-4f09-bcfb-89a51569cfa5"]}],"mendeley":{"formattedCitation":"(Gorham et al., 2024)","manualFormatting":"Gorham et al., 2024)","plainTextFormattedCitation":"(Gorham et al., 2024)","previouslyFormattedCitation":"(Gorham et al., 2024)"},"properties":{"noteIndex":0},"schema":"https://github.com/citation-style-language/schema/raw/master/csl-citation.json"}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Gorham et al., 2024)</w:t>
        </w:r>
        <w:r w:rsidRPr="00294E2E">
          <w:rPr>
            <w:rFonts w:ascii="Cambria" w:eastAsia="Cambria" w:hAnsi="Cambria" w:cs="Cambria"/>
            <w:noProof/>
            <w:color w:val="0000FF"/>
            <w:sz w:val="20"/>
            <w:szCs w:val="20"/>
            <w:lang w:val="en-AU" w:eastAsia="en-ID"/>
          </w:rPr>
          <w:fldChar w:fldCharType="end"/>
        </w:r>
        <w:r w:rsidRPr="00294E2E">
          <w:rPr>
            <w:rFonts w:ascii="Cambria" w:eastAsia="Cambria" w:hAnsi="Cambria" w:cs="Cambria"/>
            <w:color w:val="0000FF"/>
            <w:sz w:val="20"/>
            <w:szCs w:val="20"/>
            <w:lang w:val="en-AU" w:eastAsia="en-ID"/>
          </w:rPr>
          <w:fldChar w:fldCharType="end"/>
        </w:r>
      </w:hyperlink>
      <w:r w:rsidRPr="00294E2E">
        <w:rPr>
          <w:rFonts w:ascii="Cambria" w:eastAsia="Cambria" w:hAnsi="Cambria" w:cs="Cambria"/>
          <w:sz w:val="20"/>
          <w:szCs w:val="20"/>
          <w:lang w:val="en-AU" w:eastAsia="en-ID"/>
        </w:rPr>
        <w:t xml:space="preserve">. Reading comprehension plays a crucial role in young learners' ability to acquire knowledge and apply it effectively in their future studies and careers, emphasizing the urgency of its importance, as expressed by </w:t>
      </w:r>
      <w:hyperlink r:id="rId50" w:history="1">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j.compedu.2022.104640","ISSN":"03601315","author":[{"dropping-particle":"","family":"Zhong","given":"Yuchun","non-dropping-particle":"","parse-names":false,"suffix":""},{"dropping-particle":"","family":"Guo","given":"Kai","non-dropping-particle":"","parse-names":false,"suffix":""},{"dropping-particle":"","family":"Su","given":"Jiahong","non-dropping-particle":"","parse-names":false,"suffix":""},{"dropping-particle":"","family":"Chu","given":"Samuel Kai Wah","non-dropping-particle":"","parse-names":false,"suffix":""}],"container-title":"Computers &amp; Education","id":"ITEM-1","issued":{"date-parts":[["2022","12"]]},"page":"104640","title":"The impact of esports participation on the development of 21st century skills in youth: A systematic review","type":"article-journal","volume":"191"},"uris":["http://www.mendeley.com/documents/?uuid=bfb06470-e08c-44d4-93d8-ef2cf770c70b"]}],"mendeley":{"formattedCitation":"(Zhong et al., 2022)","manualFormatting":"(Zhong et al., 2022 ;   ","plainTextFormattedCitation":"(Zhong et al., 2022)","previouslyFormattedCitation":"(Zhong et al., 2022)"},"properties":{"noteIndex":0},"schema":"https://github.com/citation-style-language/schema/raw/master/csl-citation.json"}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 xml:space="preserve">(Zhong et al., 2022 ;   </w:t>
        </w:r>
        <w:r w:rsidRPr="00294E2E">
          <w:rPr>
            <w:rFonts w:ascii="Cambria" w:eastAsia="Cambria" w:hAnsi="Cambria" w:cs="Cambria"/>
            <w:color w:val="0000FF"/>
            <w:sz w:val="20"/>
            <w:szCs w:val="20"/>
            <w:lang w:val="en-AU" w:eastAsia="en-ID"/>
          </w:rPr>
          <w:fldChar w:fldCharType="end"/>
        </w:r>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j.ijedudev.2012.09.006","ISSN":"07380593","author":[{"dropping-particle":"","family":"Akyeampong","given":"Kwame","non-dropping-particle":"","parse-names":false,"suffix":""},{"dropping-particle":"","family":"Lussier","given":"Kattie","non-dropping-particle":"","parse-names":false,"suffix":""},{"dropping-particle":"","family":"Pryor","given":"John","non-dropping-particle":"","parse-names":false,"suffix":""},{"dropping-particle":"","family":"Westbrook","given":"Jo","non-dropping-particle":"","parse-names":false,"suffix":""}],"container-title":"International Journal of Educational Development","id":"ITEM-1","issue":"3","issued":{"date-parts":[["2013","5"]]},"page":"272-282","title":"Improving teaching and learning of basic maths and reading in Africa: Does teacher preparation count?","type":"article-journal","volume":"33"},"uris":["http://www.mendeley.com/documents/?uuid=e4ac57b4-554f-4644-8c96-e068476ad83c"]}],"mendeley":{"formattedCitation":"(Akyeampong et al., 2013)","manualFormatting":"Akyeampong et al., 2013)","plainTextFormattedCitation":"(Akyeampong et al., 2013)","previouslyFormattedCitation":"(Akyeampong et al., 2013)"},"properties":{"noteIndex":0},"schema":"https://github.com/citation-style-language/schema/raw/master/csl-citation.json"}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Akyeampong et al., 2013)</w:t>
        </w:r>
        <w:r w:rsidRPr="00294E2E">
          <w:rPr>
            <w:rFonts w:ascii="Cambria" w:eastAsia="Cambria" w:hAnsi="Cambria" w:cs="Cambria"/>
            <w:color w:val="0000FF"/>
            <w:sz w:val="20"/>
            <w:szCs w:val="20"/>
            <w:lang w:val="en-AU" w:eastAsia="en-ID"/>
          </w:rPr>
          <w:fldChar w:fldCharType="end"/>
        </w:r>
      </w:hyperlink>
    </w:p>
    <w:p w:rsidR="00294E2E" w:rsidRPr="00294E2E" w:rsidRDefault="00294E2E" w:rsidP="00294E2E">
      <w:pPr>
        <w:spacing w:after="0" w:line="240" w:lineRule="auto"/>
        <w:ind w:firstLine="709"/>
        <w:jc w:val="both"/>
        <w:rPr>
          <w:rFonts w:ascii="Cambria" w:eastAsia="Cambria" w:hAnsi="Cambria" w:cs="Cambria"/>
          <w:sz w:val="20"/>
          <w:szCs w:val="20"/>
          <w:lang w:val="en-AU" w:eastAsia="en-ID"/>
        </w:rPr>
      </w:pPr>
    </w:p>
    <w:p w:rsidR="00294E2E" w:rsidRPr="00294E2E" w:rsidRDefault="00294E2E" w:rsidP="00294E2E">
      <w:pPr>
        <w:numPr>
          <w:ilvl w:val="0"/>
          <w:numId w:val="26"/>
        </w:numPr>
        <w:spacing w:after="0" w:line="240" w:lineRule="auto"/>
        <w:contextualSpacing/>
        <w:jc w:val="both"/>
        <w:rPr>
          <w:rFonts w:ascii="Cambria" w:eastAsia="Cambria" w:hAnsi="Cambria" w:cs="Cambria"/>
          <w:b/>
          <w:sz w:val="20"/>
          <w:szCs w:val="20"/>
          <w:lang w:val="x-none" w:eastAsia="x-none"/>
        </w:rPr>
      </w:pPr>
      <w:r w:rsidRPr="00294E2E">
        <w:rPr>
          <w:rFonts w:ascii="Cambria" w:eastAsia="Cambria" w:hAnsi="Cambria" w:cs="Cambria"/>
          <w:b/>
          <w:sz w:val="20"/>
          <w:szCs w:val="20"/>
          <w:lang w:val="x-none" w:eastAsia="x-none"/>
        </w:rPr>
        <w:t>DISCUSSION</w:t>
      </w:r>
    </w:p>
    <w:p w:rsidR="00294E2E" w:rsidRPr="00294E2E" w:rsidRDefault="00294E2E" w:rsidP="00294E2E">
      <w:pPr>
        <w:spacing w:after="0" w:line="240" w:lineRule="auto"/>
        <w:rPr>
          <w:rFonts w:ascii="Cambria" w:eastAsia="Cambria" w:hAnsi="Cambria" w:cs="Cambria"/>
          <w:b/>
          <w:sz w:val="20"/>
          <w:szCs w:val="20"/>
          <w:lang w:val="en-AU" w:eastAsia="en-ID"/>
        </w:rPr>
      </w:pPr>
      <w:r w:rsidRPr="00294E2E">
        <w:rPr>
          <w:rFonts w:ascii="Cambria" w:eastAsia="Cambria" w:hAnsi="Cambria" w:cs="Cambria"/>
          <w:b/>
          <w:sz w:val="24"/>
          <w:szCs w:val="24"/>
          <w:lang w:val="en-AU" w:eastAsia="en-ID"/>
        </w:rPr>
        <w:t>Design</w:t>
      </w:r>
    </w:p>
    <w:p w:rsidR="00294E2E" w:rsidRPr="00294E2E" w:rsidRDefault="00294E2E" w:rsidP="00294E2E">
      <w:pPr>
        <w:spacing w:after="0" w:line="240" w:lineRule="auto"/>
        <w:ind w:firstLine="709"/>
        <w:jc w:val="both"/>
        <w:rPr>
          <w:rFonts w:ascii="Cambria" w:eastAsia="Cambria" w:hAnsi="Cambria" w:cs="Cambria"/>
          <w:color w:val="000000"/>
          <w:sz w:val="20"/>
          <w:szCs w:val="20"/>
          <w:lang w:val="en-AU" w:eastAsia="en-ID"/>
        </w:rPr>
      </w:pPr>
      <w:bookmarkStart w:id="3" w:name="_Hlk166748664"/>
      <w:r w:rsidRPr="00294E2E">
        <w:rPr>
          <w:rFonts w:ascii="Cambria" w:eastAsia="Cambria" w:hAnsi="Cambria" w:cs="Cambria"/>
          <w:sz w:val="20"/>
          <w:szCs w:val="20"/>
          <w:lang w:val="en-AU" w:eastAsia="en-ID"/>
        </w:rPr>
        <w:t xml:space="preserve">Activities in this stage involve designing teaching materials, where reading is defined as the process of </w:t>
      </w:r>
      <w:proofErr w:type="spellStart"/>
      <w:r w:rsidRPr="00294E2E">
        <w:rPr>
          <w:rFonts w:ascii="Cambria" w:eastAsia="Cambria" w:hAnsi="Cambria" w:cs="Cambria"/>
          <w:sz w:val="20"/>
          <w:szCs w:val="20"/>
          <w:lang w:val="en-AU" w:eastAsia="en-ID"/>
        </w:rPr>
        <w:t>analyzing</w:t>
      </w:r>
      <w:proofErr w:type="spellEnd"/>
      <w:r w:rsidRPr="00294E2E">
        <w:rPr>
          <w:rFonts w:ascii="Cambria" w:eastAsia="Cambria" w:hAnsi="Cambria" w:cs="Cambria"/>
          <w:sz w:val="20"/>
          <w:szCs w:val="20"/>
          <w:lang w:val="en-AU" w:eastAsia="en-ID"/>
        </w:rPr>
        <w:t>, evaluating, and synthesizing information for decision making,</w:t>
      </w:r>
      <w:bookmarkEnd w:id="3"/>
      <w:r w:rsidRPr="00294E2E">
        <w:rPr>
          <w:rFonts w:ascii="Cambria" w:eastAsia="Cambria" w:hAnsi="Cambria" w:cs="Cambria"/>
          <w:sz w:val="20"/>
          <w:szCs w:val="20"/>
          <w:lang w:val="en-AU" w:eastAsia="en-ID"/>
        </w:rPr>
        <w:t xml:space="preserve"> as described by </w:t>
      </w:r>
      <w:r w:rsidRPr="00294E2E">
        <w:rPr>
          <w:rFonts w:ascii="Cambria" w:eastAsia="Cambria" w:hAnsi="Cambria" w:cs="Cambria"/>
          <w:sz w:val="20"/>
          <w:szCs w:val="20"/>
          <w:lang w:val="en-AU" w:eastAsia="en-ID"/>
        </w:rPr>
        <w:fldChar w:fldCharType="begin" w:fldLock="1"/>
      </w:r>
      <w:r w:rsidRPr="00294E2E">
        <w:rPr>
          <w:rFonts w:ascii="Cambria" w:eastAsia="Cambria" w:hAnsi="Cambria" w:cs="Cambria"/>
          <w:sz w:val="20"/>
          <w:szCs w:val="20"/>
          <w:lang w:val="en-AU" w:eastAsia="en-ID"/>
        </w:rPr>
        <w:instrText>ADDIN CSL_CITATION {"citationItems":[{"id":"ITEM-1","itemData":{"DOI":"10.1016/j.tsc.2024.101502","ISSN":"18711871","author":[{"dropping-particle":"","family":"Gomez Gomez","given":"Claudia Verónica","non-dropping-particle":"","parse-names":false,"suffix":""}],"container-title":"Thinking Skills and Creativity","id":"ITEM-1","issued":{"date-parts":[["2024","6"]]},"page":"101502","title":"Teaching entrepreneurship in higher education: The application active based learning activities to environmental protection","type":"article-journal","volume":"52"},"uris":["http://www.mendeley.com/documents/?uuid=7996d0bb-fb57-4c7c-8823-ac0da1847355"]}],"mendeley":{"formattedCitation":"(Gomez Gomez, 2024)","manualFormatting":"(Gomez Gomez, 2024 ; Zhu et al., 2023)","plainTextFormattedCitation":"(Gomez Gomez, 2024)","previouslyFormattedCitation":"(Gomez Gomez, 2024)"},"properties":{"noteIndex":0},"schema":"https://github.com/citation-style-language/schema/raw/master/csl-citation.json"}</w:instrText>
      </w:r>
      <w:r w:rsidRPr="00294E2E">
        <w:rPr>
          <w:rFonts w:ascii="Cambria" w:eastAsia="Cambria" w:hAnsi="Cambria" w:cs="Cambria"/>
          <w:sz w:val="20"/>
          <w:szCs w:val="20"/>
          <w:lang w:val="en-AU" w:eastAsia="en-ID"/>
        </w:rPr>
        <w:fldChar w:fldCharType="separate"/>
      </w:r>
      <w:hyperlink r:id="rId51" w:history="1">
        <w:r w:rsidRPr="00294E2E">
          <w:rPr>
            <w:rFonts w:ascii="Cambria" w:eastAsia="Cambria" w:hAnsi="Cambria" w:cs="Cambria"/>
            <w:noProof/>
            <w:color w:val="0000FF"/>
            <w:sz w:val="20"/>
            <w:szCs w:val="20"/>
            <w:lang w:val="en-AU" w:eastAsia="en-ID"/>
          </w:rPr>
          <w:t xml:space="preserve">(Gomez Gomez, 2024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iheduc.2023.100919","ISSN":"10967516","author":[{"dropping-particle":"","family":"Zhu","given":"Xinran","non-dropping-particle":"","parse-names":false,"suffix":""},{"dropping-particle":"","family":"Shui","given":"Hong","non-dropping-particle":"","parse-names":false,"suffix":""},{"dropping-particle":"","family":"Chen","given":"Bodong","non-dropping-particle":"","parse-names":false,"suffix":""}],"container-title":"The Internet and Higher Education","id":"ITEM-1","issued":{"date-parts":[["2023","10"]]},"page":"100919","title":"Beyond reading together: Facilitating knowledge construction through participation roles and social annotation in college classrooms","type":"article-journal","volume":"59"},"uris":["http://www.mendeley.com/documents/?uuid=7b60ffc9-bb83-4f2b-b917-d4c44512d420"]}],"mendeley":{"formattedCitation":"(Zhu et al., 2023)","manualFormatting":"Zhu et al., 2023)","plainTextFormattedCitation":"(Zhu et al., 2023)","previouslyFormattedCitation":"(Zhu et al., 2023)"},"properties":{"noteIndex":0},"schema":"https://github.com/citation-style-language/schema/raw/master/csl-citation.json"}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Zhu et al., 2023)</w:t>
        </w:r>
        <w:r w:rsidRPr="00294E2E">
          <w:rPr>
            <w:rFonts w:ascii="Cambria" w:eastAsia="Cambria" w:hAnsi="Cambria" w:cs="Cambria"/>
            <w:noProof/>
            <w:color w:val="0000FF"/>
            <w:sz w:val="20"/>
            <w:szCs w:val="20"/>
            <w:lang w:val="en-AU" w:eastAsia="en-ID"/>
          </w:rPr>
          <w:fldChar w:fldCharType="end"/>
        </w:r>
      </w:hyperlink>
      <w:r w:rsidRPr="00294E2E">
        <w:rPr>
          <w:rFonts w:ascii="Cambria" w:eastAsia="Cambria" w:hAnsi="Cambria" w:cs="Cambria"/>
          <w:sz w:val="20"/>
          <w:szCs w:val="20"/>
          <w:lang w:val="en-AU" w:eastAsia="en-ID"/>
        </w:rPr>
        <w:fldChar w:fldCharType="end"/>
      </w:r>
      <w:r w:rsidRPr="00294E2E">
        <w:rPr>
          <w:rFonts w:ascii="Cambria" w:eastAsia="Cambria" w:hAnsi="Cambria" w:cs="Cambria"/>
          <w:sz w:val="20"/>
          <w:szCs w:val="20"/>
          <w:lang w:val="en-AU" w:eastAsia="en-ID"/>
        </w:rPr>
        <w:t xml:space="preserve">. Conventional strategies generally focus on improving students' knowledge through the use of the latest technology to accelerate reading speed, as observed in research by  </w:t>
      </w:r>
      <w:r w:rsidRPr="00294E2E">
        <w:rPr>
          <w:rFonts w:ascii="Cambria" w:eastAsia="Cambria" w:hAnsi="Cambria" w:cs="Cambria"/>
          <w:sz w:val="20"/>
          <w:szCs w:val="20"/>
          <w:lang w:val="en-AU" w:eastAsia="en-ID"/>
        </w:rPr>
        <w:fldChar w:fldCharType="begin" w:fldLock="1"/>
      </w:r>
      <w:r w:rsidRPr="00294E2E">
        <w:rPr>
          <w:rFonts w:ascii="Cambria" w:eastAsia="Cambria" w:hAnsi="Cambria" w:cs="Cambria"/>
          <w:sz w:val="20"/>
          <w:szCs w:val="20"/>
          <w:lang w:val="en-AU" w:eastAsia="en-ID"/>
        </w:rPr>
        <w:instrText>ADDIN CSL_CITATION {"citationItems":[{"id":"ITEM-1","itemData":{"DOI":"10.1016/j.heliyon.2024.e25776","ISSN":"24058440","author":[{"dropping-particle":"","family":"Chen","given":"Xieling","non-dropping-particle":"","parse-names":false,"suffix":""},{"dropping-particle":"","family":"Zou","given":"Di","non-dropping-particle":"","parse-names":false,"suffix":""},{"dropping-particle":"","family":"Xie","given":"Haoran","non-dropping-particle":"","parse-names":false,"suffix":""},{"dropping-particle":"","family":"Wang","given":"Fu Lee","non-dropping-particle":"","parse-names":false,"suffix":""}],"container-title":"Heliyon","id":"ITEM-1","issue":"4","issued":{"date-parts":[["2024","2"]]},"page":"e25776","title":"Technology-enhanced higher education: Text mining and bibliometrics","type":"article-journal","volume":"10"},"uris":["http://www.mendeley.com/documents/?uuid=b1bceeb4-7e12-4e99-a94e-b17c289ac0a7"]}],"mendeley":{"formattedCitation":"(Chen et al., 2024)","manualFormatting":"(Chen et al., 2024 ; Mallik, 2023)","plainTextFormattedCitation":"(Chen et al., 2024)","previouslyFormattedCitation":"(Chen et al., 2024)"},"properties":{"noteIndex":0},"schema":"https://github.com/citation-style-language/schema/raw/master/csl-citation.json"}</w:instrText>
      </w:r>
      <w:r w:rsidRPr="00294E2E">
        <w:rPr>
          <w:rFonts w:ascii="Cambria" w:eastAsia="Cambria" w:hAnsi="Cambria" w:cs="Cambria"/>
          <w:sz w:val="20"/>
          <w:szCs w:val="20"/>
          <w:lang w:val="en-AU" w:eastAsia="en-ID"/>
        </w:rPr>
        <w:fldChar w:fldCharType="separate"/>
      </w:r>
      <w:hyperlink r:id="rId52" w:history="1">
        <w:r w:rsidRPr="00294E2E">
          <w:rPr>
            <w:rFonts w:ascii="Cambria" w:eastAsia="Cambria" w:hAnsi="Cambria" w:cs="Cambria"/>
            <w:noProof/>
            <w:color w:val="0000FF"/>
            <w:sz w:val="20"/>
            <w:szCs w:val="20"/>
            <w:lang w:val="en-AU" w:eastAsia="en-ID"/>
          </w:rPr>
          <w:t xml:space="preserve">(Chen et al., 2024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{"citationItems":[{"id":"ITEM-1","itemData":{"DOI":"10.1016/j.rineng.2023.101356","ISSN":"25901230","author":[{"dropping-particle":"","family":"Mallik","given":"Awadesh Kumar","non-dropping-particle":"","parse-names":false,"suffix":""}],"container-title":"Results in Engineering","id":"ITEM-1","issued":{"date-parts":[["2023","9"]]},"page":"101356","title":"The future of the technology-based manufacturing in the European Union","type":"article-journal","volume":"19"},"uris":["http://www.mendeley.com/documents/?uuid=09775cd9-69c9-4e0c-87d1-235debf6d6cf"]}],"mendeley":{"formattedCitation":"(Mallik, 2023)","manualFormatting":"Mallik, 2023)","plainTextFormattedCitation":"(Mallik, 2023)","previouslyFormattedCitation":"(Mallik, 2023)"},"properties":{"noteIndex":0},"schema":"https://github.com/citation-style-language/schema/raw/master/csl-citation.json"}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Mallik, 2023)</w:t>
        </w:r>
        <w:r w:rsidRPr="00294E2E">
          <w:rPr>
            <w:rFonts w:ascii="Cambria" w:eastAsia="Cambria" w:hAnsi="Cambria" w:cs="Cambria"/>
            <w:noProof/>
            <w:color w:val="0000FF"/>
            <w:sz w:val="20"/>
            <w:szCs w:val="20"/>
            <w:lang w:val="en-AU" w:eastAsia="en-ID"/>
          </w:rPr>
          <w:fldChar w:fldCharType="end"/>
        </w:r>
      </w:hyperlink>
      <w:r w:rsidRPr="00294E2E">
        <w:rPr>
          <w:rFonts w:ascii="Cambria" w:eastAsia="Cambria" w:hAnsi="Cambria" w:cs="Cambria"/>
          <w:sz w:val="20"/>
          <w:szCs w:val="20"/>
          <w:lang w:val="en-AU" w:eastAsia="en-ID"/>
        </w:rPr>
        <w:fldChar w:fldCharType="end"/>
      </w:r>
      <w:r w:rsidRPr="00294E2E">
        <w:rPr>
          <w:rFonts w:ascii="Cambria" w:eastAsia="Cambria" w:hAnsi="Cambria" w:cs="Cambria"/>
          <w:sz w:val="20"/>
          <w:szCs w:val="20"/>
          <w:lang w:val="en-AU" w:eastAsia="en-ID"/>
        </w:rPr>
        <w:t xml:space="preserve">. This research represents a breakthrough in the development of technology-based reading comprehension programs for more advanced educational applications, as highlighted by  </w:t>
      </w:r>
      <w:r w:rsidRPr="00294E2E">
        <w:rPr>
          <w:rFonts w:ascii="Cambria" w:eastAsia="Cambria" w:hAnsi="Cambria" w:cs="Cambria"/>
          <w:sz w:val="20"/>
          <w:szCs w:val="20"/>
          <w:lang w:val="en-AU" w:eastAsia="en-ID"/>
        </w:rPr>
        <w:fldChar w:fldCharType="begin" w:fldLock="1"/>
      </w:r>
      <w:r w:rsidRPr="00294E2E">
        <w:rPr>
          <w:rFonts w:ascii="Cambria" w:eastAsia="Cambria" w:hAnsi="Cambria" w:cs="Cambria"/>
          <w:sz w:val="20"/>
          <w:szCs w:val="20"/>
          <w:lang w:val="en-AU" w:eastAsia="en-ID"/>
        </w:rPr>
        <w:instrText>ADDIN CSL_CITATION {"citationItems":[{"id":"ITEM-1","itemData":{"DOI":"10.1016/j.techfore.2023.123076","ISSN":"00401625","author":[{"dropping-particle":"","family":"Ali","given":"Omar","non-dropping-particle":"","parse-names":false,"suffix":""},{"dropping-particle":"","family":"Murray","given":"Peter A.","non-dropping-particle":"","parse-names":false,"suffix":""},{"dropping-particle":"","family":"Momin","given":"Mujtaba","non-dropping-particle":"","parse-names":false,"suffix":""},{"dropping-particle":"","family":"Dwivedi","given":"Yogesh K.","non-dropping-particle":"","parse-names":false,"suffix":""},{"dropping-particle":"","family":"Malik","given":"Tegwen","non-dropping-particle":"","parse-names":false,"suffix":""}],"container-title":"Technological Forecasting and Social Change","id":"ITEM-1","issued":{"date-parts":[["2024","2"]]},"page":"123076","title":"The effects of artificial intelligence applications in educational settings: Challenges and strategies","type":"article-journal","volume":"199"},"uris":["http://www.mendeley.com/documents/?uuid=e843a9d1-62f0-4ee1-b401-dd70817227f7"]}],"mendeley":{"formattedCitation":"(Ali et al., 2024)","manualFormatting":"(Ali et al., 2024 ; Lin, 2023)","plainTextFormattedCitation":"(Ali et al., 2024)","previouslyFormattedCitation":"(Ali et al., 2024)"},"properties":{"noteIndex":0},"schema":"https://github.com/citation-style-language/schema/raw/master/csl-citation.json"}</w:instrText>
      </w:r>
      <w:r w:rsidRPr="00294E2E">
        <w:rPr>
          <w:rFonts w:ascii="Cambria" w:eastAsia="Cambria" w:hAnsi="Cambria" w:cs="Cambria"/>
          <w:sz w:val="20"/>
          <w:szCs w:val="20"/>
          <w:lang w:val="en-AU" w:eastAsia="en-ID"/>
        </w:rPr>
        <w:fldChar w:fldCharType="separate"/>
      </w:r>
      <w:hyperlink r:id="rId53" w:history="1">
        <w:r w:rsidRPr="00294E2E">
          <w:rPr>
            <w:rFonts w:ascii="Cambria" w:eastAsia="Cambria" w:hAnsi="Cambria" w:cs="Cambria"/>
            <w:noProof/>
            <w:color w:val="0000FF"/>
            <w:sz w:val="20"/>
            <w:szCs w:val="20"/>
            <w:lang w:val="en-AU" w:eastAsia="en-ID"/>
          </w:rPr>
          <w:t xml:space="preserve">(Ali et al., 2024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{"citationItems":[{"id":"ITEM-1","itemData":{"DOI":"10.1016/j.compedu.2022.104710","ISSN":"03601315","author":[{"dropping-particle":"","family":"Lin","given":"Yu-Ren","non-dropping-particle":"","parse-names":false,"suffix":""}],"container-title":"Computers &amp; Education","id":"ITEM-1","issued":{"date-parts":[["2023","4"]]},"page":"104710","title":"An idiom-driven learning strategy to improve low achievers’ science comprehension, motivation, and argumentation.","type":"article-journal","volume":"195"},"uris":["http://www.mendeley.com/documents/?uuid=00d1091b-c265-4602-a02b-fda0af8718ae"]}],"mendeley":{"formattedCitation":"(Y.-R. Lin, 2023)","manualFormatting":"Lin, 2023)","plainTextFormattedCitation":"(Y.-R. Lin, 2023)","previouslyFormattedCitation":"(Y.-R. Lin, 2023)"},"properties":{"noteIndex":0},"schema":"https://github.com/citation-style-language/schema/raw/master/csl-citation.json"}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Lin, 2023)</w:t>
        </w:r>
        <w:r w:rsidRPr="00294E2E">
          <w:rPr>
            <w:rFonts w:ascii="Cambria" w:eastAsia="Cambria" w:hAnsi="Cambria" w:cs="Cambria"/>
            <w:noProof/>
            <w:color w:val="0000FF"/>
            <w:sz w:val="20"/>
            <w:szCs w:val="20"/>
            <w:lang w:val="en-AU" w:eastAsia="en-ID"/>
          </w:rPr>
          <w:fldChar w:fldCharType="end"/>
        </w:r>
      </w:hyperlink>
      <w:r w:rsidRPr="00294E2E">
        <w:rPr>
          <w:rFonts w:ascii="Cambria" w:eastAsia="Cambria" w:hAnsi="Cambria" w:cs="Cambria"/>
          <w:sz w:val="20"/>
          <w:szCs w:val="20"/>
          <w:lang w:val="en-AU" w:eastAsia="en-ID"/>
        </w:rPr>
        <w:fldChar w:fldCharType="end"/>
      </w:r>
      <w:r w:rsidRPr="00294E2E">
        <w:rPr>
          <w:rFonts w:ascii="Cambria" w:eastAsia="Cambria" w:hAnsi="Cambria" w:cs="Cambria"/>
          <w:sz w:val="20"/>
          <w:szCs w:val="20"/>
          <w:lang w:val="en-AU" w:eastAsia="en-ID"/>
        </w:rPr>
        <w:t xml:space="preserve">. Speed reading requires a flexible and curious attitude, a willingness to investigate the causes of phenomena, a desire to deepen knowledge, and an openness to consider multiple perspectives for analysis. In addition, a desire for creative reading is essentially required, which allows for the generation of ideas and a readiness to learn new things, as stated by </w:t>
      </w:r>
      <w:r w:rsidRPr="00294E2E">
        <w:rPr>
          <w:rFonts w:ascii="Cambria" w:eastAsia="Cambria" w:hAnsi="Cambria" w:cs="Cambria"/>
          <w:sz w:val="20"/>
          <w:szCs w:val="20"/>
          <w:lang w:val="en-AU" w:eastAsia="en-ID"/>
        </w:rPr>
        <w:fldChar w:fldCharType="begin" w:fldLock="1"/>
      </w:r>
      <w:r w:rsidRPr="00294E2E">
        <w:rPr>
          <w:rFonts w:ascii="Cambria" w:eastAsia="Cambria" w:hAnsi="Cambria" w:cs="Cambria"/>
          <w:sz w:val="20"/>
          <w:szCs w:val="20"/>
          <w:lang w:val="en-AU" w:eastAsia="en-ID"/>
        </w:rPr>
        <w:instrText>ADDIN CSL_CITATION {"citationItems":[{"id":"ITEM-1","itemData":{"DOI":"10.1016/j.iot.2023.100860","ISSN":"25426605","author":[{"dropping-particle":"","family":"Malik","given":"Hassaan","non-dropping-particle":"","parse-names":false,"suffix":""},{"dropping-particle":"","family":"Anees","given":"Tayyaba","non-dropping-particle":"","parse-names":false,"suffix":""},{"dropping-particle":"","family":"Faheem","given":"Muhammad","non-dropping-particle":"","parse-names":false,"suffix":""},{"dropping-particle":"","family":"Chaudhry","given":"Muhammad Umar","non-dropping-particle":"","parse-names":false,"suffix":""},{"dropping-particle":"","family":"Ali","given":"Aatka","non-dropping-particle":"","parse-names":false,"suffix":""},{"dropping-particle":"","family":"Asghar","given":"Muhammad Nabeel","non-dropping-particle":"","parse-names":false,"suffix":""}],"container-title":"Internet of Things","id":"ITEM-1","issued":{"date-parts":[["2023","10"]]},"page":"100860","title":"Blockchain and Internet of Things in smart cities and drug supply management: Open issues, opportunities, and future directions","type":"article-journal","volume":"23"},"uris":["http://www.mendeley.com/documents/?uuid=5578391a-ab07-4e8d-8cb6-82d9a277df0c"]}],"mendeley":{"formattedCitation":"(Malik et al., 2023)","manualFormatting":"(Malik et al., 2023 ; Formatting Citation)","plainTextFormattedCitation":"(Malik et al., 2023)","previouslyFormattedCitation":"(Malik et al., 2023)"},"properties":{"noteIndex":0},"schema":"https://github.com/citation-style-language/schema/raw/master/csl-citation.json"}</w:instrText>
      </w:r>
      <w:r w:rsidRPr="00294E2E">
        <w:rPr>
          <w:rFonts w:ascii="Cambria" w:eastAsia="Cambria" w:hAnsi="Cambria" w:cs="Cambria"/>
          <w:sz w:val="20"/>
          <w:szCs w:val="20"/>
          <w:lang w:val="en-AU" w:eastAsia="en-ID"/>
        </w:rPr>
        <w:fldChar w:fldCharType="separate"/>
      </w:r>
      <w:hyperlink r:id="rId54" w:history="1">
        <w:r w:rsidRPr="00294E2E">
          <w:rPr>
            <w:rFonts w:ascii="Cambria" w:eastAsia="Cambria" w:hAnsi="Cambria" w:cs="Cambria"/>
            <w:noProof/>
            <w:color w:val="0000FF"/>
            <w:sz w:val="20"/>
            <w:szCs w:val="20"/>
            <w:lang w:val="en-AU" w:eastAsia="en-ID"/>
          </w:rPr>
          <w:t xml:space="preserve">(Malik et al., 2023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{"citationItems":[{"id":"ITEM-1","itemData":{"DOI":"10.1016/j.pbiomolbio.2023.12.003","ISSN":"00796107","author":[{"dropping-particle":"","family":"Kuhn","given":"Robert Lawrence","non-dropping-particle":"","parse-names":false,"suffix":""}],"container-title":"Progress in Biophysics and Molecular Biology","id":"ITEM-1","issued":{"date-parts":[["2024","1"]]},"title":"A Landscape of Consciousness: Toward a Taxonomy of Explanations and Implications","type":"article-journal"},"uris":["http://www.mendeley.com/documents/?uuid=1c1ec8ee-8d77-4434-a982-bfe668eda01f"]}],"mendeley":{"formattedCitation":"(Kuhn, 2024)","manualFormatting":"Formatting Citation)","plainTextFormattedCitation":"(Kuhn, 2024)","previouslyFormattedCitation":"(Kuhn, 2024)"},"properties":{"noteIndex":0},"schema":"https://github.com/citation-style-language/schema/raw/master/csl-citation.json"}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Formatting Citation)</w:t>
        </w:r>
        <w:r w:rsidRPr="00294E2E">
          <w:rPr>
            <w:rFonts w:ascii="Cambria" w:eastAsia="Cambria" w:hAnsi="Cambria" w:cs="Cambria"/>
            <w:noProof/>
            <w:color w:val="0000FF"/>
            <w:sz w:val="20"/>
            <w:szCs w:val="20"/>
            <w:lang w:val="en-AU" w:eastAsia="en-ID"/>
          </w:rPr>
          <w:fldChar w:fldCharType="end"/>
        </w:r>
      </w:hyperlink>
      <w:r w:rsidRPr="00294E2E">
        <w:rPr>
          <w:rFonts w:ascii="Cambria" w:eastAsia="Cambria" w:hAnsi="Cambria" w:cs="Cambria"/>
          <w:sz w:val="20"/>
          <w:szCs w:val="20"/>
          <w:lang w:val="en-AU" w:eastAsia="en-ID"/>
        </w:rPr>
        <w:fldChar w:fldCharType="end"/>
      </w:r>
      <w:r w:rsidRPr="00294E2E">
        <w:rPr>
          <w:rFonts w:ascii="Cambria" w:eastAsia="Cambria" w:hAnsi="Cambria" w:cs="Cambria"/>
          <w:sz w:val="20"/>
          <w:szCs w:val="20"/>
          <w:lang w:val="en-AU" w:eastAsia="en-ID"/>
        </w:rPr>
        <w:t xml:space="preserve">. </w:t>
      </w:r>
    </w:p>
    <w:p w:rsidR="00294E2E" w:rsidRPr="00294E2E" w:rsidRDefault="00294E2E" w:rsidP="00294E2E">
      <w:pPr>
        <w:spacing w:after="0" w:line="240" w:lineRule="auto"/>
        <w:ind w:firstLine="720"/>
        <w:jc w:val="both"/>
        <w:rPr>
          <w:rFonts w:ascii="Times New Roman" w:eastAsia="MS Mincho" w:hAnsi="Times New Roman" w:cs="Times New Roman"/>
          <w:sz w:val="24"/>
          <w:szCs w:val="24"/>
          <w:lang w:val="en-AU" w:eastAsia="en-ID"/>
        </w:rPr>
      </w:pPr>
      <w:bookmarkStart w:id="4" w:name="_Hlk166748721"/>
      <w:r w:rsidRPr="00294E2E">
        <w:rPr>
          <w:rFonts w:ascii="Cambria" w:eastAsia="Cambria" w:hAnsi="Cambria" w:cs="Cambria"/>
          <w:sz w:val="20"/>
          <w:szCs w:val="20"/>
          <w:lang w:val="en-AU" w:eastAsia="en-ID"/>
        </w:rPr>
        <w:t xml:space="preserve">This review focuses on </w:t>
      </w:r>
      <w:proofErr w:type="spellStart"/>
      <w:r w:rsidRPr="00294E2E">
        <w:rPr>
          <w:rFonts w:ascii="Cambria" w:eastAsia="Cambria" w:hAnsi="Cambria" w:cs="Cambria"/>
          <w:sz w:val="20"/>
          <w:szCs w:val="20"/>
          <w:lang w:val="en-AU" w:eastAsia="en-ID"/>
        </w:rPr>
        <w:t>analyzing</w:t>
      </w:r>
      <w:proofErr w:type="spellEnd"/>
      <w:r w:rsidRPr="00294E2E">
        <w:rPr>
          <w:rFonts w:ascii="Cambria" w:eastAsia="Cambria" w:hAnsi="Cambria" w:cs="Cambria"/>
          <w:sz w:val="20"/>
          <w:szCs w:val="20"/>
          <w:lang w:val="en-AU" w:eastAsia="en-ID"/>
        </w:rPr>
        <w:t>, evaluating, and summarizing studies based on responses to the review questions,</w:t>
      </w:r>
      <w:bookmarkEnd w:id="4"/>
      <w:r w:rsidRPr="00294E2E">
        <w:rPr>
          <w:rFonts w:ascii="Cambria" w:eastAsia="Cambria" w:hAnsi="Cambria" w:cs="Cambria"/>
          <w:sz w:val="20"/>
          <w:szCs w:val="20"/>
          <w:lang w:val="en-AU" w:eastAsia="en-ID"/>
        </w:rPr>
        <w:t xml:space="preserve"> such as those conducted by </w:t>
      </w:r>
      <w:r w:rsidRPr="00294E2E">
        <w:rPr>
          <w:rFonts w:ascii="Cambria" w:eastAsia="Cambria" w:hAnsi="Cambria" w:cs="Cambria"/>
          <w:sz w:val="20"/>
          <w:szCs w:val="20"/>
          <w:lang w:val="en-AU" w:eastAsia="en-ID"/>
        </w:rPr>
        <w:fldChar w:fldCharType="begin" w:fldLock="1"/>
      </w:r>
      <w:r w:rsidRPr="00294E2E">
        <w:rPr>
          <w:rFonts w:ascii="Cambria" w:eastAsia="Cambria" w:hAnsi="Cambria" w:cs="Cambria"/>
          <w:sz w:val="20"/>
          <w:szCs w:val="20"/>
          <w:lang w:val="en-AU" w:eastAsia="en-ID"/>
        </w:rPr>
        <w:instrText>ADDIN CSL_CITATION {"citationItems":[{"id":"ITEM-1","itemData":{"DOI":"10.1016/j.ctim.2023.102999","ISSN":"09652299","author":[{"dropping-particle":"","family":"Gaertner","given":"Katharina","non-dropping-particle":"","parse-names":false,"suffix":""},{"dropping-particle":"","family":"Ulbrich-Zürni","given":"Susanne","non-dropping-particle":"","parse-names":false,"suffix":""},{"dropping-particle":"","family":"Baumgartner","given":"Stephan","non-dropping-particle":"","parse-names":false,"suffix":""},{"dropping-particle":"","family":"Walach","given":"Harald","non-dropping-particle":"","parse-names":false,"suffix":""},{"dropping-particle":"","family":"Frass","given":"Michael","non-dropping-particle":"","parse-names":false,"suffix":""},{"dropping-particle":"","family":"Weiermayer","given":"Petra","non-dropping-particle":"","parse-names":false,"suffix":""}],"container-title":"Complementary Therapies in Medicine","id":"ITEM-1","issued":{"date-parts":[["2023","12"]]},"page":"102999","title":"Systematic reviews and meta-analyses in Homeopathy: Recommendations for summarising evidence from homeopathic intervention studies (Sum-HomIS recommendations)","type":"article-journal","volume":"79"},"uris":["http://www.mendeley.com/documents/?uuid=3c560217-3a6b-42cc-b939-764f0e5b4773"]}],"mendeley":{"formattedCitation":"(Gaertner et al., 2023)","manualFormatting":"(Gaertner et al., 2023 ; Gao et al., 2024)","plainTextFormattedCitation":"(Gaertner et al., 2023)","previouslyFormattedCitation":"(Gaertner et al., 2023)"},"properties":{"noteIndex":0},"schema":"https://github.com/citation-style-language/schema/raw/master/csl-citation.json"}</w:instrText>
      </w:r>
      <w:r w:rsidRPr="00294E2E">
        <w:rPr>
          <w:rFonts w:ascii="Cambria" w:eastAsia="Cambria" w:hAnsi="Cambria" w:cs="Cambria"/>
          <w:sz w:val="20"/>
          <w:szCs w:val="20"/>
          <w:lang w:val="en-AU" w:eastAsia="en-ID"/>
        </w:rPr>
        <w:fldChar w:fldCharType="separate"/>
      </w:r>
      <w:hyperlink r:id="rId55" w:history="1">
        <w:r w:rsidRPr="00294E2E">
          <w:rPr>
            <w:rFonts w:ascii="Cambria" w:eastAsia="Cambria" w:hAnsi="Cambria" w:cs="Cambria"/>
            <w:noProof/>
            <w:color w:val="0000FF"/>
            <w:sz w:val="20"/>
            <w:szCs w:val="20"/>
            <w:lang w:val="en-AU" w:eastAsia="en-ID"/>
          </w:rPr>
          <w:t xml:space="preserve">(Gaertner et al., 2023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caeai.2024.100206","ISSN":"2666920X","author":[{"dropping-particle":"","family":"Gao","given":"Rujun","non-dropping-particle":"","parse-names":false,"suffix":""},{"dropping-particle":"","family":"Merzdorf","given":"Hillary E.","non-dropping-particle":"","parse-names":false,"suffix":""},{"dropping-particle":"","family":"Anwar","given":"Saira","non-dropping-particle":"","parse-names":false,"suffix":""},{"dropping-particle":"","family":"Hipwell","given":"M. Cynthia","non-dropping-particle":"","parse-names":false,"suffix":""},{"dropping-particle":"","family":"Srinivasa","given":"Arun R.","non-dropping-particle":"","parse-names":false,"suffix":""}],"container-title":"Computers and Education: Artificial Intelligence","id":"ITEM-1","issued":{"date-parts":[["2024","6"]]},"page":"100206","title":"Automatic assessment of text-based responses in post-secondary education: A systematic review","type":"article-journal","volume":"6"},"uris":["http://www.mendeley.com/documents/?uuid=bcaaa8ee-0458-4189-bc80-52dfd2048478"]}],"mendeley":{"formattedCitation":"(Gao et al., 2024)","manualFormatting":"Gao et al., 2024)","plainTextFormattedCitation":"(Gao et al., 2024)","previouslyFormattedCitation":"(Gao et al., 2024)"},"properties":{"noteIndex":0},"schema":"https://github.com/citation-style-language/schema/raw/master/csl-citation.json"}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Gao et al., 2024)</w:t>
        </w:r>
        <w:r w:rsidRPr="00294E2E">
          <w:rPr>
            <w:rFonts w:ascii="Cambria" w:eastAsia="Cambria" w:hAnsi="Cambria" w:cs="Cambria"/>
            <w:noProof/>
            <w:color w:val="0000FF"/>
            <w:sz w:val="20"/>
            <w:szCs w:val="20"/>
            <w:lang w:val="en-AU" w:eastAsia="en-ID"/>
          </w:rPr>
          <w:fldChar w:fldCharType="end"/>
        </w:r>
      </w:hyperlink>
      <w:r w:rsidRPr="00294E2E">
        <w:rPr>
          <w:rFonts w:ascii="Cambria" w:eastAsia="Cambria" w:hAnsi="Cambria" w:cs="Cambria"/>
          <w:sz w:val="20"/>
          <w:szCs w:val="20"/>
          <w:lang w:val="en-AU" w:eastAsia="en-ID"/>
        </w:rPr>
        <w:fldChar w:fldCharType="end"/>
      </w:r>
      <w:r w:rsidRPr="00294E2E">
        <w:rPr>
          <w:rFonts w:ascii="Cambria" w:eastAsia="Cambria" w:hAnsi="Cambria" w:cs="Cambria"/>
          <w:sz w:val="20"/>
          <w:szCs w:val="20"/>
          <w:lang w:val="en-AU" w:eastAsia="en-ID"/>
        </w:rPr>
        <w:t xml:space="preserve">. Reading is considered an important skill that must be improved in 21st century learning. The cognitive approach integrates various theories, such as constructivist learning theory, cognitive development theory, </w:t>
      </w:r>
      <w:proofErr w:type="spellStart"/>
      <w:r w:rsidRPr="00294E2E">
        <w:rPr>
          <w:rFonts w:ascii="Cambria" w:eastAsia="Cambria" w:hAnsi="Cambria" w:cs="Cambria"/>
          <w:sz w:val="20"/>
          <w:szCs w:val="20"/>
          <w:lang w:val="en-AU" w:eastAsia="en-ID"/>
        </w:rPr>
        <w:t>sociocognitive</w:t>
      </w:r>
      <w:proofErr w:type="spellEnd"/>
      <w:r w:rsidRPr="00294E2E">
        <w:rPr>
          <w:rFonts w:ascii="Cambria" w:eastAsia="Cambria" w:hAnsi="Cambria" w:cs="Cambria"/>
          <w:sz w:val="20"/>
          <w:szCs w:val="20"/>
          <w:lang w:val="en-AU" w:eastAsia="en-ID"/>
        </w:rPr>
        <w:t xml:space="preserve"> theory, cognitive information processing theory, and adult education theory, all of which form the basis of principles that encourage students to use reading media in constructing new knowledge effectively, as </w:t>
      </w:r>
      <w:r w:rsidRPr="00294E2E">
        <w:rPr>
          <w:rFonts w:ascii="Cambria" w:eastAsia="Cambria" w:hAnsi="Cambria" w:cs="Cambria"/>
          <w:sz w:val="20"/>
          <w:szCs w:val="20"/>
          <w:lang w:val="en-AU" w:eastAsia="en-ID"/>
        </w:rPr>
        <w:lastRenderedPageBreak/>
        <w:t xml:space="preserve">described by </w:t>
      </w:r>
      <w:hyperlink r:id="rId56" w:history="1">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{"citationItems":[{"id":"ITEM-1","itemData":{"DOI":"10.22219/jinop.v2i2.2629","ISSN":"2460-0873","abstract":"ABSTRAKMasalah penelitian adalah rendahnya kemampuan berfikir kreatif mahasiswa dalam menyelesaikan masalah. Tujuan penelitian menghasilkan modul pembelajaran berbasis masalah yang dapat membantu meningkatkan berfikir kreatif mahasiswa.Pengembangan modul menggunakan model 4D Thiagarajan dan Semmel, tetapi yang digunakan hanya 3D yaitu pendefinisian, perancangan, dan pengembangan.Untuk penyebaran tidak dilaksanakan karena tidak bertujuan melakukan generalisasi. Sasaran uji coba produk mahasiswa prodi PPKn STKIP PGRI Blitar angkatan 2014/2015.Istrumen merekam data menggunakan lembar validasi, lembar observasi, tes penguasaan bahan ajar, dan angket respon mahasiswa.Analisis data menggunakan analisis deskriptif kualitatif dan analisis statistik deskriptif. Hasil penelitian (1) berdasarkan kriteria yang telah ditetapkan semua instrumen memenuhi kevalidan (2) kepraktisan modul dengan aspek keterlaksanaan modul mencapai skor 78.17% masuk dalam kategori baik (3) aktivitas dosen dalam pembelajaran mencapai skor 83.06 masuk dalam kategori aktif (4) Dilihat dari aspek keefektifan modul dengan indikator ketuntasan belajar mencapai skor 90.27% dikatakan tuntas, aktivitas mahasiswa mencapai skor 76.61% masuk dalam kategori aktif. Respon mahasiswa atas penggunaan modul mencapai skor 1.66% memberi respon positif.Dengan mengacu pada indikator tersebut dapat disimpulkan bahwa modul PBL ini telah memenuhi syarat valid, praktis dan efektif. Kata Kunci : Modul , Problem Based Learning, Berfikir Kreatif Research problem is lack of creative thinking abilities of students to solve problems. The purpose of resulting of this research is a problem-based learning models which increase the ability of creative thinking of students. This module develop by using 4D model Thiagarajan and Semme, but only used the 3D model they are defining, designing, and developing. Dessemination is not executed because it does not aim to generalize. Target of resulting product are students of major PPKn in STKIP PGRI BLITAR 2014/201. Instruments to record data is using a validation sheets, observation sheets, test mastery of material, and students responses questioner. Data analysis use descriptive analysis of qualitative and descriptive statistic statistical analysis. Research result depends on (1) a criteria which established all the instruments are valid. (2) Practically modules which implementation aspect modules are 78.18% which get good score (3) Lecturer activity in learning are 83.06% which ge…","author":[{"dropping-particle":"","family":"Erawanto","given":"Udin","non-dropping-particle":"","parse-names":false,"suffix":""},{"dropping-particle":"","family":"Santoso","given":"Ekbal","non-dropping-particle":"","parse-names":false,"suffix":""}],"container-title":"JINoP (Jurnal Inovasi Pembelajaran)","id":"ITEM-1","issue":"2","issued":{"date-parts":[["2016","11","26"]]},"page":"427","title":"Pengembangan Modul Pembelajaran Berbasis Masalah Untuk Membantu Meningkatkan Berfikir Kreatif Mahasiswa","type":"article-journal","volume":"2"},"uris":["http://www.mendeley.com/documents/?uuid=28ad91b5-8b6d-43f8-a9c7-6b604cd4e504"]}],"mendeley":{"formattedCitation":"(Erawanto &amp; Santoso, 2016)","manualFormatting":"(Erawanto &amp; Santoso, 2016","plainTextFormattedCitation":"(Erawanto &amp; Santoso, 2016)","previouslyFormattedCitation":"(Erawanto &amp; Santoso, 2016)"},"properties":{"noteIndex":0},"schema":"https://github.com/citation-style-language/schema/raw/master/csl-citation.json"}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(Erawanto &amp; Santoso, 2016</w:t>
        </w:r>
        <w:r w:rsidRPr="00294E2E">
          <w:rPr>
            <w:rFonts w:ascii="Cambria" w:eastAsia="Cambria" w:hAnsi="Cambria" w:cs="Cambria"/>
            <w:color w:val="0000FF"/>
            <w:sz w:val="20"/>
            <w:szCs w:val="20"/>
            <w:lang w:val="en-AU" w:eastAsia="en-ID"/>
          </w:rPr>
          <w:fldChar w:fldCharType="end"/>
        </w:r>
        <w:r w:rsidRPr="00294E2E">
          <w:rPr>
            <w:rFonts w:ascii="Cambria" w:eastAsia="Cambria" w:hAnsi="Cambria" w:cs="Cambria"/>
            <w:color w:val="0000FF"/>
            <w:sz w:val="20"/>
            <w:szCs w:val="20"/>
            <w:lang w:val="en-AU" w:eastAsia="en-ID"/>
          </w:rPr>
          <w:t xml:space="preserve">; </w:t>
        </w:r>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{"citationItems":[{"id":"ITEM-1","itemData":{"DOI":"10.1016/j.kjss.2016.05.002","ISSN":"24523151","abstract":"The main purposes of this research are to develop, implement, and evaluate an instructional model based on the cognitive approach to enhance critical thinking among trainee students and to develop their abilities in teaching critical thinking to learners. The model was designed utilizing 4 main components of research and development processes and implemented with 15 trainee students whose majors were English and Khmer at the Regional Teacher Training Center. The received data was analyzed using scoring rubrics, descriptive statistics, the Wilcoxon test, and content analysis. The results revealed that there were 6 main components of the developed instructional model: principle, objective, learning content, learning instruction, learning materials, and evaluation. The developed instructional model was at the highest level of applicability (X¯ = 4.21, SD = 0.23). Critical thinking learning instruction was designed into 8 steps consisting of: triggering activity, identifying problem, investigating related data, discussing findings, evaluating findings, creating solutions, presenting solutions, and reflecting learning outcome. Trainee students' post critical thinking was much higher than pre-critical thinking implementation, while their abilities in teaching critical thinking were at the exemplary level (X¯ = 20.62, SD = 0.28). Trainee students' perceptions toward learning critical thinking and teaching instruction were at the highest level (X¯ = 4.28, SD = 0.19).","author":[{"dropping-particle":"","family":"Vong","given":"Sam Aun","non-dropping-particle":"","parse-names":false,"suffix":""},{"dropping-particle":"","family":"Kaewurai","given":"Wareerat","non-dropping-particle":"","parse-names":false,"suffix":""}],"container-title":"Kasetsart Journal of Social Sciences","id":"ITEM-1","issue":"1","issued":{"date-parts":[["2017"]]},"page":"88-95","publisher":"Elsevier Ltd","title":"Instructional model development to enhance critical thinking and critical thinking teaching ability of trainee students at regional teaching training center in Takeo province, Cambodia","type":"article-journal","volume":"38"},"uris":["http://www.mendeley.com/documents/?uuid=d8155376-c5e4-4b03-b9d3-c0601176b029"]}],"mendeley":{"formattedCitation":"(Vong &amp; Kaewurai, 2017)","manualFormatting":"Vong &amp; Kaewurai, 2017)","plainTextFormattedCitation":"(Vong &amp; Kaewurai, 2017)","previouslyFormattedCitation":"(Vong &amp; Kaewurai, 2017)"},"properties":{"noteIndex":0},"schema":"https://github.com/citation-style-language/schema/raw/master/csl-citation.json"}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Vong &amp; Kaewurai, 2017)</w:t>
        </w:r>
        <w:r w:rsidRPr="00294E2E">
          <w:rPr>
            <w:rFonts w:ascii="Cambria" w:eastAsia="Cambria" w:hAnsi="Cambria" w:cs="Cambria"/>
            <w:color w:val="0000FF"/>
            <w:sz w:val="20"/>
            <w:szCs w:val="20"/>
            <w:lang w:val="en-AU" w:eastAsia="en-ID"/>
          </w:rPr>
          <w:fldChar w:fldCharType="end"/>
        </w:r>
      </w:hyperlink>
      <w:r w:rsidRPr="00294E2E">
        <w:rPr>
          <w:rFonts w:ascii="Cambria" w:eastAsia="Cambria" w:hAnsi="Cambria" w:cs="Cambria"/>
          <w:sz w:val="20"/>
          <w:szCs w:val="20"/>
          <w:lang w:val="en-AU" w:eastAsia="en-ID"/>
        </w:rPr>
        <w:t>. Pre-test and post-test data were collected using test techniques, where the pre-test was conducted before the learning process began, while the post-test was conducted after the application of the learning materials.</w:t>
      </w:r>
      <w:r w:rsidRPr="00294E2E">
        <w:rPr>
          <w:rFonts w:ascii="Times New Roman" w:eastAsia="MS Mincho" w:hAnsi="Times New Roman" w:cs="Times New Roman"/>
          <w:sz w:val="24"/>
          <w:szCs w:val="24"/>
          <w:lang w:val="en-AU" w:eastAsia="en-ID"/>
        </w:rPr>
        <w:t xml:space="preserve"> </w:t>
      </w:r>
    </w:p>
    <w:p w:rsidR="00294E2E" w:rsidRPr="00294E2E" w:rsidRDefault="00294E2E" w:rsidP="00294E2E">
      <w:pPr>
        <w:spacing w:after="0" w:line="240" w:lineRule="auto"/>
        <w:ind w:firstLine="720"/>
        <w:jc w:val="both"/>
        <w:rPr>
          <w:rFonts w:ascii="Times New Roman" w:eastAsia="MS Mincho" w:hAnsi="Times New Roman" w:cs="Times New Roman"/>
          <w:sz w:val="24"/>
          <w:szCs w:val="24"/>
          <w:lang w:val="en-AU" w:eastAsia="en-ID"/>
        </w:rPr>
      </w:pPr>
      <w:r w:rsidRPr="00294E2E">
        <w:rPr>
          <w:rFonts w:ascii="Cambria" w:eastAsia="Cambria" w:hAnsi="Cambria" w:cs="Cambria"/>
          <w:sz w:val="20"/>
          <w:szCs w:val="20"/>
          <w:lang w:val="en-AU" w:eastAsia="en-ID"/>
        </w:rPr>
        <w:t xml:space="preserve">The research instrument used is the System Thinking Inventory (STI), which is formed as a collection of multiple choice questions to measure student learning achievement, focusing on 15 indicators of system thinking, as developed by  </w:t>
      </w:r>
      <w:hyperlink r:id="rId57" w:history="1">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S1474-6670(17)53048-7","ISSN":"14746670","author":[{"dropping-particle":"","family":"Zhang","given":"Zhong-Jun","non-dropping-particle":"","parse-names":false,"suffix":""},{"dropping-particle":"","family":"Yang","given":"Jian-Bo","non-dropping-particle":"","parse-names":false,"suffix":""},{"dropping-particle":"","family":"Xu","given":"Dong-Ling","non-dropping-particle":"","parse-names":false,"suffix":""}],"container-title":"IFAC Proceedings Volumes","id":"ITEM-1","issue":"12","issued":{"date-parts":[["1989","9"]]},"page":"13-18","title":"A Hierarchical Analysis Model for Multiobjective Decisionmaking","type":"article-journal","volume":"22"},"uris":["http://www.mendeley.com/documents/?uuid=d3b5ad23-0a6d-4eed-91cd-e952572d0385"]}],"mendeley":{"formattedCitation":"(Z.-J. Zhang et al., 1989)","plainTextFormattedCitation":"(Z.-J. Zhang et al., 1989)","previouslyFormattedCitation":"(Z.-J. Zhang et al., 1989)"},"properties":{"noteIndex":0},"schema":"https://github.com/citation-style-language/schema/raw/master/csl-citation.json"}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(Z.-J. Zhang et al., 1989)</w:t>
        </w:r>
        <w:r w:rsidRPr="00294E2E">
          <w:rPr>
            <w:rFonts w:ascii="Cambria" w:eastAsia="Cambria" w:hAnsi="Cambria" w:cs="Cambria"/>
            <w:color w:val="0000FF"/>
            <w:sz w:val="20"/>
            <w:szCs w:val="20"/>
            <w:lang w:val="en-AU" w:eastAsia="en-ID"/>
          </w:rPr>
          <w:fldChar w:fldCharType="end"/>
        </w:r>
      </w:hyperlink>
      <w:r w:rsidRPr="00294E2E">
        <w:rPr>
          <w:rFonts w:ascii="Cambria" w:eastAsia="Cambria" w:hAnsi="Cambria" w:cs="Cambria"/>
          <w:sz w:val="20"/>
          <w:szCs w:val="20"/>
          <w:lang w:val="en-AU" w:eastAsia="en-ID"/>
        </w:rPr>
        <w:t xml:space="preserve">. Building reading skills is crucial in preparing quality students. By incorporating reading learning, students are given the opportunity to process information, evaluate its sources, and refrain from immediately choosing the seemingly "right" or only answer, as discussed by </w:t>
      </w:r>
      <w:hyperlink r:id="rId58" w:history="1">
        <w:r w:rsidRPr="00294E2E">
          <w:rPr>
            <w:rFonts w:ascii="Cambria" w:eastAsia="Cambria" w:hAnsi="Cambria" w:cs="Cambria"/>
            <w:color w:val="0000FF"/>
            <w:sz w:val="20"/>
            <w:szCs w:val="20"/>
            <w:lang w:val="en-AU" w:eastAsia="en-ID"/>
          </w:rPr>
          <w:fldChar w:fldCharType="begin" w:fldLock="1"/>
        </w:r>
        <w:r w:rsidRPr="00294E2E">
          <w:rPr>
            <w:rFonts w:ascii="Cambria" w:eastAsia="Cambria" w:hAnsi="Cambria" w:cs="Cambria"/>
            <w:color w:val="0000FF"/>
            <w:sz w:val="20"/>
            <w:szCs w:val="20"/>
            <w:lang w:val="en-AU" w:eastAsia="en-ID"/>
          </w:rPr>
          <w:instrText>ADDIN CSL_CITATION {"citationItems":[{"id":"ITEM-1","itemData":{"DOI":"10.1016/j.psychsport.2021.101902","ISSN":"14690292","author":[{"dropping-particle":"","family":"Sturm","given":"David J.","non-dropping-particle":"","parse-names":false,"suffix":""},{"dropping-particle":"","family":"Bachner","given":"Joachim","non-dropping-particle":"","parse-names":false,"suffix":""},{"dropping-particle":"","family":"Renninger","given":"Denise","non-dropping-particle":"","parse-names":false,"suffix":""},{"dropping-particle":"","family":"Haug","given":"Stephan","non-dropping-particle":"","parse-names":false,"suffix":""},{"dropping-particle":"","family":"Demetriou","given":"Yolanda","non-dropping-particle":"","parse-names":false,"suffix":""}],"container-title":"Psychology of Sport and Exercise","id":"ITEM-1","issued":{"date-parts":[["2021","5"]]},"page":"101902","title":"A cluster randomized trial to evaluate need-supportive teaching in physical education on physical activity of sixth-grade girls: A mixed method study","type":"article-journal","volume":"54"},"uris":["http://www.mendeley.com/documents/?uuid=43f6036b-4252-4458-906b-71c15d7b00b4"]}],"mendeley":{"formattedCitation":"(Sturm et al., 2021)","plainTextFormattedCitation":"(Sturm et al., 2021)","previouslyFormattedCitation":"(Sturm et al., 2021)"},"properties":{"noteIndex":0},"schema":"https://github.com/citation-style-language/schema/raw/master/csl-citation.json"}</w:instrText>
        </w:r>
        <w:r w:rsidRPr="00294E2E">
          <w:rPr>
            <w:rFonts w:ascii="Cambria" w:eastAsia="Cambria" w:hAnsi="Cambria" w:cs="Cambria"/>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(Sturm et al., 2021)</w:t>
        </w:r>
        <w:r w:rsidRPr="00294E2E">
          <w:rPr>
            <w:rFonts w:ascii="Cambria" w:eastAsia="Cambria" w:hAnsi="Cambria" w:cs="Cambria"/>
            <w:color w:val="0000FF"/>
            <w:sz w:val="20"/>
            <w:szCs w:val="20"/>
            <w:lang w:val="en-AU" w:eastAsia="en-ID"/>
          </w:rPr>
          <w:fldChar w:fldCharType="end"/>
        </w:r>
      </w:hyperlink>
      <w:r w:rsidRPr="00294E2E">
        <w:rPr>
          <w:rFonts w:ascii="Cambria" w:eastAsia="Cambria" w:hAnsi="Cambria" w:cs="Cambria"/>
          <w:sz w:val="20"/>
          <w:szCs w:val="20"/>
          <w:lang w:val="en-AU" w:eastAsia="en-ID"/>
        </w:rPr>
        <w:t>.</w:t>
      </w:r>
      <w:r w:rsidRPr="00294E2E">
        <w:rPr>
          <w:rFonts w:ascii="Times New Roman" w:eastAsia="MS Mincho" w:hAnsi="Times New Roman" w:cs="Times New Roman"/>
          <w:sz w:val="24"/>
          <w:szCs w:val="24"/>
          <w:lang w:val="en-AU" w:eastAsia="en-ID"/>
        </w:rPr>
        <w:t xml:space="preserve"> </w:t>
      </w:r>
    </w:p>
    <w:p w:rsidR="00294E2E" w:rsidRPr="00294E2E" w:rsidRDefault="00294E2E" w:rsidP="00294E2E">
      <w:pPr>
        <w:spacing w:after="0" w:line="240" w:lineRule="auto"/>
        <w:ind w:firstLine="720"/>
        <w:jc w:val="both"/>
        <w:rPr>
          <w:rFonts w:ascii="Cambria" w:eastAsia="Cambria" w:hAnsi="Cambria" w:cs="Cambria"/>
          <w:sz w:val="20"/>
          <w:szCs w:val="20"/>
          <w:lang w:val="en-AU" w:eastAsia="en-ID"/>
        </w:rPr>
      </w:pPr>
      <w:r w:rsidRPr="00294E2E">
        <w:rPr>
          <w:rFonts w:ascii="Cambria" w:eastAsia="Cambria" w:hAnsi="Cambria" w:cs="Cambria"/>
          <w:sz w:val="20"/>
          <w:szCs w:val="20"/>
          <w:lang w:val="en-AU" w:eastAsia="en-ID"/>
        </w:rPr>
        <w:t xml:space="preserve">To respond to these challenges, students in primary school conducted an analysis of Indonesian language textbooks, focusing on the information processing and evaluative activities provided to them, as described by </w:t>
      </w:r>
      <w:r w:rsidRPr="00294E2E">
        <w:rPr>
          <w:rFonts w:ascii="Cambria" w:eastAsia="Cambria" w:hAnsi="Cambria" w:cs="Cambria"/>
          <w:sz w:val="20"/>
          <w:szCs w:val="20"/>
          <w:lang w:val="en-AU" w:eastAsia="en-ID"/>
        </w:rPr>
        <w:fldChar w:fldCharType="begin" w:fldLock="1"/>
      </w:r>
      <w:r w:rsidRPr="00294E2E">
        <w:rPr>
          <w:rFonts w:ascii="Cambria" w:eastAsia="Cambria" w:hAnsi="Cambria" w:cs="Cambria"/>
          <w:sz w:val="20"/>
          <w:szCs w:val="20"/>
          <w:lang w:val="en-AU" w:eastAsia="en-ID"/>
        </w:rPr>
        <w:instrText>ADDIN CSL_CITATION {"citationItems":[{"id":"ITEM-1","itemData":{"DOI":"10.1016/j.tsc.2024.101513","ISSN":"18711871","author":[{"dropping-particle":"","family":"Fernandes","given":"Ricky","non-dropping-particle":"","parse-names":false,"suffix":""},{"dropping-particle":"","family":"Willison","given":"John","non-dropping-particle":"","parse-names":false,"suffix":""},{"dropping-particle":"","family":"Boyle","given":"Christopher","non-dropping-particle":"","parse-names":false,"suffix":""}],"container-title":"Thinking Skills and Creativity","id":"ITEM-1","issued":{"date-parts":[["2024","6"]]},"page":"101513","title":"Characteristics of facilitated critical thinking when students listen to and speak English as an additional language in Indonesia","type":"article-journal","volume":"52"},"uris":["http://www.mendeley.com/documents/?uuid=63a0c975-c2df-4e96-99eb-ae786c719193"]}],"mendeley":{"formattedCitation":"(Fernandes et al., 2024)","manualFormatting":"(Fernandes et al., 2024 ; Crosthwaite et al., 2021)","plainTextFormattedCitation":"(Fernandes et al., 2024)","previouslyFormattedCitation":"(Fernandes et al., 2024)"},"properties":{"noteIndex":0},"schema":"https://github.com/citation-style-language/schema/raw/master/csl-citation.json"}</w:instrText>
      </w:r>
      <w:r w:rsidRPr="00294E2E">
        <w:rPr>
          <w:rFonts w:ascii="Cambria" w:eastAsia="Cambria" w:hAnsi="Cambria" w:cs="Cambria"/>
          <w:sz w:val="20"/>
          <w:szCs w:val="20"/>
          <w:lang w:val="en-AU" w:eastAsia="en-ID"/>
        </w:rPr>
        <w:fldChar w:fldCharType="separate"/>
      </w:r>
      <w:hyperlink r:id="rId59" w:history="1">
        <w:r w:rsidRPr="00294E2E">
          <w:rPr>
            <w:rFonts w:ascii="Cambria" w:eastAsia="Cambria" w:hAnsi="Cambria" w:cs="Cambria"/>
            <w:noProof/>
            <w:color w:val="0000FF"/>
            <w:sz w:val="20"/>
            <w:szCs w:val="20"/>
            <w:lang w:val="en-AU" w:eastAsia="en-ID"/>
          </w:rPr>
          <w:t xml:space="preserve">(Fernandes et al., 2024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acorp.2021.100003","ISSN":"26667991","author":[{"dropping-particle":"","family":"Crosthwaite","given":"Peter","non-dropping-particle":"","parse-names":false,"suffix":""},{"dropping-particle":"","family":"Luciana","given":"","non-dropping-particle":"","parse-names":false,"suffix":""},{"dropping-particle":"","family":"Schweinberger","given":"Martin","non-dropping-particle":"","parse-names":false,"suffix":""}],"container-title":"Applied Corpus Linguistics","id":"ITEM-1","issue":"1","issued":{"date-parts":[["2021","4"]]},"page":"100003","title":"Voices from the periphery: Perceptions of Indonesian primary vs secondary pre-service teacher trainees about corpora and data-driven learning in the L2 English classroom","type":"article-journal","volume":"1"},"uris":["http://www.mendeley.com/documents/?uuid=93890c11-3dca-4201-9a30-5f7794157d01"]}],"mendeley":{"formattedCitation":"(Crosthwaite et al., 2021)","manualFormatting":"Crosthwaite et al., 2021)","plainTextFormattedCitation":"(Crosthwaite et al., 2021)","previouslyFormattedCitation":"(Crosthwaite et al., 2021)"},"properties":{"noteIndex":0},"schema":"https://github.com/citation-style-language/schema/raw/master/csl-citation.json"}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Crosthwaite et al., 2021)</w:t>
        </w:r>
        <w:r w:rsidRPr="00294E2E">
          <w:rPr>
            <w:rFonts w:ascii="Cambria" w:eastAsia="Cambria" w:hAnsi="Cambria" w:cs="Cambria"/>
            <w:noProof/>
            <w:color w:val="0000FF"/>
            <w:sz w:val="20"/>
            <w:szCs w:val="20"/>
            <w:lang w:val="en-AU" w:eastAsia="en-ID"/>
          </w:rPr>
          <w:fldChar w:fldCharType="end"/>
        </w:r>
      </w:hyperlink>
      <w:r w:rsidRPr="00294E2E">
        <w:rPr>
          <w:rFonts w:ascii="Cambria" w:eastAsia="Cambria" w:hAnsi="Cambria" w:cs="Cambria"/>
          <w:sz w:val="20"/>
          <w:szCs w:val="20"/>
          <w:lang w:val="en-AU" w:eastAsia="en-ID"/>
        </w:rPr>
        <w:fldChar w:fldCharType="end"/>
      </w:r>
      <w:r w:rsidRPr="00294E2E">
        <w:rPr>
          <w:rFonts w:ascii="Cambria" w:eastAsia="Cambria" w:hAnsi="Cambria" w:cs="Cambria"/>
          <w:sz w:val="20"/>
          <w:szCs w:val="20"/>
          <w:lang w:val="en-AU" w:eastAsia="en-ID"/>
        </w:rPr>
        <w:t xml:space="preserve">. Before and after the learning, each student completed a self-assessment of their overall understanding of the learning and their cross-cultural knowledge and skills. Although the importance of reading comprehension in group discussions may appear to be a conceptual unity in the literature, in reality, the field of psychology has yet to fully understand speed reading in students, as emphasized by </w:t>
      </w:r>
      <w:r w:rsidRPr="00294E2E">
        <w:rPr>
          <w:rFonts w:ascii="Cambria" w:eastAsia="Cambria" w:hAnsi="Cambria" w:cs="Cambria"/>
          <w:sz w:val="20"/>
          <w:szCs w:val="20"/>
          <w:lang w:val="en-AU" w:eastAsia="en-ID"/>
        </w:rPr>
        <w:fldChar w:fldCharType="begin" w:fldLock="1"/>
      </w:r>
      <w:r w:rsidRPr="00294E2E">
        <w:rPr>
          <w:rFonts w:ascii="Cambria" w:eastAsia="Cambria" w:hAnsi="Cambria" w:cs="Cambria"/>
          <w:sz w:val="20"/>
          <w:szCs w:val="20"/>
          <w:lang w:val="en-AU" w:eastAsia="en-ID"/>
        </w:rPr>
        <w:instrText>ADDIN CSL_CITATION {"citationItems":[{"id":"ITEM-1","itemData":{"DOI":"10.1016/S1041-6080(00)80007-2","ISSN":"10416080","author":[{"dropping-particle":"","family":"Roberts","given":"Richard D","non-dropping-particle":"","parse-names":false,"suffix":""},{"dropping-particle":"","family":"Stankov","given":"Lazar","non-dropping-particle":"","parse-names":false,"suffix":""}],"container-title":"Learning and Individual Differences","id":"ITEM-1","issue":"1","issued":{"date-parts":[["1999","1"]]},"page":"1-120","title":"Individual differences in speed of mental processing and human cognitive abilities: Toward a taxonomic model","type":"article-journal","volume":"11"},"uris":["http://www.mendeley.com/documents/?uuid=93a887df-cbc9-4161-95a0-9f1924d0dd26"]}],"mendeley":{"formattedCitation":"(Roberts &amp; Stankov, 1999)","manualFormatting":"(Roberts &amp; Stankov, 1999 ; Formatting Citation)","plainTextFormattedCitation":"(Roberts &amp; Stankov, 1999)","previouslyFormattedCitation":"(Roberts &amp; Stankov, 1999)"},"properties":{"noteIndex":0},"schema":"https://github.com/citation-style-language/schema/raw/master/csl-citation.json"}</w:instrText>
      </w:r>
      <w:r w:rsidRPr="00294E2E">
        <w:rPr>
          <w:rFonts w:ascii="Cambria" w:eastAsia="Cambria" w:hAnsi="Cambria" w:cs="Cambria"/>
          <w:sz w:val="20"/>
          <w:szCs w:val="20"/>
          <w:lang w:val="en-AU" w:eastAsia="en-ID"/>
        </w:rPr>
        <w:fldChar w:fldCharType="separate"/>
      </w:r>
      <w:hyperlink r:id="rId60" w:history="1">
        <w:r w:rsidRPr="00294E2E">
          <w:rPr>
            <w:rFonts w:ascii="Cambria" w:eastAsia="Cambria" w:hAnsi="Cambria" w:cs="Cambria"/>
            <w:noProof/>
            <w:color w:val="0000FF"/>
            <w:sz w:val="20"/>
            <w:szCs w:val="20"/>
            <w:lang w:val="en-AU" w:eastAsia="en-ID"/>
          </w:rPr>
          <w:t xml:space="preserve">(Roberts &amp; Stankov, 1999 ; </w:t>
        </w:r>
        <w:r w:rsidRPr="00294E2E">
          <w:rPr>
            <w:rFonts w:ascii="Cambria" w:eastAsia="Cambria" w:hAnsi="Cambria" w:cs="Cambria"/>
            <w:noProof/>
            <w:color w:val="0000FF"/>
            <w:sz w:val="20"/>
            <w:szCs w:val="20"/>
            <w:lang w:val="en-AU" w:eastAsia="en-ID"/>
          </w:rPr>
          <w:fldChar w:fldCharType="begin" w:fldLock="1"/>
        </w:r>
        <w:r w:rsidRPr="00294E2E">
          <w:rPr>
            <w:rFonts w:ascii="Cambria" w:eastAsia="Cambria" w:hAnsi="Cambria" w:cs="Cambria"/>
            <w:noProof/>
            <w:color w:val="0000FF"/>
            <w:sz w:val="20"/>
            <w:szCs w:val="20"/>
            <w:lang w:val="en-AU" w:eastAsia="en-ID"/>
          </w:rPr>
          <w:instrText>ADDIN CSL_CITATION {"citationItems":[{"id":"ITEM-1","itemData":{"DOI":"10.1016/j.fsisyn.2022.100313","ISSN":"2589871X","author":[{"dropping-particle":"","family":"Reedy","given":"Paul","non-dropping-particle":"","parse-names":false,"suffix":""}],"container-title":"Forensic Science International: Synergy","id":"ITEM-1","issued":{"date-parts":[["2023"]]},"page":"100313","title":"Interpol review of digital evidence for 2019–2022","type":"article-journal","volume":"6"},"uris":["http://www.mendeley.com/documents/?uuid=e61b5262-9fa4-4858-8962-77c000401981"]}],"mendeley":{"formattedCitation":"(Reedy, 2023)","manualFormatting":"Formatting Citation)","plainTextFormattedCitation":"(Reedy, 2023)","previouslyFormattedCitation":"(Reedy, 2023)"},"properties":{"noteIndex":0},"schema":"https://github.com/citation-style-language/schema/raw/master/csl-citation.json"}</w:instrText>
        </w:r>
        <w:r w:rsidRPr="00294E2E">
          <w:rPr>
            <w:rFonts w:ascii="Cambria" w:eastAsia="Cambria" w:hAnsi="Cambria" w:cs="Cambria"/>
            <w:noProof/>
            <w:color w:val="0000FF"/>
            <w:sz w:val="20"/>
            <w:szCs w:val="20"/>
            <w:lang w:val="en-AU" w:eastAsia="en-ID"/>
          </w:rPr>
          <w:fldChar w:fldCharType="separate"/>
        </w:r>
        <w:r w:rsidRPr="00294E2E">
          <w:rPr>
            <w:rFonts w:ascii="Cambria" w:eastAsia="Cambria" w:hAnsi="Cambria" w:cs="Cambria"/>
            <w:noProof/>
            <w:color w:val="0000FF"/>
            <w:sz w:val="20"/>
            <w:szCs w:val="20"/>
            <w:lang w:val="en-AU" w:eastAsia="en-ID"/>
          </w:rPr>
          <w:t>Formatting Citation)</w:t>
        </w:r>
        <w:r w:rsidRPr="00294E2E">
          <w:rPr>
            <w:rFonts w:ascii="Cambria" w:eastAsia="Cambria" w:hAnsi="Cambria" w:cs="Cambria"/>
            <w:noProof/>
            <w:color w:val="0000FF"/>
            <w:sz w:val="20"/>
            <w:szCs w:val="20"/>
            <w:lang w:val="en-AU" w:eastAsia="en-ID"/>
          </w:rPr>
          <w:fldChar w:fldCharType="end"/>
        </w:r>
      </w:hyperlink>
      <w:r w:rsidRPr="00294E2E">
        <w:rPr>
          <w:rFonts w:ascii="Cambria" w:eastAsia="Cambria" w:hAnsi="Cambria" w:cs="Cambria"/>
          <w:sz w:val="20"/>
          <w:szCs w:val="20"/>
          <w:lang w:val="en-AU" w:eastAsia="en-ID"/>
        </w:rPr>
        <w:fldChar w:fldCharType="end"/>
      </w:r>
      <w:r w:rsidRPr="00294E2E">
        <w:rPr>
          <w:rFonts w:ascii="Cambria" w:eastAsia="Cambria" w:hAnsi="Cambria" w:cs="Cambria"/>
          <w:sz w:val="20"/>
          <w:szCs w:val="20"/>
          <w:lang w:val="en-AU" w:eastAsia="en-ID"/>
        </w:rPr>
        <w:t xml:space="preserve">. </w:t>
      </w:r>
    </w:p>
    <w:p w:rsidR="00294E2E" w:rsidRPr="00294E2E" w:rsidRDefault="00294E2E" w:rsidP="00294E2E">
      <w:pPr>
        <w:spacing w:after="0" w:line="240" w:lineRule="auto"/>
        <w:ind w:firstLine="720"/>
        <w:jc w:val="both"/>
        <w:rPr>
          <w:rFonts w:ascii="Cambria" w:eastAsia="Cambria" w:hAnsi="Cambria" w:cs="Cambria"/>
          <w:sz w:val="24"/>
          <w:szCs w:val="24"/>
          <w:lang w:val="en-AU" w:eastAsia="en-ID"/>
        </w:rPr>
      </w:pPr>
    </w:p>
    <w:p w:rsidR="00294E2E" w:rsidRPr="00294E2E" w:rsidRDefault="00294E2E" w:rsidP="00294E2E">
      <w:pPr>
        <w:spacing w:after="0" w:line="240" w:lineRule="auto"/>
        <w:jc w:val="both"/>
        <w:rPr>
          <w:rFonts w:ascii="Cambria" w:eastAsia="Cambria" w:hAnsi="Cambria" w:cs="Cambria"/>
          <w:b/>
          <w:bCs/>
          <w:sz w:val="24"/>
          <w:szCs w:val="24"/>
          <w:lang w:val="en-AU" w:eastAsia="en-ID"/>
        </w:rPr>
      </w:pPr>
      <w:r w:rsidRPr="00294E2E">
        <w:rPr>
          <w:rFonts w:ascii="Cambria" w:eastAsia="Cambria" w:hAnsi="Cambria" w:cs="Cambria"/>
          <w:b/>
          <w:bCs/>
          <w:sz w:val="24"/>
          <w:szCs w:val="24"/>
          <w:lang w:val="en-AU" w:eastAsia="en-ID"/>
        </w:rPr>
        <w:t>Development</w:t>
      </w:r>
    </w:p>
    <w:p w:rsidR="00294E2E" w:rsidRPr="00294E2E" w:rsidRDefault="00294E2E" w:rsidP="00294E2E">
      <w:pPr>
        <w:spacing w:after="0" w:line="240" w:lineRule="auto"/>
        <w:ind w:left="142" w:firstLine="578"/>
        <w:contextualSpacing/>
        <w:jc w:val="both"/>
        <w:rPr>
          <w:rFonts w:ascii="Cambria" w:eastAsia="Cambria" w:hAnsi="Cambria" w:cs="Cambria"/>
          <w:sz w:val="20"/>
          <w:szCs w:val="20"/>
          <w:lang w:val="x-none" w:eastAsia="x-none"/>
        </w:rPr>
      </w:pPr>
      <w:r w:rsidRPr="00294E2E">
        <w:rPr>
          <w:rFonts w:ascii="Cambria" w:eastAsia="Cambria" w:hAnsi="Cambria" w:cs="Cambria"/>
          <w:sz w:val="20"/>
          <w:szCs w:val="20"/>
          <w:lang w:val="x-none" w:eastAsia="x-none"/>
        </w:rPr>
        <w:t xml:space="preserve">At this development stage, several activities are carried out, including preparing teaching materials that are in accordance with the syllabus. Innovative educators design curricula to promote respectful relationships between students and teachers, prioritizing a more student-oriented approach </w:t>
      </w:r>
      <w:hyperlink r:id="rId61" w:history="1">
        <w:r w:rsidRPr="00294E2E">
          <w:rPr>
            <w:rFonts w:ascii="Cambria" w:eastAsia="Cambria" w:hAnsi="Cambria" w:cs="Cambria"/>
            <w:color w:val="0000FF"/>
            <w:sz w:val="20"/>
            <w:szCs w:val="20"/>
            <w:lang w:val="x-none" w:eastAsia="x-none"/>
          </w:rPr>
          <w:fldChar w:fldCharType="begin" w:fldLock="1"/>
        </w:r>
        <w:r w:rsidRPr="00294E2E">
          <w:rPr>
            <w:rFonts w:ascii="Cambria" w:eastAsia="Cambria" w:hAnsi="Cambria" w:cs="Cambria"/>
            <w:color w:val="0000FF"/>
            <w:sz w:val="20"/>
            <w:szCs w:val="20"/>
            <w:lang w:val="x-none" w:eastAsia="x-none"/>
          </w:rPr>
          <w:instrText>ADDIN CSL_CITATION {"citationItems":[{"id":"ITEM-1","itemData":{"DOI":"10.1016/j.tate.2021.103600","ISSN":"0742051X","author":[{"dropping-particle":"","family":"Jones","given":"Shelley","non-dropping-particle":"","parse-names":false,"suffix":""}],"container-title":"Teaching and Teacher Education","id":"ITEM-1","issued":{"date-parts":[["2022","3"]]},"page":"103600","title":"Storying gender equality in Northwest Uganda: Educators develop contextually- and culturally responsive stories in professional development courses","type":"article-journal","volume":"111"},"uris":["http://www.mendeley.com/documents/?uuid=e98ca904-fc55-4140-bc6d-862718b20d3b"]}],"mendeley":{"formattedCitation":"(Jones, 2022)","manualFormatting":"(Jones, 2022 ; Patterson et al., 2022)","plainTextFormattedCitation":"(Jones, 2022)","previouslyFormattedCitation":"(Jones, 2022)"},"properties":{"noteIndex":0},"schema":"https://github.com/citation-style-language/schema/raw/master/csl-citation.json"}</w:instrText>
        </w:r>
        <w:r w:rsidRPr="00294E2E">
          <w:rPr>
            <w:rFonts w:ascii="Cambria" w:eastAsia="Cambria" w:hAnsi="Cambria" w:cs="Cambria"/>
            <w:color w:val="0000FF"/>
            <w:sz w:val="20"/>
            <w:szCs w:val="20"/>
            <w:lang w:val="x-none" w:eastAsia="x-none"/>
          </w:rPr>
          <w:fldChar w:fldCharType="separate"/>
        </w:r>
        <w:r w:rsidRPr="00294E2E">
          <w:rPr>
            <w:rFonts w:ascii="Cambria" w:eastAsia="Cambria" w:hAnsi="Cambria" w:cs="Cambria"/>
            <w:noProof/>
            <w:color w:val="0000FF"/>
            <w:sz w:val="20"/>
            <w:szCs w:val="20"/>
            <w:lang w:val="x-none" w:eastAsia="x-none"/>
          </w:rPr>
          <w:t>(Jones, 2022</w:t>
        </w:r>
        <w:r w:rsidRPr="00294E2E">
          <w:rPr>
            <w:rFonts w:ascii="Cambria" w:eastAsia="Cambria" w:hAnsi="Cambria" w:cs="Cambria"/>
            <w:noProof/>
            <w:color w:val="0000FF"/>
            <w:sz w:val="20"/>
            <w:szCs w:val="20"/>
            <w:lang w:val="en-US" w:eastAsia="x-none"/>
          </w:rPr>
          <w:t xml:space="preserve"> ; </w:t>
        </w:r>
        <w:r w:rsidRPr="00294E2E">
          <w:rPr>
            <w:rFonts w:ascii="Cambria" w:eastAsia="Cambria" w:hAnsi="Cambria" w:cs="Cambria"/>
            <w:noProof/>
            <w:color w:val="0000FF"/>
            <w:sz w:val="20"/>
            <w:szCs w:val="20"/>
            <w:lang w:val="en-US" w:eastAsia="x-none"/>
          </w:rPr>
          <w:fldChar w:fldCharType="begin" w:fldLock="1"/>
        </w:r>
        <w:r w:rsidRPr="00294E2E">
          <w:rPr>
            <w:rFonts w:ascii="Cambria" w:eastAsia="Cambria" w:hAnsi="Cambria" w:cs="Cambria"/>
            <w:noProof/>
            <w:color w:val="0000FF"/>
            <w:sz w:val="20"/>
            <w:szCs w:val="20"/>
            <w:lang w:val="en-US" w:eastAsia="x-none"/>
          </w:rPr>
          <w:instrText>ADDIN CSL_CITATION {"citationItems":[{"id":"ITEM-1","itemData":{"DOI":"10.1016/j.tate.2022.103899","ISSN":"0742051X","author":[{"dropping-particle":"","family":"Patterson","given":"Timothy","non-dropping-particle":"","parse-names":false,"suffix":""},{"dropping-particle":"","family":"Bridgelal","given":"Ishwar","non-dropping-particle":"","parse-names":false,"suffix":""},{"dropping-particle":"","family":"Kaplan","given":"Avi","non-dropping-particle":"","parse-names":false,"suffix":""}],"container-title":"Teaching and Teacher Education","id":"ITEM-1","issued":{"date-parts":[["2022","12"]]},"page":"103899","title":"Becoming a social studies teacher: An integrative systems perspective on identity content, structure, and processes","type":"article-journal","volume":"120"},"uris":["http://www.mendeley.com/documents/?uuid=4ea5ab4c-d50c-457f-9247-7890bc413a85"]}],"mendeley":{"formattedCitation":"(Patterson et al., 2022)","manualFormatting":"Patterson et al., 2022)","plainTextFormattedCitation":"(Patterson et al., 2022)","previouslyFormattedCitation":"(Patterson et al., 2022)"},"properties":{"noteIndex":0},"schema":"https://github.com/citation-style-language/schema/raw/master/csl-citation.json"}</w:instrText>
        </w:r>
        <w:r w:rsidRPr="00294E2E">
          <w:rPr>
            <w:rFonts w:ascii="Cambria" w:eastAsia="Cambria" w:hAnsi="Cambria" w:cs="Cambria"/>
            <w:noProof/>
            <w:color w:val="0000FF"/>
            <w:sz w:val="20"/>
            <w:szCs w:val="20"/>
            <w:lang w:val="en-US" w:eastAsia="x-none"/>
          </w:rPr>
          <w:fldChar w:fldCharType="separate"/>
        </w:r>
        <w:r w:rsidRPr="00294E2E">
          <w:rPr>
            <w:rFonts w:ascii="Cambria" w:eastAsia="Cambria" w:hAnsi="Cambria" w:cs="Cambria"/>
            <w:noProof/>
            <w:color w:val="0000FF"/>
            <w:sz w:val="20"/>
            <w:szCs w:val="20"/>
            <w:lang w:val="en-US" w:eastAsia="x-none"/>
          </w:rPr>
          <w:t>Patterson et al., 2022)</w:t>
        </w:r>
        <w:r w:rsidRPr="00294E2E">
          <w:rPr>
            <w:rFonts w:ascii="Cambria" w:eastAsia="Cambria" w:hAnsi="Cambria" w:cs="Cambria"/>
            <w:noProof/>
            <w:color w:val="0000FF"/>
            <w:sz w:val="20"/>
            <w:szCs w:val="20"/>
            <w:lang w:val="en-US" w:eastAsia="x-none"/>
          </w:rPr>
          <w:fldChar w:fldCharType="end"/>
        </w:r>
        <w:r w:rsidRPr="00294E2E">
          <w:rPr>
            <w:rFonts w:ascii="Cambria" w:eastAsia="Cambria" w:hAnsi="Cambria" w:cs="Cambria"/>
            <w:color w:val="0000FF"/>
            <w:sz w:val="20"/>
            <w:szCs w:val="20"/>
            <w:lang w:val="x-none" w:eastAsia="x-none"/>
          </w:rPr>
          <w:fldChar w:fldCharType="end"/>
        </w:r>
      </w:hyperlink>
      <w:r w:rsidRPr="00294E2E">
        <w:rPr>
          <w:rFonts w:ascii="Cambria" w:eastAsia="Cambria" w:hAnsi="Cambria" w:cs="Cambria"/>
          <w:sz w:val="20"/>
          <w:szCs w:val="20"/>
          <w:lang w:val="x-none" w:eastAsia="x-none"/>
        </w:rPr>
        <w:t xml:space="preserve">. Previous research has demonstrated the effectiveness of curriculum studies in understanding educational institutions' curricula and identifying opportunities to improve teaching methods. Various methods are used to deliver the curriculum and integrate it into the educational framework </w:t>
      </w:r>
      <w:hyperlink r:id="rId62" w:history="1">
        <w:r w:rsidRPr="00294E2E">
          <w:rPr>
            <w:rFonts w:ascii="Cambria" w:eastAsia="Cambria" w:hAnsi="Cambria" w:cs="Cambria"/>
            <w:color w:val="0000FF"/>
            <w:sz w:val="20"/>
            <w:szCs w:val="20"/>
            <w:lang w:val="x-none" w:eastAsia="x-none"/>
          </w:rPr>
          <w:fldChar w:fldCharType="begin" w:fldLock="1"/>
        </w:r>
        <w:r w:rsidRPr="00294E2E">
          <w:rPr>
            <w:rFonts w:ascii="Cambria" w:eastAsia="Cambria" w:hAnsi="Cambria" w:cs="Cambria"/>
            <w:color w:val="0000FF"/>
            <w:sz w:val="20"/>
            <w:szCs w:val="20"/>
            <w:lang w:val="x-none" w:eastAsia="x-none"/>
          </w:rPr>
          <w:instrText>ADDIN CSL_CITATION {"citationItems":[{"id":"ITEM-1","itemData":{"DOI":"10.1016/j.nurpra.2021.11.009","ISSN":"15554155","author":[{"dropping-particle":"","family":"Keating","given":"Stacen A.","non-dropping-particle":"","parse-names":false,"suffix":""},{"dropping-particle":"","family":"Vetter","given":"Mary Jo","non-dropping-particle":"","parse-names":false,"suffix":""},{"dropping-particle":"","family":"Klar","given":"Robin Toft","non-dropping-particle":"","parse-names":false,"suffix":""},{"dropping-particle":"","family":"Wright","given":"Fay","non-dropping-particle":"","parse-names":false,"suffix":""}],"container-title":"The Journal for Nurse Practitioners","id":"ITEM-1","issue":"4","issued":{"date-parts":[["2022","4"]]},"page":"424-428","title":"Integrating Climate Change in the Curriculum: Using Instructional Design Methods to Create an Educational Innovation for Nurse Practitioners in a Doctor of Nursing Practice Program","type":"article-journal","volume":"18"},"uris":["http://www.mendeley.com/documents/?uuid=f677ac46-3e1e-46a8-8cf8-361b99c53952"]}],"mendeley":{"formattedCitation":"(Keating et al., 2022)","manualFormatting":"(Keating et al., 2022 ; Tegzes et al., 2023)","plainTextFormattedCitation":"(Keating et al., 2022)","previouslyFormattedCitation":"(Keating et al., 2022)"},"properties":{"noteIndex":0},"schema":"https://github.com/citation-style-language/schema/raw/master/csl-citation.json"}</w:instrText>
        </w:r>
        <w:r w:rsidRPr="00294E2E">
          <w:rPr>
            <w:rFonts w:ascii="Cambria" w:eastAsia="Cambria" w:hAnsi="Cambria" w:cs="Cambria"/>
            <w:color w:val="0000FF"/>
            <w:sz w:val="20"/>
            <w:szCs w:val="20"/>
            <w:lang w:val="x-none" w:eastAsia="x-none"/>
          </w:rPr>
          <w:fldChar w:fldCharType="separate"/>
        </w:r>
        <w:r w:rsidRPr="00294E2E">
          <w:rPr>
            <w:rFonts w:ascii="Cambria" w:eastAsia="Cambria" w:hAnsi="Cambria" w:cs="Cambria"/>
            <w:noProof/>
            <w:color w:val="0000FF"/>
            <w:sz w:val="20"/>
            <w:szCs w:val="20"/>
            <w:lang w:val="x-none" w:eastAsia="x-none"/>
          </w:rPr>
          <w:t>(Keating et al., 2022</w:t>
        </w:r>
        <w:r w:rsidRPr="00294E2E">
          <w:rPr>
            <w:rFonts w:ascii="Cambria" w:eastAsia="Cambria" w:hAnsi="Cambria" w:cs="Cambria"/>
            <w:noProof/>
            <w:color w:val="0000FF"/>
            <w:sz w:val="20"/>
            <w:szCs w:val="20"/>
            <w:lang w:val="en-US" w:eastAsia="x-none"/>
          </w:rPr>
          <w:t xml:space="preserve"> ; </w:t>
        </w:r>
        <w:r w:rsidRPr="00294E2E">
          <w:rPr>
            <w:rFonts w:ascii="Cambria" w:eastAsia="Cambria" w:hAnsi="Cambria" w:cs="Cambria"/>
            <w:noProof/>
            <w:color w:val="0000FF"/>
            <w:sz w:val="20"/>
            <w:szCs w:val="20"/>
            <w:lang w:val="en-US" w:eastAsia="x-none"/>
          </w:rPr>
          <w:fldChar w:fldCharType="begin" w:fldLock="1"/>
        </w:r>
        <w:r w:rsidRPr="00294E2E">
          <w:rPr>
            <w:rFonts w:ascii="Cambria" w:eastAsia="Cambria" w:hAnsi="Cambria" w:cs="Cambria"/>
            <w:noProof/>
            <w:color w:val="0000FF"/>
            <w:sz w:val="20"/>
            <w:szCs w:val="20"/>
            <w:lang w:val="en-US" w:eastAsia="x-none"/>
          </w:rPr>
          <w:instrText>ADDIN CSL_CITATION {"citationItems":[{"id":"ITEM-1","itemData":{"DOI":"10.1016/j.xjep.2023.100626","ISSN":"24054526","author":[{"dropping-particle":"","family":"Tegzes","given":"John H.","non-dropping-particle":"","parse-names":false,"suffix":""},{"dropping-particle":"","family":"King","given":"Sharla","non-dropping-particle":"","parse-names":false,"suffix":""},{"dropping-particle":"","family":"Blue","given":"Amy","non-dropping-particle":"","parse-names":false,"suffix":""},{"dropping-particle":"","family":"Langlois","given":"Sylvia","non-dropping-particle":"","parse-names":false,"suffix":""}],"container-title":"Journal of Interprofessional Education &amp; Practice","id":"ITEM-1","issued":{"date-parts":[["2023","6"]]},"page":"100626","title":"A Proposed Framework for Interprofessional Curriculum Integration","type":"article-journal","volume":"31"},"uris":["http://www.mendeley.com/documents/?uuid=ddbe7f16-74ea-46ce-980f-48de4d1aa495"]}],"mendeley":{"formattedCitation":"(Tegzes et al., 2023)","manualFormatting":"Tegzes et al., 2023)","plainTextFormattedCitation":"(Tegzes et al., 2023)","previouslyFormattedCitation":"(Tegzes et al., 2023)"},"properties":{"noteIndex":0},"schema":"https://github.com/citation-style-language/schema/raw/master/csl-citation.json"}</w:instrText>
        </w:r>
        <w:r w:rsidRPr="00294E2E">
          <w:rPr>
            <w:rFonts w:ascii="Cambria" w:eastAsia="Cambria" w:hAnsi="Cambria" w:cs="Cambria"/>
            <w:noProof/>
            <w:color w:val="0000FF"/>
            <w:sz w:val="20"/>
            <w:szCs w:val="20"/>
            <w:lang w:val="en-US" w:eastAsia="x-none"/>
          </w:rPr>
          <w:fldChar w:fldCharType="separate"/>
        </w:r>
        <w:r w:rsidRPr="00294E2E">
          <w:rPr>
            <w:rFonts w:ascii="Cambria" w:eastAsia="Cambria" w:hAnsi="Cambria" w:cs="Cambria"/>
            <w:noProof/>
            <w:color w:val="0000FF"/>
            <w:sz w:val="20"/>
            <w:szCs w:val="20"/>
            <w:lang w:val="en-US" w:eastAsia="x-none"/>
          </w:rPr>
          <w:t>Tegzes et al., 2023)</w:t>
        </w:r>
        <w:r w:rsidRPr="00294E2E">
          <w:rPr>
            <w:rFonts w:ascii="Cambria" w:eastAsia="Cambria" w:hAnsi="Cambria" w:cs="Cambria"/>
            <w:noProof/>
            <w:color w:val="0000FF"/>
            <w:sz w:val="20"/>
            <w:szCs w:val="20"/>
            <w:lang w:val="en-US" w:eastAsia="x-none"/>
          </w:rPr>
          <w:fldChar w:fldCharType="end"/>
        </w:r>
        <w:r w:rsidRPr="00294E2E">
          <w:rPr>
            <w:rFonts w:ascii="Cambria" w:eastAsia="Cambria" w:hAnsi="Cambria" w:cs="Cambria"/>
            <w:color w:val="0000FF"/>
            <w:sz w:val="20"/>
            <w:szCs w:val="20"/>
            <w:lang w:val="x-none" w:eastAsia="x-none"/>
          </w:rPr>
          <w:fldChar w:fldCharType="end"/>
        </w:r>
      </w:hyperlink>
      <w:r w:rsidRPr="00294E2E">
        <w:rPr>
          <w:rFonts w:ascii="Cambria" w:eastAsia="Cambria" w:hAnsi="Cambria" w:cs="Cambria"/>
          <w:sz w:val="20"/>
          <w:szCs w:val="20"/>
          <w:lang w:val="x-none" w:eastAsia="x-none"/>
        </w:rPr>
        <w:t>. Before the COVID-19 pandemic, traditional classrooms tended to use lecture-based teaching methods, which lacked encouragement of inclusivity, active participation, negotiation, and reading comprehension. Students are usually passive listeners, with note-taking as the main learning tool</w:t>
      </w:r>
      <w:r w:rsidRPr="00294E2E">
        <w:rPr>
          <w:rFonts w:ascii="Cambria" w:eastAsia="Cambria" w:hAnsi="Cambria" w:cs="Cambria"/>
          <w:sz w:val="20"/>
          <w:szCs w:val="20"/>
          <w:lang w:val="en-US" w:eastAsia="x-none"/>
        </w:rPr>
        <w:t xml:space="preserve">  </w:t>
      </w:r>
      <w:r w:rsidRPr="00294E2E">
        <w:rPr>
          <w:rFonts w:ascii="Cambria" w:eastAsia="Cambria" w:hAnsi="Cambria" w:cs="Cambria"/>
          <w:sz w:val="20"/>
          <w:szCs w:val="20"/>
          <w:lang w:val="en-US" w:eastAsia="x-none"/>
        </w:rPr>
        <w:fldChar w:fldCharType="begin" w:fldLock="1"/>
      </w:r>
      <w:r w:rsidRPr="00294E2E">
        <w:rPr>
          <w:rFonts w:ascii="Cambria" w:eastAsia="Cambria" w:hAnsi="Cambria" w:cs="Cambria"/>
          <w:sz w:val="20"/>
          <w:szCs w:val="20"/>
          <w:lang w:val="en-US" w:eastAsia="x-none"/>
        </w:rPr>
        <w:instrText>ADDIN CSL_CITATION {"citationItems":[{"id":"ITEM-1","itemData":{"DOI":"10.1016/j.heliyon.2021.e08282","ISSN":"24058440","author":[{"dropping-particle":"","family":"Tong","given":"Duong Huu","non-dropping-particle":"","parse-names":false,"suffix":""},{"dropping-particle":"","family":"Uyen","given":"Bui Phuong","non-dropping-particle":"","parse-names":false,"suffix":""},{"dropping-particle":"","family":"Anh Quoc","given":"Ngo","non-dropping-particle":"Van","parse-names":false,"suffix":""}],"container-title":"Heliyon","id":"ITEM-1","issue":"11","issued":{"date-parts":[["2021","11"]]},"page":"e08282","title":"The improvement of 10th students' mathematical communication skills through learning ellipse topics","type":"article-journal","volume":"7"},"uris":["http://www.mendeley.com/documents/?uuid=fb9c7a14-d127-4dc4-9f95-4a89b02d69e3"]}],"mendeley":{"formattedCitation":"(Tong et al., 2021)","manualFormatting":"(Tong et al., 2021 ; Heo, 2022)","plainTextFormattedCitation":"(Tong et al., 2021)","previouslyFormattedCitation":"(Tong et al., 2021)"},"properties":{"noteIndex":0},"schema":"https://github.com/citation-style-language/schema/raw/master/csl-citation.json"}</w:instrText>
      </w:r>
      <w:r w:rsidRPr="00294E2E">
        <w:rPr>
          <w:rFonts w:ascii="Cambria" w:eastAsia="Cambria" w:hAnsi="Cambria" w:cs="Cambria"/>
          <w:sz w:val="20"/>
          <w:szCs w:val="20"/>
          <w:lang w:val="en-US" w:eastAsia="x-none"/>
        </w:rPr>
        <w:fldChar w:fldCharType="separate"/>
      </w:r>
      <w:hyperlink r:id="rId63" w:history="1">
        <w:r w:rsidRPr="00294E2E">
          <w:rPr>
            <w:rFonts w:ascii="Cambria" w:eastAsia="Cambria" w:hAnsi="Cambria" w:cs="Cambria"/>
            <w:noProof/>
            <w:color w:val="0000FF"/>
            <w:sz w:val="20"/>
            <w:szCs w:val="20"/>
            <w:lang w:val="en-US" w:eastAsia="x-none"/>
          </w:rPr>
          <w:t xml:space="preserve">(Tong et al., 2021 ; </w:t>
        </w:r>
        <w:r w:rsidRPr="00294E2E">
          <w:rPr>
            <w:rFonts w:ascii="Cambria" w:eastAsia="Cambria" w:hAnsi="Cambria" w:cs="Cambria"/>
            <w:noProof/>
            <w:color w:val="0000FF"/>
            <w:sz w:val="20"/>
            <w:szCs w:val="20"/>
            <w:lang w:val="en-US" w:eastAsia="x-none"/>
          </w:rPr>
          <w:fldChar w:fldCharType="begin" w:fldLock="1"/>
        </w:r>
        <w:r w:rsidRPr="00294E2E">
          <w:rPr>
            <w:rFonts w:ascii="Cambria" w:eastAsia="Cambria" w:hAnsi="Cambria" w:cs="Cambria"/>
            <w:noProof/>
            <w:color w:val="0000FF"/>
            <w:sz w:val="20"/>
            <w:szCs w:val="20"/>
            <w:lang w:val="en-US" w:eastAsia="x-none"/>
          </w:rPr>
          <w:instrText>ADDIN CSL_CITATION {"citationItems":[{"id":"ITEM-1","itemData":{"DOI":"10.1016/j.linged.2022.101055","ISSN":"08985898","author":[{"dropping-particle":"","family":"Heo","given":"Saem","non-dropping-particle":"","parse-names":false,"suffix":""}],"container-title":"Linguistics and Education","id":"ITEM-1","issued":{"date-parts":[["2022","8"]]},"page":"101055","title":"Teacher scaffolding and immersion language learning of refugee-background students in an elementary immersion classroom","type":"article-journal","volume":"70"},"uris":["http://www.mendeley.com/documents/?uuid=3db4efa0-8e59-4f00-9240-d42c1c784ca2"]}],"mendeley":{"formattedCitation":"(Heo, 2022)","manualFormatting":"Heo, 2022)","plainTextFormattedCitation":"(Heo, 2022)","previouslyFormattedCitation":"(Heo, 2022)"},"properties":{"noteIndex":0},"schema":"https://github.com/citation-style-language/schema/raw/master/csl-citation.json"}</w:instrText>
        </w:r>
        <w:r w:rsidRPr="00294E2E">
          <w:rPr>
            <w:rFonts w:ascii="Cambria" w:eastAsia="Cambria" w:hAnsi="Cambria" w:cs="Cambria"/>
            <w:noProof/>
            <w:color w:val="0000FF"/>
            <w:sz w:val="20"/>
            <w:szCs w:val="20"/>
            <w:lang w:val="en-US" w:eastAsia="x-none"/>
          </w:rPr>
          <w:fldChar w:fldCharType="separate"/>
        </w:r>
        <w:r w:rsidRPr="00294E2E">
          <w:rPr>
            <w:rFonts w:ascii="Cambria" w:eastAsia="Cambria" w:hAnsi="Cambria" w:cs="Cambria"/>
            <w:noProof/>
            <w:color w:val="0000FF"/>
            <w:sz w:val="20"/>
            <w:szCs w:val="20"/>
            <w:lang w:val="en-US" w:eastAsia="x-none"/>
          </w:rPr>
          <w:t>Heo, 2022)</w:t>
        </w:r>
        <w:r w:rsidRPr="00294E2E">
          <w:rPr>
            <w:rFonts w:ascii="Cambria" w:eastAsia="Cambria" w:hAnsi="Cambria" w:cs="Cambria"/>
            <w:noProof/>
            <w:color w:val="0000FF"/>
            <w:sz w:val="20"/>
            <w:szCs w:val="20"/>
            <w:lang w:val="en-US" w:eastAsia="x-none"/>
          </w:rPr>
          <w:fldChar w:fldCharType="end"/>
        </w:r>
      </w:hyperlink>
      <w:r w:rsidRPr="00294E2E">
        <w:rPr>
          <w:rFonts w:ascii="Cambria" w:eastAsia="Cambria" w:hAnsi="Cambria" w:cs="Cambria"/>
          <w:sz w:val="20"/>
          <w:szCs w:val="20"/>
          <w:lang w:val="en-US" w:eastAsia="x-none"/>
        </w:rPr>
        <w:fldChar w:fldCharType="end"/>
      </w:r>
      <w:r w:rsidRPr="00294E2E">
        <w:rPr>
          <w:rFonts w:ascii="Cambria" w:eastAsia="Cambria" w:hAnsi="Cambria" w:cs="Cambria"/>
          <w:sz w:val="20"/>
          <w:szCs w:val="20"/>
          <w:lang w:val="x-none" w:eastAsia="x-none"/>
        </w:rPr>
        <w:t xml:space="preserve">. However, the "new normal" era initiated by the pandemic has resulted in a shift towards more descriptive teaching methods, which emphasize student development through active participation </w:t>
      </w:r>
      <w:hyperlink r:id="rId64" w:history="1">
        <w:r w:rsidRPr="00294E2E">
          <w:rPr>
            <w:rFonts w:ascii="Cambria" w:eastAsia="Cambria" w:hAnsi="Cambria" w:cs="Cambria"/>
            <w:color w:val="0000FF"/>
            <w:sz w:val="20"/>
            <w:szCs w:val="20"/>
            <w:lang w:val="x-none" w:eastAsia="x-none"/>
          </w:rPr>
          <w:fldChar w:fldCharType="begin" w:fldLock="1"/>
        </w:r>
        <w:r w:rsidRPr="00294E2E">
          <w:rPr>
            <w:rFonts w:ascii="Cambria" w:eastAsia="Cambria" w:hAnsi="Cambria" w:cs="Cambria"/>
            <w:color w:val="0000FF"/>
            <w:sz w:val="20"/>
            <w:szCs w:val="20"/>
            <w:lang w:val="x-none" w:eastAsia="x-none"/>
          </w:rPr>
          <w:instrText>ADDIN CSL_CITATION {"citationItems":[{"id":"ITEM-1","itemData":{"DOI":"10.1016/j.actpsy.2024.104233","ISSN":"00016918","author":[{"dropping-particle":"","family":"Lin","given":"Jie","non-dropping-particle":"","parse-names":false,"suffix":""},{"dropping-particle":"","family":"Wang","given":"Yongliang","non-dropping-particle":"","parse-names":false,"suffix":""}],"container-title":"Acta Psychologica","id":"ITEM-1","issued":{"date-parts":[["2024","5"]]},"page":"104233","title":"Unpacking the mediating role of classroom interaction between student satisfaction and perceived online learning among Chinese EFL tertiary learners in the new normal of post-COVID-19","type":"article-journal","volume":"245"},"uris":["http://www.mendeley.com/documents/?uuid=1ff16ae3-1d06-4664-98d8-0483e05d4ac5"]}],"mendeley":{"formattedCitation":"(J. Lin &amp; Wang, 2024)","plainTextFormattedCitation":"(J. Lin &amp; Wang, 2024)","previouslyFormattedCitation":"(J. Lin &amp; Wang, 2024)"},"properties":{"noteIndex":0},"schema":"https://github.com/citation-style-language/schema/raw/master/csl-citation.json"}</w:instrText>
        </w:r>
        <w:r w:rsidRPr="00294E2E">
          <w:rPr>
            <w:rFonts w:ascii="Cambria" w:eastAsia="Cambria" w:hAnsi="Cambria" w:cs="Cambria"/>
            <w:color w:val="0000FF"/>
            <w:sz w:val="20"/>
            <w:szCs w:val="20"/>
            <w:lang w:val="x-none" w:eastAsia="x-none"/>
          </w:rPr>
          <w:fldChar w:fldCharType="separate"/>
        </w:r>
        <w:r w:rsidRPr="00294E2E">
          <w:rPr>
            <w:rFonts w:ascii="Cambria" w:eastAsia="Cambria" w:hAnsi="Cambria" w:cs="Cambria"/>
            <w:noProof/>
            <w:color w:val="0000FF"/>
            <w:sz w:val="20"/>
            <w:szCs w:val="20"/>
            <w:lang w:val="x-none" w:eastAsia="x-none"/>
          </w:rPr>
          <w:t>(J. Lin &amp; Wang, 2024)</w:t>
        </w:r>
        <w:r w:rsidRPr="00294E2E">
          <w:rPr>
            <w:rFonts w:ascii="Cambria" w:eastAsia="Cambria" w:hAnsi="Cambria" w:cs="Cambria"/>
            <w:color w:val="0000FF"/>
            <w:sz w:val="20"/>
            <w:szCs w:val="20"/>
            <w:lang w:val="x-none" w:eastAsia="x-none"/>
          </w:rPr>
          <w:fldChar w:fldCharType="end"/>
        </w:r>
      </w:hyperlink>
      <w:r w:rsidRPr="00294E2E">
        <w:rPr>
          <w:rFonts w:ascii="Cambria" w:eastAsia="Cambria" w:hAnsi="Cambria" w:cs="Cambria"/>
          <w:sz w:val="20"/>
          <w:szCs w:val="20"/>
          <w:lang w:val="x-none" w:eastAsia="x-none"/>
        </w:rPr>
        <w:t xml:space="preserve">. Preparing a Learning Implementation Plan (RPP), compiling material according to the syllabus, and evaluation are important aspects at this stage. Reading comprehension has been a major focus of research and education across disciplines such as philosophy, psychology, and education for more than a century. This involves the development of reading skills that researchers should observe, because balanced reading skills, combined with the ability to think critically, contribute to cultivating interest in reading at any time and place. Schools must develop strategies to </w:t>
      </w:r>
      <w:proofErr w:type="spellStart"/>
      <w:r w:rsidRPr="00294E2E">
        <w:rPr>
          <w:rFonts w:ascii="Cambria" w:eastAsia="Cambria" w:hAnsi="Cambria" w:cs="Cambria"/>
          <w:sz w:val="20"/>
          <w:szCs w:val="20"/>
          <w:lang w:val="x-none" w:eastAsia="x-none"/>
        </w:rPr>
        <w:t>instill</w:t>
      </w:r>
      <w:proofErr w:type="spellEnd"/>
      <w:r w:rsidRPr="00294E2E">
        <w:rPr>
          <w:rFonts w:ascii="Cambria" w:eastAsia="Cambria" w:hAnsi="Cambria" w:cs="Cambria"/>
          <w:sz w:val="20"/>
          <w:szCs w:val="20"/>
          <w:lang w:val="x-none" w:eastAsia="x-none"/>
        </w:rPr>
        <w:t xml:space="preserve"> this mindset </w:t>
      </w:r>
      <w:r w:rsidRPr="00294E2E">
        <w:rPr>
          <w:rFonts w:ascii="Cambria" w:eastAsia="Cambria" w:hAnsi="Cambria" w:cs="Cambria"/>
          <w:sz w:val="20"/>
          <w:szCs w:val="20"/>
          <w:lang w:val="x-none" w:eastAsia="x-none"/>
        </w:rPr>
        <w:fldChar w:fldCharType="begin" w:fldLock="1"/>
      </w:r>
      <w:r w:rsidRPr="00294E2E">
        <w:rPr>
          <w:rFonts w:ascii="Cambria" w:eastAsia="Cambria" w:hAnsi="Cambria" w:cs="Cambria"/>
          <w:sz w:val="20"/>
          <w:szCs w:val="20"/>
          <w:lang w:val="x-none" w:eastAsia="x-none"/>
        </w:rPr>
        <w:instrText>ADDIN CSL_CITATION {"citationItems":[{"id":"ITEM-1","itemData":{"DOI":"10.1016/j.edurev.2023.100554","ISSN":"1747938X","author":[{"dropping-particle":"","family":"Bui","given":"Phuong","non-dropping-particle":"","parse-names":false,"suffix":""},{"dropping-particle":"","family":"Pongsakdi","given":"Nonmanut","non-dropping-particle":"","parse-names":false,"suffix":""},{"dropping-particle":"","family":"McMullen","given":"Jake","non-dropping-particle":"","parse-names":false,"suffix":""},{"dropping-particle":"","family":"Lehtinen","given":"Erno","non-dropping-particle":"","parse-names":false,"suffix":""},{"dropping-particle":"","family":"Hannula-Sormunen","given":"Minna M.","non-dropping-particle":"","parse-names":false,"suffix":""}],"container-title":"Educational Research Review","id":"ITEM-1","issued":{"date-parts":[["2023","8"]]},"page":"100554","title":"A systematic review of mindset interventions in mathematics classrooms: What works and what does not?","type":"article-journal","volume":"40"},"uris":["http://www.mendeley.com/documents/?uuid=292f315f-d5d5-4726-8d38-e033ce1e7b6f"]}],"mendeley":{"formattedCitation":"(Bui et al., 2023)","manualFormatting":"(Bui et al., 2023 ; D. Wang et al., 2024)","plainTextFormattedCitation":"(Bui et al., 2023)","previouslyFormattedCitation":"(Bui et al., 2023)"},"properties":{"noteIndex":0},"schema":"https://github.com/citation-style-language/schema/raw/master/csl-citation.json"}</w:instrText>
      </w:r>
      <w:r w:rsidRPr="00294E2E">
        <w:rPr>
          <w:rFonts w:ascii="Cambria" w:eastAsia="Cambria" w:hAnsi="Cambria" w:cs="Cambria"/>
          <w:sz w:val="20"/>
          <w:szCs w:val="20"/>
          <w:lang w:val="x-none" w:eastAsia="x-none"/>
        </w:rPr>
        <w:fldChar w:fldCharType="separate"/>
      </w:r>
      <w:hyperlink r:id="rId65" w:history="1">
        <w:r w:rsidRPr="00294E2E">
          <w:rPr>
            <w:rFonts w:ascii="Cambria" w:eastAsia="Cambria" w:hAnsi="Cambria" w:cs="Cambria"/>
            <w:noProof/>
            <w:color w:val="0000FF"/>
            <w:sz w:val="20"/>
            <w:szCs w:val="20"/>
            <w:lang w:val="x-none" w:eastAsia="x-none"/>
          </w:rPr>
          <w:t>(Bui et al., 2023</w:t>
        </w:r>
        <w:r w:rsidRPr="00294E2E">
          <w:rPr>
            <w:rFonts w:ascii="Cambria" w:eastAsia="Cambria" w:hAnsi="Cambria" w:cs="Cambria"/>
            <w:noProof/>
            <w:color w:val="0000FF"/>
            <w:sz w:val="20"/>
            <w:szCs w:val="20"/>
            <w:lang w:val="en-US" w:eastAsia="x-none"/>
          </w:rPr>
          <w:t xml:space="preserve"> ; </w:t>
        </w:r>
        <w:r w:rsidRPr="00294E2E">
          <w:rPr>
            <w:rFonts w:ascii="Cambria" w:eastAsia="Cambria" w:hAnsi="Cambria" w:cs="Cambria"/>
            <w:noProof/>
            <w:color w:val="0000FF"/>
            <w:sz w:val="20"/>
            <w:szCs w:val="20"/>
            <w:lang w:val="en-US" w:eastAsia="x-none"/>
          </w:rPr>
          <w:fldChar w:fldCharType="begin" w:fldLock="1"/>
        </w:r>
        <w:r w:rsidRPr="00294E2E">
          <w:rPr>
            <w:rFonts w:ascii="Cambria" w:eastAsia="Cambria" w:hAnsi="Cambria" w:cs="Cambria"/>
            <w:noProof/>
            <w:color w:val="0000FF"/>
            <w:sz w:val="20"/>
            <w:szCs w:val="20"/>
            <w:lang w:val="en-US" w:eastAsia="x-none"/>
          </w:rPr>
          <w:instrText>ADDIN CSL_CITATION {"citationItems":[{"id":"ITEM-1","itemData":{"DOI":"10.1016/j.jbusres.2024.114645","ISSN":"01482963","author":[{"dropping-particle":"","family":"Wang","given":"Dan","non-dropping-particle":"","parse-names":false,"suffix":""},{"dropping-particle":"","family":"Donohue","given":"Ross","non-dropping-particle":"","parse-names":false,"suffix":""},{"dropping-particle":"","family":"Guo","given":"Feng","non-dropping-particle":"","parse-names":false,"suffix":""},{"dropping-particle":"","family":"Yang","given":"Mingjun","non-dropping-particle":"","parse-names":false,"suffix":""},{"dropping-particle":"","family":"Luu","given":"Tuan","non-dropping-particle":"","parse-names":false,"suffix":""}],"container-title":"Journal of Business Research","id":"ITEM-1","issued":{"date-parts":[["2024","4"]]},"page":"114645","title":"A paradox theory lens for developing cross-cultural competence: Mindset, behavior, and work design","type":"article-journal","volume":"177"},"uris":["http://www.mendeley.com/documents/?uuid=0923c614-d116-41c0-8088-1365de00ba45"]}],"mendeley":{"formattedCitation":"(D. Wang et al., 2024)","manualFormatting":"D. Wang et al., 2024)","plainTextFormattedCitation":"(D. Wang et al., 2024)","previouslyFormattedCitation":"(D. Wang et al., 2024)"},"properties":{"noteIndex":0},"schema":"https://github.com/citation-style-language/schema/raw/master/csl-citation.json"}</w:instrText>
        </w:r>
        <w:r w:rsidRPr="00294E2E">
          <w:rPr>
            <w:rFonts w:ascii="Cambria" w:eastAsia="Cambria" w:hAnsi="Cambria" w:cs="Cambria"/>
            <w:noProof/>
            <w:color w:val="0000FF"/>
            <w:sz w:val="20"/>
            <w:szCs w:val="20"/>
            <w:lang w:val="en-US" w:eastAsia="x-none"/>
          </w:rPr>
          <w:fldChar w:fldCharType="separate"/>
        </w:r>
        <w:r w:rsidRPr="00294E2E">
          <w:rPr>
            <w:rFonts w:ascii="Cambria" w:eastAsia="Cambria" w:hAnsi="Cambria" w:cs="Cambria"/>
            <w:noProof/>
            <w:color w:val="0000FF"/>
            <w:sz w:val="20"/>
            <w:szCs w:val="20"/>
            <w:lang w:val="en-US" w:eastAsia="x-none"/>
          </w:rPr>
          <w:t>D. Wang et al., 2024)</w:t>
        </w:r>
        <w:r w:rsidRPr="00294E2E">
          <w:rPr>
            <w:rFonts w:ascii="Cambria" w:eastAsia="Cambria" w:hAnsi="Cambria" w:cs="Cambria"/>
            <w:noProof/>
            <w:color w:val="0000FF"/>
            <w:sz w:val="20"/>
            <w:szCs w:val="20"/>
            <w:lang w:val="en-US" w:eastAsia="x-none"/>
          </w:rPr>
          <w:fldChar w:fldCharType="end"/>
        </w:r>
      </w:hyperlink>
      <w:r w:rsidRPr="00294E2E">
        <w:rPr>
          <w:rFonts w:ascii="Cambria" w:eastAsia="Cambria" w:hAnsi="Cambria" w:cs="Cambria"/>
          <w:sz w:val="20"/>
          <w:szCs w:val="20"/>
          <w:lang w:val="x-none" w:eastAsia="x-none"/>
        </w:rPr>
        <w:fldChar w:fldCharType="end"/>
      </w:r>
      <w:r w:rsidRPr="00294E2E">
        <w:rPr>
          <w:rFonts w:ascii="Cambria" w:eastAsia="Cambria" w:hAnsi="Cambria" w:cs="Cambria"/>
          <w:sz w:val="20"/>
          <w:szCs w:val="20"/>
          <w:lang w:val="x-none" w:eastAsia="x-none"/>
        </w:rPr>
        <w:t xml:space="preserve">. The 5E learning model is in accordance with constructivist approaches and principles. This model stage involves participation, exploration, explanation, elaboration, and evaluation. Each step has a different purpose from the student's perspective, emphasizing the importance of linking past and current learning experiences. In addition, this model supports evaluation that is useful for students and teachers to evaluate learning and understanding </w:t>
      </w:r>
      <w:hyperlink r:id="rId66" w:history="1">
        <w:r w:rsidRPr="00294E2E">
          <w:rPr>
            <w:rFonts w:ascii="Cambria" w:eastAsia="Cambria" w:hAnsi="Cambria" w:cs="Cambria"/>
            <w:color w:val="0000FF"/>
            <w:sz w:val="20"/>
            <w:szCs w:val="20"/>
            <w:lang w:val="x-none" w:eastAsia="x-none"/>
          </w:rPr>
          <w:fldChar w:fldCharType="begin" w:fldLock="1"/>
        </w:r>
        <w:r w:rsidRPr="00294E2E">
          <w:rPr>
            <w:rFonts w:ascii="Cambria" w:eastAsia="Cambria" w:hAnsi="Cambria" w:cs="Cambria"/>
            <w:color w:val="0000FF"/>
            <w:sz w:val="20"/>
            <w:szCs w:val="20"/>
            <w:lang w:val="x-none" w:eastAsia="x-none"/>
          </w:rPr>
          <w:instrText>ADDIN CSL_CITATION {"citationItems":[{"id":"ITEM-1","itemData":{"DOI":"10.1016/j.compedu.2024.105016","ISSN":"03601315","author":[{"dropping-particle":"","family":"Kong","given":"Siu-Cheung","non-dropping-particle":"","parse-names":false,"suffix":""},{"dropping-particle":"","family":"Wang","given":"Yi-Qing","non-dropping-particle":"","parse-names":false,"suffix":""}],"container-title":"Computers &amp; Education","id":"ITEM-1","issued":{"date-parts":[["2024","7"]]},"page":"105016","title":"The impact of school support for professional development on teachers' adoption of student-centered pedagogy, students’ cognitive learning and abilities: A three-level analysis","type":"article-journal","volume":"215"},"uris":["http://www.mendeley.com/documents/?uuid=c19e404f-d7f7-4a24-90c9-b0aa645386b1"]}],"mendeley":{"formattedCitation":"(Kong &amp; Wang, 2024)","plainTextFormattedCitation":"(Kong &amp; Wang, 2024)","previouslyFormattedCitation":"(Kong &amp; Wang, 2024)"},"properties":{"noteIndex":0},"schema":"https://github.com/citation-style-language/schema/raw/master/csl-citation.json"}</w:instrText>
        </w:r>
        <w:r w:rsidRPr="00294E2E">
          <w:rPr>
            <w:rFonts w:ascii="Cambria" w:eastAsia="Cambria" w:hAnsi="Cambria" w:cs="Cambria"/>
            <w:color w:val="0000FF"/>
            <w:sz w:val="20"/>
            <w:szCs w:val="20"/>
            <w:lang w:val="x-none" w:eastAsia="x-none"/>
          </w:rPr>
          <w:fldChar w:fldCharType="separate"/>
        </w:r>
        <w:r w:rsidRPr="00294E2E">
          <w:rPr>
            <w:rFonts w:ascii="Cambria" w:eastAsia="Cambria" w:hAnsi="Cambria" w:cs="Cambria"/>
            <w:noProof/>
            <w:color w:val="0000FF"/>
            <w:sz w:val="20"/>
            <w:szCs w:val="20"/>
            <w:lang w:val="x-none" w:eastAsia="x-none"/>
          </w:rPr>
          <w:t>(Kong &amp; Wang, 2024)</w:t>
        </w:r>
        <w:r w:rsidRPr="00294E2E">
          <w:rPr>
            <w:rFonts w:ascii="Cambria" w:eastAsia="Cambria" w:hAnsi="Cambria" w:cs="Cambria"/>
            <w:color w:val="0000FF"/>
            <w:sz w:val="20"/>
            <w:szCs w:val="20"/>
            <w:lang w:val="x-none" w:eastAsia="x-none"/>
          </w:rPr>
          <w:fldChar w:fldCharType="end"/>
        </w:r>
      </w:hyperlink>
      <w:r w:rsidRPr="00294E2E">
        <w:rPr>
          <w:rFonts w:ascii="Cambria" w:eastAsia="Cambria" w:hAnsi="Cambria" w:cs="Cambria"/>
          <w:sz w:val="20"/>
          <w:szCs w:val="20"/>
          <w:lang w:val="x-none" w:eastAsia="x-none"/>
        </w:rPr>
        <w:t>. The development of teaching materials is carried out to meet the needs of teachers and students. The results of this stage are in the form of teaching material products that are structured and in accordance with the required competencies, as well as questionnaires designed to measure validity and collect data from research subjects</w:t>
      </w:r>
      <w:r w:rsidRPr="00294E2E">
        <w:rPr>
          <w:rFonts w:ascii="Cambria" w:eastAsia="Cambria" w:hAnsi="Cambria" w:cs="Cambria"/>
          <w:sz w:val="20"/>
          <w:szCs w:val="20"/>
          <w:lang w:val="en-US" w:eastAsia="x-none"/>
        </w:rPr>
        <w:t xml:space="preserve">  </w:t>
      </w:r>
      <w:hyperlink r:id="rId67" w:history="1">
        <w:r w:rsidRPr="00294E2E">
          <w:rPr>
            <w:rFonts w:ascii="Cambria" w:eastAsia="Cambria" w:hAnsi="Cambria" w:cs="Cambria"/>
            <w:color w:val="0000FF"/>
            <w:sz w:val="20"/>
            <w:szCs w:val="20"/>
            <w:lang w:val="en-US" w:eastAsia="x-none"/>
          </w:rPr>
          <w:fldChar w:fldCharType="begin" w:fldLock="1"/>
        </w:r>
        <w:r w:rsidRPr="00294E2E">
          <w:rPr>
            <w:rFonts w:ascii="Cambria" w:eastAsia="Cambria" w:hAnsi="Cambria" w:cs="Cambria"/>
            <w:color w:val="0000FF"/>
            <w:sz w:val="20"/>
            <w:szCs w:val="20"/>
            <w:lang w:val="en-US" w:eastAsia="x-none"/>
          </w:rPr>
          <w:instrText>ADDIN CSL_CITATION {"citationItems":[{"id":"ITEM-1","itemData":{"DOI":"10.1016/j.ijme.2021.100561","ISSN":"14728117","author":[{"dropping-particle":"","family":"Wu","given":"Yenchun Jim","non-dropping-particle":"","parse-names":false,"suffix":""},{"dropping-particle":"","family":"Chen","given":"Jeng-Chung","non-dropping-particle":"","parse-names":false,"suffix":""}],"container-title":"The International Journal of Management Education","id":"ITEM-1","issue":"3","issued":{"date-parts":[["2021","11"]]},"page":"100561","title":"Stimulating innovation with an innovative curriculum: A curriculum design for a course on new product development","type":"article-journal","volume":"19"},"uris":["http://www.mendeley.com/documents/?uuid=daf915e5-a1a6-4c35-80e6-66fd6ebbc501"]}],"mendeley":{"formattedCitation":"(Y. J. Wu &amp; Chen, 2021)","plainTextFormattedCitation":"(Y. J. Wu &amp; Chen, 2021)","previouslyFormattedCitation":"(Y. J. Wu &amp; Chen, 2021)"},"properties":{"noteIndex":0},"schema":"https://github.com/citation-style-language/schema/raw/master/csl-citation.json"}</w:instrText>
        </w:r>
        <w:r w:rsidRPr="00294E2E">
          <w:rPr>
            <w:rFonts w:ascii="Cambria" w:eastAsia="Cambria" w:hAnsi="Cambria" w:cs="Cambria"/>
            <w:color w:val="0000FF"/>
            <w:sz w:val="20"/>
            <w:szCs w:val="20"/>
            <w:lang w:val="en-US" w:eastAsia="x-none"/>
          </w:rPr>
          <w:fldChar w:fldCharType="separate"/>
        </w:r>
        <w:r w:rsidRPr="00294E2E">
          <w:rPr>
            <w:rFonts w:ascii="Cambria" w:eastAsia="Cambria" w:hAnsi="Cambria" w:cs="Cambria"/>
            <w:noProof/>
            <w:color w:val="0000FF"/>
            <w:sz w:val="20"/>
            <w:szCs w:val="20"/>
            <w:lang w:val="en-US" w:eastAsia="x-none"/>
          </w:rPr>
          <w:t>(Y. J. Wu &amp; Chen, 2021)</w:t>
        </w:r>
        <w:r w:rsidRPr="00294E2E">
          <w:rPr>
            <w:rFonts w:ascii="Cambria" w:eastAsia="Cambria" w:hAnsi="Cambria" w:cs="Cambria"/>
            <w:color w:val="0000FF"/>
            <w:sz w:val="20"/>
            <w:szCs w:val="20"/>
            <w:lang w:val="en-US" w:eastAsia="x-none"/>
          </w:rPr>
          <w:fldChar w:fldCharType="end"/>
        </w:r>
      </w:hyperlink>
      <w:r w:rsidRPr="00294E2E">
        <w:rPr>
          <w:rFonts w:ascii="Cambria" w:eastAsia="Cambria" w:hAnsi="Cambria" w:cs="Cambria"/>
          <w:sz w:val="20"/>
          <w:szCs w:val="20"/>
          <w:lang w:val="x-none" w:eastAsia="x-none"/>
        </w:rPr>
        <w:t>.</w:t>
      </w:r>
    </w:p>
    <w:p w:rsidR="00294E2E" w:rsidRPr="00294E2E" w:rsidRDefault="00294E2E" w:rsidP="00294E2E">
      <w:pPr>
        <w:spacing w:after="0" w:line="240" w:lineRule="auto"/>
        <w:ind w:left="142" w:firstLine="578"/>
        <w:contextualSpacing/>
        <w:jc w:val="both"/>
        <w:rPr>
          <w:rFonts w:ascii="Cambria" w:eastAsia="Cambria" w:hAnsi="Cambria" w:cs="Cambria"/>
          <w:b/>
          <w:bCs/>
          <w:sz w:val="20"/>
          <w:szCs w:val="20"/>
          <w:lang w:val="x-none" w:eastAsia="x-none"/>
        </w:rPr>
      </w:pPr>
    </w:p>
    <w:p w:rsidR="00294E2E" w:rsidRPr="00294E2E" w:rsidRDefault="00294E2E" w:rsidP="00294E2E">
      <w:pPr>
        <w:spacing w:after="0" w:line="240" w:lineRule="auto"/>
        <w:jc w:val="both"/>
        <w:rPr>
          <w:rFonts w:ascii="Cambria" w:eastAsia="Cambria" w:hAnsi="Cambria" w:cs="Cambria"/>
          <w:b/>
          <w:bCs/>
          <w:sz w:val="24"/>
          <w:szCs w:val="24"/>
          <w:lang w:val="en-US" w:eastAsia="en-ID"/>
        </w:rPr>
      </w:pPr>
      <w:r w:rsidRPr="00294E2E">
        <w:rPr>
          <w:rFonts w:ascii="Cambria" w:eastAsia="Cambria" w:hAnsi="Cambria" w:cs="Cambria"/>
          <w:b/>
          <w:bCs/>
          <w:sz w:val="24"/>
          <w:szCs w:val="24"/>
          <w:lang w:val="en-US" w:eastAsia="en-ID"/>
        </w:rPr>
        <w:t>Implementation stage</w:t>
      </w:r>
    </w:p>
    <w:p w:rsidR="00294E2E" w:rsidRPr="00294E2E" w:rsidRDefault="00294E2E" w:rsidP="00294E2E">
      <w:pPr>
        <w:spacing w:after="0" w:line="240" w:lineRule="auto"/>
        <w:ind w:left="426" w:firstLine="294"/>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When using teaching materials, there are several important elements to consider, including:</w:t>
      </w:r>
    </w:p>
    <w:p w:rsidR="00294E2E" w:rsidRPr="00294E2E" w:rsidRDefault="00294E2E" w:rsidP="00294E2E">
      <w:pPr>
        <w:spacing w:after="0" w:line="240" w:lineRule="auto"/>
        <w:ind w:left="426"/>
        <w:contextualSpacing/>
        <w:jc w:val="both"/>
        <w:rPr>
          <w:rFonts w:ascii="Cambria" w:eastAsia="Cambria" w:hAnsi="Cambria" w:cs="Cambria"/>
          <w:sz w:val="20"/>
          <w:szCs w:val="20"/>
          <w:lang w:val="en-US" w:eastAsia="x-none"/>
        </w:rPr>
      </w:pPr>
    </w:p>
    <w:p w:rsidR="00294E2E" w:rsidRPr="00294E2E" w:rsidRDefault="00294E2E" w:rsidP="00294E2E">
      <w:pPr>
        <w:spacing w:after="0" w:line="240" w:lineRule="auto"/>
        <w:ind w:left="426"/>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1. Need for teaching materials:</w:t>
      </w:r>
    </w:p>
    <w:p w:rsidR="00294E2E" w:rsidRPr="00294E2E" w:rsidRDefault="00294E2E" w:rsidP="00294E2E">
      <w:pPr>
        <w:spacing w:after="0" w:line="240" w:lineRule="auto"/>
        <w:ind w:left="709"/>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 xml:space="preserve">    In the current technological era, the development of educational teaching materials has become very important to meet the increasingly diverse needs of students. Teaching materials play a crucial role in learning Indonesian because they function as a guide in implementing learning activities, which aim to achieve the desired learning goals. In this context, the teacher's role in developing teaching materials is an indicator of how effectively learning objectives can be achieved.</w:t>
      </w:r>
    </w:p>
    <w:p w:rsidR="00294E2E" w:rsidRPr="00294E2E" w:rsidRDefault="00294E2E" w:rsidP="00294E2E">
      <w:pPr>
        <w:spacing w:after="0" w:line="240" w:lineRule="auto"/>
        <w:ind w:left="426"/>
        <w:contextualSpacing/>
        <w:jc w:val="both"/>
        <w:rPr>
          <w:rFonts w:ascii="Cambria" w:eastAsia="Cambria" w:hAnsi="Cambria" w:cs="Cambria"/>
          <w:sz w:val="20"/>
          <w:szCs w:val="20"/>
          <w:lang w:val="en-US" w:eastAsia="x-none"/>
        </w:rPr>
      </w:pPr>
    </w:p>
    <w:p w:rsidR="00294E2E" w:rsidRPr="00294E2E" w:rsidRDefault="00294E2E" w:rsidP="00294E2E">
      <w:pPr>
        <w:spacing w:after="0" w:line="240" w:lineRule="auto"/>
        <w:ind w:left="426"/>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lastRenderedPageBreak/>
        <w:t>2. Test and evaluate:</w:t>
      </w:r>
    </w:p>
    <w:p w:rsidR="00294E2E" w:rsidRPr="00294E2E" w:rsidRDefault="00294E2E" w:rsidP="00294E2E">
      <w:pPr>
        <w:spacing w:after="0" w:line="240" w:lineRule="auto"/>
        <w:ind w:left="709"/>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 xml:space="preserve">    After the product is deemed suitable by experts, the next stage is individual trials, then trials in small groups, and finally field trials. If deficiencies are found during testing, an evaluation needs to be carried out at that stage to improve the teaching materials being developed. Evaluation at this stage is not only limited to the design and development stage, or product implementation, but is carried out at all stages of ADDIE model development.</w:t>
      </w:r>
    </w:p>
    <w:p w:rsidR="00294E2E" w:rsidRPr="00294E2E" w:rsidRDefault="00294E2E" w:rsidP="00294E2E">
      <w:pPr>
        <w:spacing w:after="0" w:line="240" w:lineRule="auto"/>
        <w:jc w:val="both"/>
        <w:rPr>
          <w:rFonts w:ascii="Cambria" w:eastAsia="Cambria" w:hAnsi="Cambria" w:cs="Cambria"/>
          <w:b/>
          <w:bCs/>
          <w:sz w:val="24"/>
          <w:szCs w:val="24"/>
          <w:lang w:val="en-US" w:eastAsia="en-ID"/>
        </w:rPr>
      </w:pPr>
      <w:r w:rsidRPr="00294E2E">
        <w:rPr>
          <w:rFonts w:ascii="Cambria" w:eastAsia="Cambria" w:hAnsi="Cambria" w:cs="Cambria"/>
          <w:b/>
          <w:bCs/>
          <w:sz w:val="24"/>
          <w:szCs w:val="24"/>
          <w:lang w:val="en-US" w:eastAsia="en-ID"/>
        </w:rPr>
        <w:t>Evaluation</w:t>
      </w:r>
    </w:p>
    <w:p w:rsidR="00294E2E" w:rsidRPr="00294E2E" w:rsidRDefault="00294E2E" w:rsidP="00294E2E">
      <w:pPr>
        <w:spacing w:after="0" w:line="240" w:lineRule="auto"/>
        <w:ind w:left="426" w:firstLine="294"/>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 xml:space="preserve">Evaluation is an important process that aims to evaluate the success of teaching materials that have been developed, as well as to assess whether they meet expectations at the initial development stage. Usually, the formal evaluation stage is carried out at the end of the four stages mentioned previously. </w:t>
      </w:r>
      <w:bookmarkStart w:id="5" w:name="_Hlk166750350"/>
      <w:r w:rsidRPr="00294E2E">
        <w:rPr>
          <w:rFonts w:ascii="Cambria" w:eastAsia="Cambria" w:hAnsi="Cambria" w:cs="Cambria"/>
          <w:sz w:val="20"/>
          <w:szCs w:val="20"/>
          <w:lang w:val="en-US" w:eastAsia="x-none"/>
        </w:rPr>
        <w:t xml:space="preserve">However, formative evaluation is also carried out at each stage to immediately identify areas of necessary improvement. The evaluation stage is the final step in the ADDIE model for developing teaching materials  </w:t>
      </w:r>
      <w:hyperlink r:id="rId68" w:history="1">
        <w:r w:rsidRPr="00294E2E">
          <w:rPr>
            <w:rFonts w:ascii="Cambria" w:eastAsia="Cambria" w:hAnsi="Cambria" w:cs="Cambria"/>
            <w:color w:val="0000FF"/>
            <w:sz w:val="20"/>
            <w:szCs w:val="20"/>
            <w:lang w:val="en-US" w:eastAsia="x-none"/>
          </w:rPr>
          <w:fldChar w:fldCharType="begin" w:fldLock="1"/>
        </w:r>
        <w:r w:rsidRPr="00294E2E">
          <w:rPr>
            <w:rFonts w:ascii="Cambria" w:eastAsia="Cambria" w:hAnsi="Cambria" w:cs="Cambria"/>
            <w:color w:val="0000FF"/>
            <w:sz w:val="20"/>
            <w:szCs w:val="20"/>
            <w:lang w:val="en-US" w:eastAsia="x-none"/>
          </w:rPr>
          <w:instrText>ADDIN CSL_CITATION {"citationItems":[{"id":"ITEM-1","itemData":{"DOI":"10.1016/j.caeai.2021.100030","ISSN":"2666920X","author":[{"dropping-particle":"","family":"Yu","given":"Shih-Jou","non-dropping-particle":"","parse-names":false,"suffix":""},{"dropping-particle":"","family":"Hsueh","given":"Yu-Ling","non-dropping-particle":"","parse-names":false,"suffix":""},{"dropping-particle":"","family":"Sun","given":"Jerry Chih-Yuan","non-dropping-particle":"","parse-names":false,"suffix":""},{"dropping-particle":"","family":"Liu","given":"Hao-Ze","non-dropping-particle":"","parse-names":false,"suffix":""}],"container-title":"Computers and Education: Artificial Intelligence","id":"ITEM-1","issued":{"date-parts":[["2021"]]},"page":"100030","title":"Developing an intelligent virtual reality interactive system based on the ADDIE model for learning pour-over coffee brewing","type":"article-journal","volume":"2"},"uris":["http://www.mendeley.com/documents/?uuid=92ff841f-bbcb-46aa-a244-2a3e3ef51864"]}],"mendeley":{"formattedCitation":"(Yu et al., 2021)","plainTextFormattedCitation":"(Yu et al., 2021)","previouslyFormattedCitation":"(Yu et al., 2021)"},"properties":{"noteIndex":0},"schema":"https://github.com/citation-style-language/schema/raw/master/csl-citation.json"}</w:instrText>
        </w:r>
        <w:r w:rsidRPr="00294E2E">
          <w:rPr>
            <w:rFonts w:ascii="Cambria" w:eastAsia="Cambria" w:hAnsi="Cambria" w:cs="Cambria"/>
            <w:color w:val="0000FF"/>
            <w:sz w:val="20"/>
            <w:szCs w:val="20"/>
            <w:lang w:val="en-US" w:eastAsia="x-none"/>
          </w:rPr>
          <w:fldChar w:fldCharType="separate"/>
        </w:r>
        <w:r w:rsidRPr="00294E2E">
          <w:rPr>
            <w:rFonts w:ascii="Cambria" w:eastAsia="Cambria" w:hAnsi="Cambria" w:cs="Cambria"/>
            <w:noProof/>
            <w:color w:val="0000FF"/>
            <w:sz w:val="20"/>
            <w:szCs w:val="20"/>
            <w:lang w:val="en-US" w:eastAsia="x-none"/>
          </w:rPr>
          <w:t>(Yu et al., 2021)</w:t>
        </w:r>
        <w:r w:rsidRPr="00294E2E">
          <w:rPr>
            <w:rFonts w:ascii="Cambria" w:eastAsia="Cambria" w:hAnsi="Cambria" w:cs="Cambria"/>
            <w:color w:val="0000FF"/>
            <w:sz w:val="20"/>
            <w:szCs w:val="20"/>
            <w:lang w:val="en-US" w:eastAsia="x-none"/>
          </w:rPr>
          <w:fldChar w:fldCharType="end"/>
        </w:r>
      </w:hyperlink>
      <w:r w:rsidRPr="00294E2E">
        <w:rPr>
          <w:rFonts w:ascii="Cambria" w:eastAsia="Cambria" w:hAnsi="Cambria" w:cs="Cambria"/>
          <w:sz w:val="20"/>
          <w:szCs w:val="20"/>
          <w:lang w:val="en-US" w:eastAsia="x-none"/>
        </w:rPr>
        <w:t xml:space="preserve">. The aim is to provide an assessment of the teaching materials that have been developed, ensure their effectiveness, and check their suitability to the learning objectives that have been set </w:t>
      </w:r>
      <w:bookmarkEnd w:id="5"/>
      <w:r w:rsidRPr="00294E2E">
        <w:rPr>
          <w:rFonts w:ascii="Times New Roman" w:eastAsia="MS Mincho" w:hAnsi="Times New Roman" w:cs="Times New Roman"/>
          <w:sz w:val="24"/>
          <w:szCs w:val="24"/>
          <w:lang w:val="x-none" w:eastAsia="x-none"/>
        </w:rPr>
        <w:fldChar w:fldCharType="begin"/>
      </w:r>
      <w:r w:rsidRPr="00294E2E">
        <w:rPr>
          <w:rFonts w:ascii="Times New Roman" w:eastAsia="MS Mincho" w:hAnsi="Times New Roman" w:cs="Times New Roman"/>
          <w:sz w:val="24"/>
          <w:szCs w:val="24"/>
          <w:lang w:val="x-none" w:eastAsia="x-none"/>
        </w:rPr>
        <w:instrText>HYPERLINK "(Conrad%20et%20al.,%202024)."</w:instrText>
      </w:r>
      <w:r w:rsidRPr="00294E2E">
        <w:rPr>
          <w:rFonts w:ascii="Times New Roman" w:eastAsia="MS Mincho" w:hAnsi="Times New Roman" w:cs="Times New Roman"/>
          <w:sz w:val="24"/>
          <w:szCs w:val="24"/>
          <w:lang w:val="x-none" w:eastAsia="x-none"/>
        </w:rPr>
        <w:fldChar w:fldCharType="separate"/>
      </w:r>
      <w:r w:rsidRPr="00294E2E">
        <w:rPr>
          <w:rFonts w:ascii="Cambria" w:eastAsia="Cambria" w:hAnsi="Cambria" w:cs="Cambria"/>
          <w:color w:val="0000FF"/>
          <w:sz w:val="20"/>
          <w:szCs w:val="20"/>
          <w:lang w:val="en-US" w:eastAsia="x-none"/>
        </w:rPr>
        <w:fldChar w:fldCharType="begin" w:fldLock="1"/>
      </w:r>
      <w:r w:rsidRPr="00294E2E">
        <w:rPr>
          <w:rFonts w:ascii="Cambria" w:eastAsia="Cambria" w:hAnsi="Cambria" w:cs="Cambria"/>
          <w:color w:val="0000FF"/>
          <w:sz w:val="20"/>
          <w:szCs w:val="20"/>
          <w:lang w:val="en-US" w:eastAsia="x-none"/>
        </w:rPr>
        <w:instrText>ADDIN CSL_CITATION {"citationItems":[{"id":"ITEM-1","itemData":{"DOI":"10.1016/j.cexr.2024.100053","ISSN":"29496780","author":[{"dropping-particle":"","family":"Conrad","given":"Matthias","non-dropping-particle":"","parse-names":false,"suffix":""},{"dropping-particle":"","family":"Kablitz","given":"David","non-dropping-particle":"","parse-names":false,"suffix":""},{"dropping-particle":"","family":"Schumann","given":"Stephan","non-dropping-particle":"","parse-names":false,"suffix":""}],"container-title":"Computers &amp; Education: X Reality","id":"ITEM-1","issued":{"date-parts":[["2024"]]},"page":"100053","title":"Learning effectiveness of immersive virtual reality in education and training: A systematic review of findings","type":"article-journal","volume":"4"},"uris":["http://www.mendeley.com/documents/?uuid=b49465e3-e630-4d1b-aa2f-1565bac449dd"]}],"mendeley":{"formattedCitation":"(Conrad et al., 2024)","plainTextFormattedCitation":"(Conrad et al., 2024)","previouslyFormattedCitation":"(Conrad et al., 2024)"},"properties":{"noteIndex":0},"schema":"https://github.com/citation-style-language/schema/raw/master/csl-citation.json"}</w:instrText>
      </w:r>
      <w:r w:rsidRPr="00294E2E">
        <w:rPr>
          <w:rFonts w:ascii="Cambria" w:eastAsia="Cambria" w:hAnsi="Cambria" w:cs="Cambria"/>
          <w:color w:val="0000FF"/>
          <w:sz w:val="20"/>
          <w:szCs w:val="20"/>
          <w:lang w:val="en-US" w:eastAsia="x-none"/>
        </w:rPr>
        <w:fldChar w:fldCharType="separate"/>
      </w:r>
      <w:r w:rsidRPr="00294E2E">
        <w:rPr>
          <w:rFonts w:ascii="Cambria" w:eastAsia="Cambria" w:hAnsi="Cambria" w:cs="Cambria"/>
          <w:noProof/>
          <w:color w:val="0000FF"/>
          <w:sz w:val="20"/>
          <w:szCs w:val="20"/>
          <w:lang w:val="en-US" w:eastAsia="x-none"/>
        </w:rPr>
        <w:t>(Conrad et al., 2024)</w:t>
      </w:r>
      <w:r w:rsidRPr="00294E2E">
        <w:rPr>
          <w:rFonts w:ascii="Cambria" w:eastAsia="Cambria" w:hAnsi="Cambria" w:cs="Cambria"/>
          <w:color w:val="0000FF"/>
          <w:sz w:val="20"/>
          <w:szCs w:val="20"/>
          <w:lang w:val="en-US" w:eastAsia="x-none"/>
        </w:rPr>
        <w:fldChar w:fldCharType="end"/>
      </w:r>
      <w:r w:rsidRPr="00294E2E">
        <w:rPr>
          <w:rFonts w:ascii="Cambria" w:eastAsia="Cambria" w:hAnsi="Cambria" w:cs="Cambria"/>
          <w:color w:val="0000FF"/>
          <w:sz w:val="20"/>
          <w:szCs w:val="20"/>
          <w:lang w:val="en-US" w:eastAsia="x-none"/>
        </w:rPr>
        <w:t>.</w:t>
      </w:r>
      <w:r w:rsidRPr="00294E2E">
        <w:rPr>
          <w:rFonts w:ascii="Cambria" w:eastAsia="Cambria" w:hAnsi="Cambria" w:cs="Cambria"/>
          <w:color w:val="0000FF"/>
          <w:sz w:val="20"/>
          <w:szCs w:val="20"/>
          <w:lang w:val="en-US" w:eastAsia="x-none"/>
        </w:rPr>
        <w:fldChar w:fldCharType="end"/>
      </w:r>
    </w:p>
    <w:p w:rsidR="00294E2E" w:rsidRPr="00294E2E" w:rsidRDefault="00294E2E" w:rsidP="00294E2E">
      <w:pPr>
        <w:spacing w:after="0" w:line="240" w:lineRule="auto"/>
        <w:ind w:left="426"/>
        <w:contextualSpacing/>
        <w:jc w:val="both"/>
        <w:rPr>
          <w:rFonts w:ascii="Cambria" w:eastAsia="Cambria" w:hAnsi="Cambria" w:cs="Cambria"/>
          <w:sz w:val="20"/>
          <w:szCs w:val="20"/>
          <w:lang w:val="en-US" w:eastAsia="x-none"/>
        </w:rPr>
      </w:pPr>
    </w:p>
    <w:p w:rsidR="00294E2E" w:rsidRPr="00294E2E" w:rsidRDefault="00294E2E" w:rsidP="00294E2E">
      <w:pPr>
        <w:spacing w:after="0" w:line="240" w:lineRule="auto"/>
        <w:ind w:left="426"/>
        <w:contextualSpacing/>
        <w:jc w:val="both"/>
        <w:rPr>
          <w:rFonts w:ascii="Cambria" w:eastAsia="Cambria" w:hAnsi="Cambria" w:cs="Cambria"/>
          <w:b/>
          <w:bCs/>
          <w:sz w:val="20"/>
          <w:szCs w:val="20"/>
          <w:lang w:val="en-US" w:eastAsia="x-none"/>
        </w:rPr>
      </w:pPr>
      <w:r w:rsidRPr="00294E2E">
        <w:rPr>
          <w:rFonts w:ascii="Cambria" w:eastAsia="Cambria" w:hAnsi="Cambria" w:cs="Cambria"/>
          <w:b/>
          <w:bCs/>
          <w:sz w:val="20"/>
          <w:szCs w:val="20"/>
          <w:lang w:val="en-US" w:eastAsia="x-none"/>
        </w:rPr>
        <w:t>Indonesian Studies Expert</w:t>
      </w:r>
    </w:p>
    <w:p w:rsidR="00294E2E" w:rsidRPr="00294E2E" w:rsidRDefault="00294E2E" w:rsidP="00294E2E">
      <w:pPr>
        <w:spacing w:after="0" w:line="240" w:lineRule="auto"/>
        <w:ind w:left="426" w:firstLine="588"/>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The overall evaluation by Indonesian language experts showed that the teaching materials achieved 85% of the maximum total score of 100%, indicating general suitability for application. According to the guidelines, products with a score of 75% or more are considered suitable for use in learning. Each criterion also meets or exceeds the 75% threshold.</w:t>
      </w:r>
    </w:p>
    <w:p w:rsidR="00294E2E" w:rsidRPr="00294E2E" w:rsidRDefault="00294E2E" w:rsidP="00294E2E">
      <w:pPr>
        <w:spacing w:after="0" w:line="240" w:lineRule="auto"/>
        <w:ind w:left="426" w:firstLine="294"/>
        <w:contextualSpacing/>
        <w:jc w:val="both"/>
        <w:rPr>
          <w:rFonts w:ascii="Cambria" w:eastAsia="Cambria" w:hAnsi="Cambria" w:cs="Cambria"/>
          <w:sz w:val="20"/>
          <w:szCs w:val="20"/>
          <w:lang w:val="en-US" w:eastAsia="x-none"/>
        </w:rPr>
      </w:pPr>
    </w:p>
    <w:p w:rsidR="00294E2E" w:rsidRPr="00294E2E" w:rsidRDefault="00294E2E" w:rsidP="00294E2E">
      <w:pPr>
        <w:spacing w:after="0" w:line="240" w:lineRule="auto"/>
        <w:ind w:left="426" w:firstLine="588"/>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Even though these three criteria do not reach the maximum score of 100%, they are still considered adequate, with mastery of the material reaching a score of 75%, depth of material reaching a score of 85%, and suitability of the language to the student's level of development reaching a score of 85%. Thus, the overall score is 91.6%. However, improvement does not depend on percentage scores alone; input and suggestions from experts are also considered. Evaluation of the feasibility of this teaching material also considers each component and subcomponent. For example, in the content appropriateness component, the material completeness subcomponent achieved a score of 75%, meeting the minimum standard without the need for revision. Furthermore, the depth of the material received a score of 85%, indicating a high level of feasibility and application in teaching materials.</w:t>
      </w:r>
    </w:p>
    <w:p w:rsidR="00294E2E" w:rsidRPr="00294E2E" w:rsidRDefault="00294E2E" w:rsidP="00294E2E">
      <w:pPr>
        <w:spacing w:after="0" w:line="240" w:lineRule="auto"/>
        <w:ind w:left="426" w:firstLine="588"/>
        <w:contextualSpacing/>
        <w:jc w:val="both"/>
        <w:rPr>
          <w:rFonts w:ascii="Cambria" w:eastAsia="Cambria" w:hAnsi="Cambria" w:cs="Cambria"/>
          <w:sz w:val="20"/>
          <w:szCs w:val="20"/>
          <w:lang w:val="en-US" w:eastAsia="x-none"/>
        </w:rPr>
      </w:pPr>
    </w:p>
    <w:p w:rsidR="00294E2E" w:rsidRPr="00294E2E" w:rsidRDefault="00294E2E" w:rsidP="00294E2E">
      <w:pPr>
        <w:spacing w:after="0" w:line="240" w:lineRule="auto"/>
        <w:ind w:left="426" w:firstLine="588"/>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The subcomponents of material accuracy and learning support materials both scored 100%, indicating that they are feasible to implement without revision. Regarding language appropriateness, the subcomponent of assessing language suitability to students' development levels received a score of 91.6%, with the predicate "very appropriate". In addition, the communicative subcomponents and coherence and unity of ideas each achieved a score of 100%, thus qualifying as very suitable for implementation without revision. However, it should be noted that the percentage score is not the sole determining factor for product suitability, and further action can be taken.</w:t>
      </w:r>
    </w:p>
    <w:p w:rsidR="00294E2E" w:rsidRPr="00294E2E" w:rsidRDefault="00294E2E" w:rsidP="00294E2E">
      <w:pPr>
        <w:spacing w:after="0" w:line="240" w:lineRule="auto"/>
        <w:ind w:left="426" w:firstLine="588"/>
        <w:contextualSpacing/>
        <w:jc w:val="both"/>
        <w:rPr>
          <w:rFonts w:ascii="Cambria" w:eastAsia="Cambria" w:hAnsi="Cambria" w:cs="Cambria"/>
          <w:sz w:val="20"/>
          <w:szCs w:val="20"/>
          <w:lang w:val="en-US" w:eastAsia="x-none"/>
        </w:rPr>
      </w:pPr>
    </w:p>
    <w:p w:rsidR="00294E2E" w:rsidRPr="00294E2E" w:rsidRDefault="00294E2E" w:rsidP="00294E2E">
      <w:pPr>
        <w:spacing w:after="0" w:line="240" w:lineRule="auto"/>
        <w:ind w:left="142"/>
        <w:contextualSpacing/>
        <w:rPr>
          <w:rFonts w:ascii="Cambria" w:eastAsia="Cambria" w:hAnsi="Cambria" w:cs="Cambria"/>
          <w:b/>
          <w:bCs/>
          <w:sz w:val="20"/>
          <w:szCs w:val="20"/>
          <w:lang w:val="en-US" w:eastAsia="x-none"/>
        </w:rPr>
      </w:pPr>
      <w:r w:rsidRPr="00294E2E">
        <w:rPr>
          <w:rFonts w:ascii="Cambria" w:eastAsia="Cambria" w:hAnsi="Cambria" w:cs="Cambria"/>
          <w:b/>
          <w:bCs/>
          <w:sz w:val="20"/>
          <w:szCs w:val="20"/>
          <w:lang w:val="en-US" w:eastAsia="x-none"/>
        </w:rPr>
        <w:t>Analysis of validation results from graphic expert data</w:t>
      </w:r>
    </w:p>
    <w:p w:rsidR="00294E2E" w:rsidRPr="00294E2E" w:rsidRDefault="00294E2E" w:rsidP="00294E2E">
      <w:pPr>
        <w:spacing w:after="0" w:line="240" w:lineRule="auto"/>
        <w:ind w:left="142" w:firstLine="578"/>
        <w:contextualSpacing/>
        <w:jc w:val="both"/>
        <w:rPr>
          <w:rFonts w:ascii="Cambria" w:eastAsia="Cambria" w:hAnsi="Cambria" w:cs="Cambria"/>
          <w:b/>
          <w:bCs/>
          <w:sz w:val="20"/>
          <w:szCs w:val="20"/>
          <w:lang w:val="en-US" w:eastAsia="x-none"/>
        </w:rPr>
      </w:pPr>
      <w:r w:rsidRPr="00294E2E">
        <w:rPr>
          <w:rFonts w:ascii="Cambria" w:eastAsia="Cambria" w:hAnsi="Cambria" w:cs="Cambria"/>
          <w:sz w:val="20"/>
          <w:szCs w:val="20"/>
          <w:lang w:val="en-US" w:eastAsia="x-none"/>
        </w:rPr>
        <w:t>Evaluation of all graphic aspects, including cover and content, resulted in a score of 89%. Based on the product suitability guidelines explained in Chapter III, this score shows that the teaching material is suitable and can be used. However, this data is not the only consideration for improving a product. Assessment of each subcomponent and input from experts also play an important role in improving the product</w:t>
      </w:r>
      <w:r w:rsidRPr="00294E2E">
        <w:rPr>
          <w:rFonts w:ascii="Cambria" w:eastAsia="Cambria" w:hAnsi="Cambria" w:cs="Cambria"/>
          <w:b/>
          <w:bCs/>
          <w:sz w:val="20"/>
          <w:szCs w:val="20"/>
          <w:lang w:val="en-US" w:eastAsia="x-none"/>
        </w:rPr>
        <w:t>.</w:t>
      </w:r>
    </w:p>
    <w:p w:rsidR="00294E2E" w:rsidRPr="00294E2E" w:rsidRDefault="00294E2E" w:rsidP="00294E2E">
      <w:pPr>
        <w:spacing w:after="0" w:line="240" w:lineRule="auto"/>
        <w:ind w:left="142" w:firstLine="578"/>
        <w:contextualSpacing/>
        <w:jc w:val="both"/>
        <w:rPr>
          <w:rFonts w:ascii="Cambria" w:eastAsia="Cambria" w:hAnsi="Cambria" w:cs="Cambria"/>
          <w:sz w:val="20"/>
          <w:szCs w:val="20"/>
          <w:lang w:val="en-US" w:eastAsia="x-none"/>
        </w:rPr>
      </w:pPr>
      <w:r w:rsidRPr="00294E2E">
        <w:rPr>
          <w:rFonts w:ascii="Cambria" w:eastAsia="Cambria" w:hAnsi="Cambria" w:cs="Cambria"/>
          <w:sz w:val="20"/>
          <w:szCs w:val="20"/>
          <w:lang w:val="en-US" w:eastAsia="x-none"/>
        </w:rPr>
        <w:t xml:space="preserve">For cover images, the percentage values for each subcomponent are as follows: 87.5% for layout, 75% for typography, and 75% for illustrations. The scores show that the three subcomponents meet the standards and are suitable for use. </w:t>
      </w:r>
      <w:proofErr w:type="gramStart"/>
      <w:r w:rsidRPr="00294E2E">
        <w:rPr>
          <w:rFonts w:ascii="Cambria" w:eastAsia="Cambria" w:hAnsi="Cambria" w:cs="Cambria"/>
          <w:sz w:val="20"/>
          <w:szCs w:val="20"/>
          <w:lang w:val="en-US" w:eastAsia="x-none"/>
        </w:rPr>
        <w:t>Likewise</w:t>
      </w:r>
      <w:proofErr w:type="gramEnd"/>
      <w:r w:rsidRPr="00294E2E">
        <w:rPr>
          <w:rFonts w:ascii="Cambria" w:eastAsia="Cambria" w:hAnsi="Cambria" w:cs="Cambria"/>
          <w:sz w:val="20"/>
          <w:szCs w:val="20"/>
          <w:lang w:val="en-US" w:eastAsia="x-none"/>
        </w:rPr>
        <w:t xml:space="preserve"> for graphic content, with percentage values of 100% for layout, 91.6% for typography, and 100% for illustrations. With a value above 75%, all subcomponents in the graphic content component are considered feasible and suitable for use.</w:t>
      </w:r>
    </w:p>
    <w:p w:rsidR="005B5AEC" w:rsidRPr="00723B12" w:rsidRDefault="005B5AEC" w:rsidP="002A02C2">
      <w:pPr>
        <w:pStyle w:val="Alishlah21heading1"/>
        <w:rPr>
          <w:rFonts w:eastAsia="Arial"/>
        </w:rPr>
      </w:pPr>
      <w:r w:rsidRPr="00723B12">
        <w:rPr>
          <w:rFonts w:eastAsia="Arial"/>
        </w:rPr>
        <w:t xml:space="preserve">CONCLUSION </w:t>
      </w:r>
    </w:p>
    <w:p w:rsidR="002B31FD" w:rsidRDefault="00294E2E" w:rsidP="00727D5A">
      <w:pPr>
        <w:pStyle w:val="Alishlah31text"/>
      </w:pPr>
      <w:r w:rsidRPr="00294E2E">
        <w:t xml:space="preserve">In the 21st century era characterized by rapid technological advancements, the importance of strengthening Indonesia's cultural identity has become increasingly clear in order to keep the spirit of nationalism alive. To achieve this goal, the ADDIE concept emerges as a relevant solution. In this </w:t>
      </w:r>
      <w:r w:rsidRPr="00294E2E">
        <w:lastRenderedPageBreak/>
        <w:t>conceptual framework, each component is Analysis, Design, Development, Implementation, and Evaluation, each of which has a role and contribution appropriate to its field. The hope is that this can become a solid foundation and become a driver of progress in the world of education in strengthening Indonesia's cultural heritage, so that the spirit of nationalism remains firm in the 21st century era</w:t>
      </w:r>
      <w:r w:rsidR="002B31FD" w:rsidRPr="004841C5">
        <w:t>.</w:t>
      </w:r>
    </w:p>
    <w:p w:rsidR="002B31FD" w:rsidRPr="00234749" w:rsidRDefault="002B31FD" w:rsidP="002B31FD">
      <w:pPr>
        <w:pStyle w:val="Alishlah62Acknowledgments"/>
      </w:pPr>
      <w:r>
        <w:rPr>
          <w:b/>
        </w:rPr>
        <w:t>Acknowledgments:</w:t>
      </w:r>
      <w:r w:rsidRPr="00234749">
        <w:t xml:space="preserve"> </w:t>
      </w:r>
      <w:r w:rsidR="00294E2E" w:rsidRPr="00294E2E">
        <w:t xml:space="preserve">The author expresses her gratitude to all informants who have contributed as sources in this research. In addition, the author would also like to thank Yogyakarta State University and Mrs. </w:t>
      </w:r>
      <w:proofErr w:type="spellStart"/>
      <w:r w:rsidR="00294E2E" w:rsidRPr="00294E2E">
        <w:t>Unik</w:t>
      </w:r>
      <w:proofErr w:type="spellEnd"/>
      <w:r w:rsidR="00294E2E" w:rsidRPr="00294E2E">
        <w:t xml:space="preserve"> Ambar </w:t>
      </w:r>
      <w:proofErr w:type="spellStart"/>
      <w:r w:rsidR="00294E2E" w:rsidRPr="00294E2E">
        <w:t>Wati</w:t>
      </w:r>
      <w:proofErr w:type="spellEnd"/>
      <w:r w:rsidR="00294E2E" w:rsidRPr="00294E2E">
        <w:t xml:space="preserve"> as the thesis supervisor. gratitude is also extended to the teachers at SD Negeri 15 </w:t>
      </w:r>
      <w:proofErr w:type="spellStart"/>
      <w:r w:rsidR="00294E2E" w:rsidRPr="00294E2E">
        <w:t>Meyangan</w:t>
      </w:r>
      <w:proofErr w:type="spellEnd"/>
      <w:r w:rsidR="00294E2E" w:rsidRPr="00294E2E">
        <w:t>, including the Principal</w:t>
      </w:r>
      <w:r w:rsidRPr="00234749">
        <w:t>.</w:t>
      </w:r>
    </w:p>
    <w:p w:rsidR="002B31FD" w:rsidRDefault="002B31FD" w:rsidP="002B31FD">
      <w:pPr>
        <w:pStyle w:val="Alishlah62Acknowledgments"/>
        <w:rPr>
          <w:rFonts w:eastAsia="Arial"/>
        </w:rPr>
      </w:pPr>
      <w:r w:rsidRPr="004841C5">
        <w:rPr>
          <w:b/>
        </w:rPr>
        <w:t>Conflicts of Interest:</w:t>
      </w:r>
      <w:r w:rsidRPr="004841C5">
        <w:t xml:space="preserve"> </w:t>
      </w:r>
      <w:r w:rsidR="0002425C" w:rsidRPr="0002425C">
        <w:t xml:space="preserve">The authors declare no conflict of </w:t>
      </w:r>
      <w:proofErr w:type="gramStart"/>
      <w:r w:rsidR="0002425C" w:rsidRPr="0002425C">
        <w:t>interest.</w:t>
      </w:r>
      <w:r w:rsidRPr="004841C5">
        <w:t>.</w:t>
      </w:r>
      <w:proofErr w:type="gramEnd"/>
    </w:p>
    <w:p w:rsidR="002B31FD" w:rsidRPr="00EA356C" w:rsidRDefault="005B5AEC" w:rsidP="002B31FD">
      <w:pPr>
        <w:pStyle w:val="Alishlah21heading1"/>
        <w:numPr>
          <w:ilvl w:val="0"/>
          <w:numId w:val="0"/>
        </w:numPr>
        <w:rPr>
          <w:rFonts w:eastAsia="Arial"/>
        </w:rPr>
      </w:pPr>
      <w:r w:rsidRPr="00723B12">
        <w:rPr>
          <w:rFonts w:eastAsia="Arial"/>
        </w:rPr>
        <w:t>REFERENCES</w:t>
      </w:r>
      <w:bookmarkStart w:id="6" w:name="_GoBack"/>
      <w:bookmarkEnd w:id="6"/>
    </w:p>
    <w:p w:rsidR="0002425C" w:rsidRPr="0002425C" w:rsidRDefault="002B31FD"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fldChar w:fldCharType="begin" w:fldLock="1"/>
      </w:r>
      <w:r>
        <w:instrText xml:space="preserve">ADDIN Mendeley Bibliography CSL_BIBLIOGRAPHY </w:instrText>
      </w:r>
      <w:r>
        <w:fldChar w:fldCharType="separate"/>
      </w:r>
      <w:r w:rsidR="0002425C" w:rsidRPr="0002425C">
        <w:rPr>
          <w:rFonts w:ascii="Cambria" w:eastAsia="MS Mincho" w:hAnsi="Cambria" w:cs="Times New Roman"/>
          <w:noProof/>
          <w:sz w:val="20"/>
          <w:szCs w:val="24"/>
          <w:lang w:val="en-AU" w:eastAsia="en-ID"/>
        </w:rPr>
        <w:t xml:space="preserve"> </w:t>
      </w:r>
      <w:r w:rsidR="0002425C" w:rsidRPr="0002425C">
        <w:rPr>
          <w:rFonts w:ascii="Cambria" w:eastAsia="MS Mincho" w:hAnsi="Cambria" w:cs="Times New Roman"/>
          <w:noProof/>
          <w:sz w:val="20"/>
          <w:szCs w:val="24"/>
          <w:lang w:val="en-AU" w:eastAsia="en-ID"/>
        </w:rPr>
        <w:t xml:space="preserve">Adams, B., Thomas, L., Moens, M., &amp; Valcke, M. (2023). University teachers as versatile masters: Evaluating the effectiveness of a professional development programme on student-centred teaching competencies. </w:t>
      </w:r>
      <w:r w:rsidR="0002425C" w:rsidRPr="0002425C">
        <w:rPr>
          <w:rFonts w:ascii="Cambria" w:eastAsia="MS Mincho" w:hAnsi="Cambria" w:cs="Times New Roman"/>
          <w:i/>
          <w:iCs/>
          <w:noProof/>
          <w:sz w:val="20"/>
          <w:szCs w:val="24"/>
          <w:lang w:val="en-AU" w:eastAsia="en-ID"/>
        </w:rPr>
        <w:t>Studies in Educational Evaluation</w:t>
      </w:r>
      <w:r w:rsidR="0002425C" w:rsidRPr="0002425C">
        <w:rPr>
          <w:rFonts w:ascii="Cambria" w:eastAsia="MS Mincho" w:hAnsi="Cambria" w:cs="Times New Roman"/>
          <w:noProof/>
          <w:sz w:val="20"/>
          <w:szCs w:val="24"/>
          <w:lang w:val="en-AU" w:eastAsia="en-ID"/>
        </w:rPr>
        <w:t xml:space="preserve">, </w:t>
      </w:r>
      <w:r w:rsidR="0002425C" w:rsidRPr="0002425C">
        <w:rPr>
          <w:rFonts w:ascii="Cambria" w:eastAsia="MS Mincho" w:hAnsi="Cambria" w:cs="Times New Roman"/>
          <w:i/>
          <w:iCs/>
          <w:noProof/>
          <w:sz w:val="20"/>
          <w:szCs w:val="24"/>
          <w:lang w:val="en-AU" w:eastAsia="en-ID"/>
        </w:rPr>
        <w:t>77</w:t>
      </w:r>
      <w:r w:rsidR="0002425C" w:rsidRPr="0002425C">
        <w:rPr>
          <w:rFonts w:ascii="Cambria" w:eastAsia="MS Mincho" w:hAnsi="Cambria" w:cs="Times New Roman"/>
          <w:noProof/>
          <w:sz w:val="20"/>
          <w:szCs w:val="24"/>
          <w:lang w:val="en-AU" w:eastAsia="en-ID"/>
        </w:rPr>
        <w:t xml:space="preserve">, 101260. </w:t>
      </w:r>
      <w:hyperlink r:id="rId69" w:history="1">
        <w:r w:rsidR="0002425C" w:rsidRPr="0002425C">
          <w:rPr>
            <w:rFonts w:ascii="Cambria" w:eastAsia="MS Mincho" w:hAnsi="Cambria" w:cs="Times New Roman"/>
            <w:noProof/>
            <w:color w:val="0000FF"/>
            <w:sz w:val="20"/>
            <w:szCs w:val="24"/>
            <w:u w:val="single"/>
            <w:lang w:val="en-AU" w:eastAsia="en-ID"/>
          </w:rPr>
          <w:t>https://doi.org/10.1016/j.stueduc.2023.101260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Akyeampong, K., Lussier, K., Pryor, J., &amp; Westbrook, J. (2013). Improving teaching and learning of basic maths and reading in Africa: Does teacher preparation count? </w:t>
      </w:r>
      <w:r w:rsidRPr="0002425C">
        <w:rPr>
          <w:rFonts w:ascii="Cambria" w:eastAsia="MS Mincho" w:hAnsi="Cambria" w:cs="Times New Roman"/>
          <w:i/>
          <w:iCs/>
          <w:noProof/>
          <w:sz w:val="20"/>
          <w:szCs w:val="24"/>
          <w:lang w:val="en-AU" w:eastAsia="en-ID"/>
        </w:rPr>
        <w:t>International Journal of Educational Development</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33</w:t>
      </w:r>
      <w:r w:rsidRPr="0002425C">
        <w:rPr>
          <w:rFonts w:ascii="Cambria" w:eastAsia="MS Mincho" w:hAnsi="Cambria" w:cs="Times New Roman"/>
          <w:noProof/>
          <w:sz w:val="20"/>
          <w:szCs w:val="24"/>
          <w:lang w:val="en-AU" w:eastAsia="en-ID"/>
        </w:rPr>
        <w:t xml:space="preserve">(3), 272–282. </w:t>
      </w:r>
      <w:hyperlink r:id="rId70" w:history="1">
        <w:r w:rsidRPr="0002425C">
          <w:rPr>
            <w:rFonts w:ascii="Cambria" w:eastAsia="MS Mincho" w:hAnsi="Cambria" w:cs="Times New Roman"/>
            <w:noProof/>
            <w:color w:val="0000FF"/>
            <w:sz w:val="20"/>
            <w:szCs w:val="24"/>
            <w:u w:val="single"/>
            <w:lang w:val="en-AU" w:eastAsia="en-ID"/>
          </w:rPr>
          <w:t>https://doi.org/10.1016/j.ijedudev.2012.09.006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Alam, A., Astuti, I., &amp; Suratman, D. (2022). Development of Web Programming Interactive Learning Multimedia in Vocational Middle School. </w:t>
      </w:r>
      <w:r w:rsidRPr="0002425C">
        <w:rPr>
          <w:rFonts w:ascii="Cambria" w:eastAsia="MS Mincho" w:hAnsi="Cambria" w:cs="Times New Roman"/>
          <w:i/>
          <w:iCs/>
          <w:noProof/>
          <w:sz w:val="20"/>
          <w:szCs w:val="24"/>
          <w:lang w:val="en-AU" w:eastAsia="en-ID"/>
        </w:rPr>
        <w:t>JTP - Jurnal Teknologi Pendidikan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24</w:t>
      </w:r>
      <w:r w:rsidRPr="0002425C">
        <w:rPr>
          <w:rFonts w:ascii="Cambria" w:eastAsia="MS Mincho" w:hAnsi="Cambria" w:cs="Times New Roman"/>
          <w:noProof/>
          <w:sz w:val="20"/>
          <w:szCs w:val="24"/>
          <w:lang w:val="en-AU" w:eastAsia="en-ID"/>
        </w:rPr>
        <w:t xml:space="preserve">(1), 50–62. </w:t>
      </w:r>
      <w:hyperlink r:id="rId71" w:history="1">
        <w:r w:rsidRPr="0002425C">
          <w:rPr>
            <w:rFonts w:ascii="Cambria" w:eastAsia="MS Mincho" w:hAnsi="Cambria" w:cs="Times New Roman"/>
            <w:noProof/>
            <w:color w:val="0000FF"/>
            <w:sz w:val="20"/>
            <w:szCs w:val="24"/>
            <w:u w:val="single"/>
            <w:lang w:val="en-AU" w:eastAsia="en-ID"/>
          </w:rPr>
          <w:t>https://doi.org/10.21009/jtp.v24i1.24242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Ali, O., Murray, P. A., Momin, M., Dwivedi, Y. K., &amp; Malik, T. (2024). The effects of artificial intelligence applications in educational settings: Challenges and strategies. </w:t>
      </w:r>
      <w:r w:rsidRPr="0002425C">
        <w:rPr>
          <w:rFonts w:ascii="Cambria" w:eastAsia="MS Mincho" w:hAnsi="Cambria" w:cs="Times New Roman"/>
          <w:i/>
          <w:iCs/>
          <w:noProof/>
          <w:sz w:val="20"/>
          <w:szCs w:val="24"/>
          <w:lang w:val="en-AU" w:eastAsia="en-ID"/>
        </w:rPr>
        <w:t>Technological Forecasting and Social Change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199</w:t>
      </w:r>
      <w:r w:rsidRPr="0002425C">
        <w:rPr>
          <w:rFonts w:ascii="Cambria" w:eastAsia="MS Mincho" w:hAnsi="Cambria" w:cs="Times New Roman"/>
          <w:noProof/>
          <w:sz w:val="20"/>
          <w:szCs w:val="24"/>
          <w:lang w:val="en-AU" w:eastAsia="en-ID"/>
        </w:rPr>
        <w:t xml:space="preserve">, 123076. </w:t>
      </w:r>
      <w:hyperlink r:id="rId72" w:history="1">
        <w:r w:rsidRPr="0002425C">
          <w:rPr>
            <w:rFonts w:ascii="Cambria" w:eastAsia="MS Mincho" w:hAnsi="Cambria" w:cs="Times New Roman"/>
            <w:noProof/>
            <w:color w:val="0000FF"/>
            <w:sz w:val="20"/>
            <w:szCs w:val="24"/>
            <w:u w:val="single"/>
            <w:lang w:val="en-AU" w:eastAsia="en-ID"/>
          </w:rPr>
          <w:t>https://doi.org/10.1016/j.techfore.2023.123076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Attig, M., Hoferichter, F., Steinmann, I., &amp; Strietholt, R. (2024). Teaching quality and student reading outcomes: Evidence from a longitudinal study from grade 5 to 7. </w:t>
      </w:r>
      <w:r w:rsidRPr="0002425C">
        <w:rPr>
          <w:rFonts w:ascii="Cambria" w:eastAsia="MS Mincho" w:hAnsi="Cambria" w:cs="Times New Roman"/>
          <w:i/>
          <w:iCs/>
          <w:noProof/>
          <w:sz w:val="20"/>
          <w:szCs w:val="24"/>
          <w:lang w:val="en-AU" w:eastAsia="en-ID"/>
        </w:rPr>
        <w:t>Studies in Educational Evaluation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81</w:t>
      </w:r>
      <w:r w:rsidRPr="0002425C">
        <w:rPr>
          <w:rFonts w:ascii="Cambria" w:eastAsia="MS Mincho" w:hAnsi="Cambria" w:cs="Times New Roman"/>
          <w:noProof/>
          <w:sz w:val="20"/>
          <w:szCs w:val="24"/>
          <w:lang w:val="en-AU" w:eastAsia="en-ID"/>
        </w:rPr>
        <w:t xml:space="preserve">, 101347. </w:t>
      </w:r>
      <w:hyperlink r:id="rId73" w:history="1">
        <w:r w:rsidRPr="0002425C">
          <w:rPr>
            <w:rFonts w:ascii="Cambria" w:eastAsia="MS Mincho" w:hAnsi="Cambria" w:cs="Times New Roman"/>
            <w:noProof/>
            <w:color w:val="0000FF"/>
            <w:sz w:val="20"/>
            <w:szCs w:val="24"/>
            <w:u w:val="single"/>
            <w:lang w:val="en-AU" w:eastAsia="en-ID"/>
          </w:rPr>
          <w:t>https://doi.org/10.1016/j.stueduc.2024.101347</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Bailey, B., Sellwood, D., Rillotta, F., Raghavendra, P., &amp; Arciuli, J. (2022). A trial of online ABRACADABRA literacy instruction with supplementary parent-led shared book reading for children with autism. </w:t>
      </w:r>
      <w:r w:rsidRPr="0002425C">
        <w:rPr>
          <w:rFonts w:ascii="Cambria" w:eastAsia="MS Mincho" w:hAnsi="Cambria" w:cs="Times New Roman"/>
          <w:i/>
          <w:iCs/>
          <w:noProof/>
          <w:sz w:val="20"/>
          <w:szCs w:val="24"/>
          <w:lang w:val="en-AU" w:eastAsia="en-ID"/>
        </w:rPr>
        <w:t>Research in Developmental Disabilities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124</w:t>
      </w:r>
      <w:r w:rsidRPr="0002425C">
        <w:rPr>
          <w:rFonts w:ascii="Cambria" w:eastAsia="MS Mincho" w:hAnsi="Cambria" w:cs="Times New Roman"/>
          <w:noProof/>
          <w:sz w:val="20"/>
          <w:szCs w:val="24"/>
          <w:lang w:val="en-AU" w:eastAsia="en-ID"/>
        </w:rPr>
        <w:t xml:space="preserve">, 104198. </w:t>
      </w:r>
      <w:hyperlink r:id="rId74" w:history="1">
        <w:r w:rsidRPr="0002425C">
          <w:rPr>
            <w:rFonts w:ascii="Cambria" w:eastAsia="MS Mincho" w:hAnsi="Cambria" w:cs="Times New Roman"/>
            <w:noProof/>
            <w:color w:val="0000FF"/>
            <w:sz w:val="20"/>
            <w:szCs w:val="24"/>
            <w:u w:val="single"/>
            <w:lang w:val="en-AU" w:eastAsia="en-ID"/>
          </w:rPr>
          <w:t>https://doi.org/10.1016/j.ridd.2022.104198</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Bangeni, B. (2024). Reading (in) law: A critical appraisal of the impact of language on disciplinary novices’ cognitive reading strategies. </w:t>
      </w:r>
      <w:r w:rsidRPr="0002425C">
        <w:rPr>
          <w:rFonts w:ascii="Cambria" w:eastAsia="MS Mincho" w:hAnsi="Cambria" w:cs="Times New Roman"/>
          <w:i/>
          <w:iCs/>
          <w:noProof/>
          <w:sz w:val="20"/>
          <w:szCs w:val="24"/>
          <w:lang w:val="en-AU" w:eastAsia="en-ID"/>
        </w:rPr>
        <w:t>Language &amp; Communication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94</w:t>
      </w:r>
      <w:r w:rsidRPr="0002425C">
        <w:rPr>
          <w:rFonts w:ascii="Cambria" w:eastAsia="MS Mincho" w:hAnsi="Cambria" w:cs="Times New Roman"/>
          <w:noProof/>
          <w:sz w:val="20"/>
          <w:szCs w:val="24"/>
          <w:lang w:val="en-AU" w:eastAsia="en-ID"/>
        </w:rPr>
        <w:t xml:space="preserve">, 69–84. </w:t>
      </w:r>
      <w:hyperlink r:id="rId75" w:history="1">
        <w:r w:rsidRPr="0002425C">
          <w:rPr>
            <w:rFonts w:ascii="Cambria" w:eastAsia="MS Mincho" w:hAnsi="Cambria" w:cs="Times New Roman"/>
            <w:noProof/>
            <w:color w:val="0000FF"/>
            <w:sz w:val="20"/>
            <w:szCs w:val="24"/>
            <w:u w:val="single"/>
            <w:lang w:val="en-AU" w:eastAsia="en-ID"/>
          </w:rPr>
          <w:t>https://doi.org/10.1016/j.langcom.2023.12.001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Bardosh, K., Jean, L., Desir, L., Yoss, S., Poovey, B., Beau de Rochars, M. V., &amp; Noland, G. S. (2023). Was lockdown worth it? community perspectives and experiences of the Covid-19 pandemic in remote southwestern Haiti. </w:t>
      </w:r>
      <w:r w:rsidRPr="0002425C">
        <w:rPr>
          <w:rFonts w:ascii="Cambria" w:eastAsia="MS Mincho" w:hAnsi="Cambria" w:cs="Times New Roman"/>
          <w:i/>
          <w:iCs/>
          <w:noProof/>
          <w:sz w:val="20"/>
          <w:szCs w:val="24"/>
          <w:lang w:val="en-AU" w:eastAsia="en-ID"/>
        </w:rPr>
        <w:t>Social Science &amp; Medicine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331</w:t>
      </w:r>
      <w:r w:rsidRPr="0002425C">
        <w:rPr>
          <w:rFonts w:ascii="Cambria" w:eastAsia="MS Mincho" w:hAnsi="Cambria" w:cs="Times New Roman"/>
          <w:noProof/>
          <w:sz w:val="20"/>
          <w:szCs w:val="24"/>
          <w:lang w:val="en-AU" w:eastAsia="en-ID"/>
        </w:rPr>
        <w:t xml:space="preserve">, 116076. </w:t>
      </w:r>
      <w:hyperlink r:id="rId76" w:history="1">
        <w:r w:rsidRPr="0002425C">
          <w:rPr>
            <w:rFonts w:ascii="Cambria" w:eastAsia="MS Mincho" w:hAnsi="Cambria" w:cs="Times New Roman"/>
            <w:noProof/>
            <w:color w:val="0000FF"/>
            <w:sz w:val="20"/>
            <w:szCs w:val="24"/>
            <w:u w:val="single"/>
            <w:lang w:val="en-AU" w:eastAsia="en-ID"/>
          </w:rPr>
          <w:t>https://doi.org/10.1016/j.socscimed.2023.116076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Bashith, A. (2017). Evaluasi Program Praktik Kerja Lapangan Dalam Pemberlakuan Magang Pada Kurikulum Jurusan Pendidikan Ilmu Pengetahuan Sosial Berbasis Kkni. </w:t>
      </w:r>
      <w:r w:rsidRPr="0002425C">
        <w:rPr>
          <w:rFonts w:ascii="Cambria" w:eastAsia="MS Mincho" w:hAnsi="Cambria" w:cs="Times New Roman"/>
          <w:i/>
          <w:iCs/>
          <w:noProof/>
          <w:sz w:val="20"/>
          <w:szCs w:val="24"/>
          <w:lang w:val="en-AU" w:eastAsia="en-ID"/>
        </w:rPr>
        <w:t>J-PIPS (Jurnal Pendidikan Ilmu Pengetahuan Sosial)</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w:t>
      </w:r>
      <w:r w:rsidRPr="0002425C">
        <w:rPr>
          <w:rFonts w:ascii="Cambria" w:eastAsia="MS Mincho" w:hAnsi="Cambria" w:cs="Times New Roman"/>
          <w:noProof/>
          <w:sz w:val="20"/>
          <w:szCs w:val="24"/>
          <w:lang w:val="en-AU" w:eastAsia="en-ID"/>
        </w:rPr>
        <w:t xml:space="preserve">(2), 112. </w:t>
      </w:r>
      <w:hyperlink r:id="rId77" w:history="1">
        <w:r w:rsidRPr="0002425C">
          <w:rPr>
            <w:rFonts w:ascii="Cambria" w:eastAsia="MS Mincho" w:hAnsi="Cambria" w:cs="Times New Roman"/>
            <w:noProof/>
            <w:color w:val="0000FF"/>
            <w:sz w:val="20"/>
            <w:szCs w:val="24"/>
            <w:u w:val="single"/>
            <w:lang w:val="en-AU" w:eastAsia="en-ID"/>
          </w:rPr>
          <w:t>https://doi.org/10.18860/jpips.v3i2.6859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Berg, D. A. G., Skaalvik, E. M., Asil, M., Hill, M. F., Uthus, M., Tangen, T. N., &amp; Smith, J. K. (2023). Teacher self-efficacy and reasons for choosing initial teacher education programmes in Norway and New Zealand. </w:t>
      </w:r>
      <w:r w:rsidRPr="0002425C">
        <w:rPr>
          <w:rFonts w:ascii="Cambria" w:eastAsia="MS Mincho" w:hAnsi="Cambria" w:cs="Times New Roman"/>
          <w:i/>
          <w:iCs/>
          <w:noProof/>
          <w:sz w:val="20"/>
          <w:szCs w:val="24"/>
          <w:lang w:val="en-AU" w:eastAsia="en-ID"/>
        </w:rPr>
        <w:t>Teaching and Teacher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125</w:t>
      </w:r>
      <w:r w:rsidRPr="0002425C">
        <w:rPr>
          <w:rFonts w:ascii="Cambria" w:eastAsia="MS Mincho" w:hAnsi="Cambria" w:cs="Times New Roman"/>
          <w:noProof/>
          <w:sz w:val="20"/>
          <w:szCs w:val="24"/>
          <w:lang w:val="en-AU" w:eastAsia="en-ID"/>
        </w:rPr>
        <w:t xml:space="preserve">, 104041. </w:t>
      </w:r>
      <w:hyperlink r:id="rId78" w:history="1">
        <w:r w:rsidRPr="0002425C">
          <w:rPr>
            <w:rFonts w:ascii="Cambria" w:eastAsia="MS Mincho" w:hAnsi="Cambria" w:cs="Times New Roman"/>
            <w:noProof/>
            <w:color w:val="0000FF"/>
            <w:sz w:val="20"/>
            <w:szCs w:val="24"/>
            <w:u w:val="single"/>
            <w:lang w:val="en-AU" w:eastAsia="en-ID"/>
          </w:rPr>
          <w:t>https://doi.org/10.1016/j.tate.2023.104041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Bui, P., Pongsakdi, N., McMullen, J., Lehtinen, E., &amp; Hannula-Sormunen, M. M. (2023). A systematic review of mindset interventions in mathematics classrooms: What works and what does not? </w:t>
      </w:r>
      <w:r w:rsidRPr="0002425C">
        <w:rPr>
          <w:rFonts w:ascii="Cambria" w:eastAsia="MS Mincho" w:hAnsi="Cambria" w:cs="Times New Roman"/>
          <w:i/>
          <w:iCs/>
          <w:noProof/>
          <w:sz w:val="20"/>
          <w:szCs w:val="24"/>
          <w:lang w:val="en-AU" w:eastAsia="en-ID"/>
        </w:rPr>
        <w:t>Educational Research Review</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40</w:t>
      </w:r>
      <w:r w:rsidRPr="0002425C">
        <w:rPr>
          <w:rFonts w:ascii="Cambria" w:eastAsia="MS Mincho" w:hAnsi="Cambria" w:cs="Times New Roman"/>
          <w:noProof/>
          <w:sz w:val="20"/>
          <w:szCs w:val="24"/>
          <w:lang w:val="en-AU" w:eastAsia="en-ID"/>
        </w:rPr>
        <w:t xml:space="preserve">, 100554. </w:t>
      </w:r>
      <w:hyperlink r:id="rId79" w:history="1">
        <w:r w:rsidRPr="0002425C">
          <w:rPr>
            <w:rFonts w:ascii="Cambria" w:eastAsia="MS Mincho" w:hAnsi="Cambria" w:cs="Times New Roman"/>
            <w:noProof/>
            <w:color w:val="0000FF"/>
            <w:sz w:val="20"/>
            <w:szCs w:val="24"/>
            <w:u w:val="single"/>
            <w:lang w:val="en-AU" w:eastAsia="en-ID"/>
          </w:rPr>
          <w:t>https://doi.org/10.1016/j.edurev.2023.100554</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Carvalho, K. (2023). Exploring a social pragmatic approach to overcoming barriers to interprofessional communication and across functional boundaries: A qualitative case study. </w:t>
      </w:r>
      <w:r w:rsidRPr="0002425C">
        <w:rPr>
          <w:rFonts w:ascii="Cambria" w:eastAsia="MS Mincho" w:hAnsi="Cambria" w:cs="Times New Roman"/>
          <w:i/>
          <w:iCs/>
          <w:noProof/>
          <w:sz w:val="20"/>
          <w:szCs w:val="24"/>
          <w:lang w:val="en-AU" w:eastAsia="en-ID"/>
        </w:rPr>
        <w:t>Journal of Interprofessional Education &amp; Practice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32</w:t>
      </w:r>
      <w:r w:rsidRPr="0002425C">
        <w:rPr>
          <w:rFonts w:ascii="Cambria" w:eastAsia="MS Mincho" w:hAnsi="Cambria" w:cs="Times New Roman"/>
          <w:noProof/>
          <w:sz w:val="20"/>
          <w:szCs w:val="24"/>
          <w:lang w:val="en-AU" w:eastAsia="en-ID"/>
        </w:rPr>
        <w:t xml:space="preserve">, 100649. </w:t>
      </w:r>
      <w:hyperlink r:id="rId80" w:history="1">
        <w:r w:rsidRPr="0002425C">
          <w:rPr>
            <w:rFonts w:ascii="Cambria" w:eastAsia="MS Mincho" w:hAnsi="Cambria" w:cs="Times New Roman"/>
            <w:noProof/>
            <w:color w:val="0000FF"/>
            <w:sz w:val="20"/>
            <w:szCs w:val="24"/>
            <w:u w:val="single"/>
            <w:lang w:val="en-AU" w:eastAsia="en-ID"/>
          </w:rPr>
          <w:t>https://doi.org/10.1016/j.xjep.2023.100649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Cervetti, G. N., &amp; Pearson, P. D. (2023). Reading comprehension in troubled times. In </w:t>
      </w:r>
      <w:r w:rsidRPr="0002425C">
        <w:rPr>
          <w:rFonts w:ascii="Cambria" w:eastAsia="MS Mincho" w:hAnsi="Cambria" w:cs="Times New Roman"/>
          <w:i/>
          <w:iCs/>
          <w:noProof/>
          <w:sz w:val="20"/>
          <w:szCs w:val="24"/>
          <w:lang w:val="en-AU" w:eastAsia="en-ID"/>
        </w:rPr>
        <w:t>International Encyclopedia of Education(Fourth Edition)</w:t>
      </w:r>
      <w:r w:rsidRPr="0002425C">
        <w:rPr>
          <w:rFonts w:ascii="Cambria" w:eastAsia="MS Mincho" w:hAnsi="Cambria" w:cs="Times New Roman"/>
          <w:noProof/>
          <w:sz w:val="20"/>
          <w:szCs w:val="24"/>
          <w:lang w:val="en-AU" w:eastAsia="en-ID"/>
        </w:rPr>
        <w:t xml:space="preserve"> (pp. 319–329). Elsevier.</w:t>
      </w:r>
      <w:hyperlink r:id="rId81" w:history="1">
        <w:r w:rsidRPr="0002425C">
          <w:rPr>
            <w:rFonts w:ascii="Cambria" w:eastAsia="MS Mincho" w:hAnsi="Cambria" w:cs="Times New Roman"/>
            <w:noProof/>
            <w:color w:val="0000FF"/>
            <w:sz w:val="20"/>
            <w:szCs w:val="24"/>
            <w:u w:val="single"/>
            <w:lang w:val="en-AU" w:eastAsia="en-ID"/>
          </w:rPr>
          <w:t xml:space="preserve"> https://doi.org/10.1016/B978-0-12-818630-5.07046-9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Chalkley, A. E., Mandelid, M. B., Thurston, M., Daly-Smith, A., Singh, A., Huiberts, I., Archbold, V. S. J., Resaland, G. K., &amp; Tjomsland, H. E. (2022). “Go beyond your own comfort zone and challenge yourself”: A comparison on the use of physically active learning in Norway, the Netherlands and the UK. </w:t>
      </w:r>
      <w:r w:rsidRPr="0002425C">
        <w:rPr>
          <w:rFonts w:ascii="Cambria" w:eastAsia="MS Mincho" w:hAnsi="Cambria" w:cs="Times New Roman"/>
          <w:i/>
          <w:iCs/>
          <w:noProof/>
          <w:sz w:val="20"/>
          <w:szCs w:val="24"/>
          <w:lang w:val="en-AU" w:eastAsia="en-ID"/>
        </w:rPr>
        <w:t xml:space="preserve">Teaching </w:t>
      </w:r>
      <w:r w:rsidRPr="0002425C">
        <w:rPr>
          <w:rFonts w:ascii="Cambria" w:eastAsia="MS Mincho" w:hAnsi="Cambria" w:cs="Times New Roman"/>
          <w:i/>
          <w:iCs/>
          <w:noProof/>
          <w:sz w:val="20"/>
          <w:szCs w:val="24"/>
          <w:lang w:val="en-AU" w:eastAsia="en-ID"/>
        </w:rPr>
        <w:lastRenderedPageBreak/>
        <w:t>and Teacher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118</w:t>
      </w:r>
      <w:r w:rsidRPr="0002425C">
        <w:rPr>
          <w:rFonts w:ascii="Cambria" w:eastAsia="MS Mincho" w:hAnsi="Cambria" w:cs="Times New Roman"/>
          <w:noProof/>
          <w:sz w:val="20"/>
          <w:szCs w:val="24"/>
          <w:lang w:val="en-AU" w:eastAsia="en-ID"/>
        </w:rPr>
        <w:t>, 103825.</w:t>
      </w:r>
      <w:hyperlink r:id="rId82" w:history="1">
        <w:r w:rsidRPr="0002425C">
          <w:rPr>
            <w:rFonts w:ascii="Cambria" w:eastAsia="MS Mincho" w:hAnsi="Cambria" w:cs="Times New Roman"/>
            <w:noProof/>
            <w:color w:val="0000FF"/>
            <w:sz w:val="20"/>
            <w:szCs w:val="24"/>
            <w:u w:val="single"/>
            <w:lang w:val="en-AU" w:eastAsia="en-ID"/>
          </w:rPr>
          <w:t xml:space="preserve"> https://doi.org/10.1016/j.tate.2022.103825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Chan, M. L. A., Lee, P.-M. N., &amp; Wong, M. F. F. (2024). Impact of coronavirus pandemic to cultivate self-discipline and self-directed learning in junior nurse students through high-fidelity simulation: a descriptive qualitative study. </w:t>
      </w:r>
      <w:r w:rsidRPr="0002425C">
        <w:rPr>
          <w:rFonts w:ascii="Cambria" w:eastAsia="MS Mincho" w:hAnsi="Cambria" w:cs="Times New Roman"/>
          <w:i/>
          <w:iCs/>
          <w:noProof/>
          <w:sz w:val="20"/>
          <w:szCs w:val="24"/>
          <w:lang w:val="en-AU" w:eastAsia="en-ID"/>
        </w:rPr>
        <w:t>Teaching and Learning in Nursing</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19</w:t>
      </w:r>
      <w:r w:rsidRPr="0002425C">
        <w:rPr>
          <w:rFonts w:ascii="Cambria" w:eastAsia="MS Mincho" w:hAnsi="Cambria" w:cs="Times New Roman"/>
          <w:noProof/>
          <w:sz w:val="20"/>
          <w:szCs w:val="24"/>
          <w:lang w:val="en-AU" w:eastAsia="en-ID"/>
        </w:rPr>
        <w:t xml:space="preserve">(1), e106–e112. </w:t>
      </w:r>
      <w:hyperlink r:id="rId83" w:history="1">
        <w:r w:rsidRPr="0002425C">
          <w:rPr>
            <w:rFonts w:ascii="Cambria" w:eastAsia="MS Mincho" w:hAnsi="Cambria" w:cs="Times New Roman"/>
            <w:noProof/>
            <w:color w:val="0000FF"/>
            <w:sz w:val="20"/>
            <w:szCs w:val="24"/>
            <w:u w:val="single"/>
            <w:lang w:val="en-AU" w:eastAsia="en-ID"/>
          </w:rPr>
          <w:t>https://doi.org/10.1016/j.teln.2023.09.015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Charalambous, C. Y., Kyriakides, L., &amp; Philippou, G. N. (2012). Developing a test for exploring student performance in a complex domain: Challenges faced, decisions made, and implications drawn. </w:t>
      </w:r>
      <w:r w:rsidRPr="0002425C">
        <w:rPr>
          <w:rFonts w:ascii="Cambria" w:eastAsia="MS Mincho" w:hAnsi="Cambria" w:cs="Times New Roman"/>
          <w:i/>
          <w:iCs/>
          <w:noProof/>
          <w:sz w:val="20"/>
          <w:szCs w:val="24"/>
          <w:lang w:val="en-AU" w:eastAsia="en-ID"/>
        </w:rPr>
        <w:t>Studies in Educational Evaluation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38</w:t>
      </w:r>
      <w:r w:rsidRPr="0002425C">
        <w:rPr>
          <w:rFonts w:ascii="Cambria" w:eastAsia="MS Mincho" w:hAnsi="Cambria" w:cs="Times New Roman"/>
          <w:noProof/>
          <w:sz w:val="20"/>
          <w:szCs w:val="24"/>
          <w:lang w:val="en-AU" w:eastAsia="en-ID"/>
        </w:rPr>
        <w:t xml:space="preserve">(3–4), 93–106. </w:t>
      </w:r>
      <w:hyperlink r:id="rId84" w:history="1">
        <w:r w:rsidRPr="0002425C">
          <w:rPr>
            <w:rFonts w:ascii="Cambria" w:eastAsia="MS Mincho" w:hAnsi="Cambria" w:cs="Times New Roman"/>
            <w:noProof/>
            <w:color w:val="0000FF"/>
            <w:sz w:val="20"/>
            <w:szCs w:val="24"/>
            <w:u w:val="single"/>
            <w:lang w:val="en-AU" w:eastAsia="en-ID"/>
          </w:rPr>
          <w:t>https://doi.org/10.1016/j.stueduc.2012.08.001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Chen, X., Zou, D., Xie, H., &amp; Wang, F. L. (2024). Technology-enhanced higher education: Text mining and bibliometrics. </w:t>
      </w:r>
      <w:r w:rsidRPr="0002425C">
        <w:rPr>
          <w:rFonts w:ascii="Cambria" w:eastAsia="MS Mincho" w:hAnsi="Cambria" w:cs="Times New Roman"/>
          <w:i/>
          <w:iCs/>
          <w:noProof/>
          <w:sz w:val="20"/>
          <w:szCs w:val="24"/>
          <w:lang w:val="en-AU" w:eastAsia="en-ID"/>
        </w:rPr>
        <w:t>Heliyon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10</w:t>
      </w:r>
      <w:r w:rsidRPr="0002425C">
        <w:rPr>
          <w:rFonts w:ascii="Cambria" w:eastAsia="MS Mincho" w:hAnsi="Cambria" w:cs="Times New Roman"/>
          <w:noProof/>
          <w:sz w:val="20"/>
          <w:szCs w:val="24"/>
          <w:lang w:val="en-AU" w:eastAsia="en-ID"/>
        </w:rPr>
        <w:t>(4), e25776.</w:t>
      </w:r>
      <w:hyperlink r:id="rId85" w:history="1">
        <w:r w:rsidRPr="0002425C">
          <w:rPr>
            <w:rFonts w:ascii="Cambria" w:eastAsia="MS Mincho" w:hAnsi="Cambria" w:cs="Times New Roman"/>
            <w:noProof/>
            <w:color w:val="0000FF"/>
            <w:sz w:val="20"/>
            <w:szCs w:val="24"/>
            <w:u w:val="single"/>
            <w:lang w:val="en-AU" w:eastAsia="en-ID"/>
          </w:rPr>
          <w:t xml:space="preserve"> https://doi.org/10.1016/j.heliyon.2024.e25776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Conrad, M., Kablitz, D., &amp; Schumann, S. (2024). Learning effectiveness of immersive virtual reality in education and training: A systematic review of findings. </w:t>
      </w:r>
      <w:r w:rsidRPr="0002425C">
        <w:rPr>
          <w:rFonts w:ascii="Cambria" w:eastAsia="MS Mincho" w:hAnsi="Cambria" w:cs="Times New Roman"/>
          <w:i/>
          <w:iCs/>
          <w:noProof/>
          <w:sz w:val="20"/>
          <w:szCs w:val="24"/>
          <w:lang w:val="en-AU" w:eastAsia="en-ID"/>
        </w:rPr>
        <w:t>Computers &amp; Education: X Reality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4</w:t>
      </w:r>
      <w:r w:rsidRPr="0002425C">
        <w:rPr>
          <w:rFonts w:ascii="Cambria" w:eastAsia="MS Mincho" w:hAnsi="Cambria" w:cs="Times New Roman"/>
          <w:noProof/>
          <w:sz w:val="20"/>
          <w:szCs w:val="24"/>
          <w:lang w:val="en-AU" w:eastAsia="en-ID"/>
        </w:rPr>
        <w:t xml:space="preserve">, 100053. </w:t>
      </w:r>
      <w:hyperlink r:id="rId86" w:history="1">
        <w:r w:rsidRPr="0002425C">
          <w:rPr>
            <w:rFonts w:ascii="Cambria" w:eastAsia="MS Mincho" w:hAnsi="Cambria" w:cs="Times New Roman"/>
            <w:noProof/>
            <w:color w:val="0000FF"/>
            <w:sz w:val="20"/>
            <w:szCs w:val="24"/>
            <w:u w:val="single"/>
            <w:lang w:val="en-AU" w:eastAsia="en-ID"/>
          </w:rPr>
          <w:t>https://doi.org/10.1016/j.cexr.2024.100053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Crosthwaite, P., Luciana, &amp; Schweinberger, M. (2021). Voices from the periphery: Perceptions of Indonesian primary vs secondary pre-service teacher trainees about corpora and data-driven learning in the L2 English classroom. </w:t>
      </w:r>
      <w:r w:rsidRPr="0002425C">
        <w:rPr>
          <w:rFonts w:ascii="Cambria" w:eastAsia="MS Mincho" w:hAnsi="Cambria" w:cs="Times New Roman"/>
          <w:i/>
          <w:iCs/>
          <w:noProof/>
          <w:sz w:val="20"/>
          <w:szCs w:val="24"/>
          <w:lang w:val="en-AU" w:eastAsia="en-ID"/>
        </w:rPr>
        <w:t>Applied Corpus Linguistics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w:t>
      </w:r>
      <w:r w:rsidRPr="0002425C">
        <w:rPr>
          <w:rFonts w:ascii="Cambria" w:eastAsia="MS Mincho" w:hAnsi="Cambria" w:cs="Times New Roman"/>
          <w:noProof/>
          <w:sz w:val="20"/>
          <w:szCs w:val="24"/>
          <w:lang w:val="en-AU" w:eastAsia="en-ID"/>
        </w:rPr>
        <w:t xml:space="preserve">(1), 100003. </w:t>
      </w:r>
      <w:hyperlink r:id="rId87" w:history="1">
        <w:r w:rsidRPr="0002425C">
          <w:rPr>
            <w:rFonts w:ascii="Cambria" w:eastAsia="MS Mincho" w:hAnsi="Cambria" w:cs="Times New Roman"/>
            <w:noProof/>
            <w:color w:val="0000FF"/>
            <w:sz w:val="20"/>
            <w:szCs w:val="24"/>
            <w:u w:val="single"/>
            <w:lang w:val="en-AU" w:eastAsia="en-ID"/>
          </w:rPr>
          <w:t>https://doi.org/10.1016/j.acorp.2021.100003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Damaianti, V. S. (2021). Strategi Regulasi Diri dalam Peningkatan Motivasi Membaca. </w:t>
      </w:r>
      <w:r w:rsidRPr="0002425C">
        <w:rPr>
          <w:rFonts w:ascii="Cambria" w:eastAsia="MS Mincho" w:hAnsi="Cambria" w:cs="Times New Roman"/>
          <w:i/>
          <w:iCs/>
          <w:noProof/>
          <w:sz w:val="20"/>
          <w:szCs w:val="24"/>
          <w:lang w:val="en-AU" w:eastAsia="en-ID"/>
        </w:rPr>
        <w:t>Deiksis: Jurnal Pendidikan Bahasa Dan Sastra Indonesia</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8</w:t>
      </w:r>
      <w:r w:rsidRPr="0002425C">
        <w:rPr>
          <w:rFonts w:ascii="Cambria" w:eastAsia="MS Mincho" w:hAnsi="Cambria" w:cs="Times New Roman"/>
          <w:noProof/>
          <w:sz w:val="20"/>
          <w:szCs w:val="24"/>
          <w:lang w:val="en-AU" w:eastAsia="en-ID"/>
        </w:rPr>
        <w:t xml:space="preserve">(1), 52. </w:t>
      </w:r>
      <w:hyperlink r:id="rId88" w:history="1">
        <w:r w:rsidRPr="0002425C">
          <w:rPr>
            <w:rFonts w:ascii="Cambria" w:eastAsia="MS Mincho" w:hAnsi="Cambria" w:cs="Times New Roman"/>
            <w:noProof/>
            <w:color w:val="0000FF"/>
            <w:sz w:val="20"/>
            <w:szCs w:val="24"/>
            <w:u w:val="single"/>
            <w:lang w:val="en-AU" w:eastAsia="en-ID"/>
          </w:rPr>
          <w:t>https://doi.org/10.33603/dj.v8i1.4613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Dong, X., Yuan, H., Xue, H., Li, Y., Jia, L., Chen, J., Shi, Y., &amp; Zhang, X. (2024). Factors influencing college students’ self-regulated learning in online learning environment: A systematic review. </w:t>
      </w:r>
      <w:r w:rsidRPr="0002425C">
        <w:rPr>
          <w:rFonts w:ascii="Cambria" w:eastAsia="MS Mincho" w:hAnsi="Cambria" w:cs="Times New Roman"/>
          <w:i/>
          <w:iCs/>
          <w:noProof/>
          <w:sz w:val="20"/>
          <w:szCs w:val="24"/>
          <w:lang w:val="en-AU" w:eastAsia="en-ID"/>
        </w:rPr>
        <w:t>Nurse Education Today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133</w:t>
      </w:r>
      <w:r w:rsidRPr="0002425C">
        <w:rPr>
          <w:rFonts w:ascii="Cambria" w:eastAsia="MS Mincho" w:hAnsi="Cambria" w:cs="Times New Roman"/>
          <w:noProof/>
          <w:sz w:val="20"/>
          <w:szCs w:val="24"/>
          <w:lang w:val="en-AU" w:eastAsia="en-ID"/>
        </w:rPr>
        <w:t xml:space="preserve">, 106071. </w:t>
      </w:r>
      <w:hyperlink r:id="rId89" w:history="1">
        <w:r w:rsidRPr="0002425C">
          <w:rPr>
            <w:rFonts w:ascii="Cambria" w:eastAsia="MS Mincho" w:hAnsi="Cambria" w:cs="Times New Roman"/>
            <w:noProof/>
            <w:color w:val="0000FF"/>
            <w:sz w:val="20"/>
            <w:szCs w:val="24"/>
            <w:u w:val="single"/>
            <w:lang w:val="en-AU" w:eastAsia="en-ID"/>
          </w:rPr>
          <w:t>https://doi.org/10.1016/j.nedt.2023.106071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Erawanto, U., &amp; Santoso, E. (2016). Pengembangan Modul Pembelajaran Berbasis Masalah Untuk Membantu Meningkatkan Berfikir Kreatif Mahasiswa. </w:t>
      </w:r>
      <w:r w:rsidRPr="0002425C">
        <w:rPr>
          <w:rFonts w:ascii="Cambria" w:eastAsia="MS Mincho" w:hAnsi="Cambria" w:cs="Times New Roman"/>
          <w:i/>
          <w:iCs/>
          <w:noProof/>
          <w:sz w:val="20"/>
          <w:szCs w:val="24"/>
          <w:lang w:val="en-AU" w:eastAsia="en-ID"/>
        </w:rPr>
        <w:t>JINoP (Jurnal Inovasi Pembelajaran)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w:t>
      </w:r>
      <w:r w:rsidRPr="0002425C">
        <w:rPr>
          <w:rFonts w:ascii="Cambria" w:eastAsia="MS Mincho" w:hAnsi="Cambria" w:cs="Times New Roman"/>
          <w:noProof/>
          <w:sz w:val="20"/>
          <w:szCs w:val="24"/>
          <w:lang w:val="en-AU" w:eastAsia="en-ID"/>
        </w:rPr>
        <w:t xml:space="preserve">(2), 427. </w:t>
      </w:r>
      <w:hyperlink r:id="rId90" w:history="1">
        <w:r w:rsidRPr="0002425C">
          <w:rPr>
            <w:rFonts w:ascii="Cambria" w:eastAsia="MS Mincho" w:hAnsi="Cambria" w:cs="Times New Roman"/>
            <w:noProof/>
            <w:color w:val="0000FF"/>
            <w:sz w:val="20"/>
            <w:szCs w:val="24"/>
            <w:u w:val="single"/>
            <w:lang w:val="en-AU" w:eastAsia="en-ID"/>
          </w:rPr>
          <w:t>https://doi.org/10.22219/jinop.v2i2.2629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Fernandes, R., Willison, J., &amp; Boyle, C. (2024). Characteristics of facilitated critical thinking when students listen to and speak English as an additional language in Indonesia. </w:t>
      </w:r>
      <w:r w:rsidRPr="0002425C">
        <w:rPr>
          <w:rFonts w:ascii="Cambria" w:eastAsia="MS Mincho" w:hAnsi="Cambria" w:cs="Times New Roman"/>
          <w:i/>
          <w:iCs/>
          <w:noProof/>
          <w:sz w:val="20"/>
          <w:szCs w:val="24"/>
          <w:lang w:val="en-AU" w:eastAsia="en-ID"/>
        </w:rPr>
        <w:t>Thinking Skills and Creativity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52</w:t>
      </w:r>
      <w:r w:rsidRPr="0002425C">
        <w:rPr>
          <w:rFonts w:ascii="Cambria" w:eastAsia="MS Mincho" w:hAnsi="Cambria" w:cs="Times New Roman"/>
          <w:noProof/>
          <w:sz w:val="20"/>
          <w:szCs w:val="24"/>
          <w:lang w:val="en-AU" w:eastAsia="en-ID"/>
        </w:rPr>
        <w:t xml:space="preserve">, 101513. </w:t>
      </w:r>
      <w:hyperlink r:id="rId91" w:history="1">
        <w:r w:rsidRPr="0002425C">
          <w:rPr>
            <w:rFonts w:ascii="Cambria" w:eastAsia="MS Mincho" w:hAnsi="Cambria" w:cs="Times New Roman"/>
            <w:noProof/>
            <w:color w:val="0000FF"/>
            <w:sz w:val="20"/>
            <w:szCs w:val="24"/>
            <w:u w:val="single"/>
            <w:lang w:val="en-AU" w:eastAsia="en-ID"/>
          </w:rPr>
          <w:t>https://doi.org/10.1016/j.tsc.2024.101513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Francois, C., &amp; Hood, M. (2021). Rethinking the role of reading assessments for real learning. </w:t>
      </w:r>
      <w:r w:rsidRPr="0002425C">
        <w:rPr>
          <w:rFonts w:ascii="Cambria" w:eastAsia="MS Mincho" w:hAnsi="Cambria" w:cs="Times New Roman"/>
          <w:i/>
          <w:iCs/>
          <w:noProof/>
          <w:sz w:val="20"/>
          <w:szCs w:val="24"/>
          <w:lang w:val="en-AU" w:eastAsia="en-ID"/>
        </w:rPr>
        <w:t>Journal for Multicultural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15</w:t>
      </w:r>
      <w:r w:rsidRPr="0002425C">
        <w:rPr>
          <w:rFonts w:ascii="Cambria" w:eastAsia="MS Mincho" w:hAnsi="Cambria" w:cs="Times New Roman"/>
          <w:noProof/>
          <w:sz w:val="20"/>
          <w:szCs w:val="24"/>
          <w:lang w:val="en-AU" w:eastAsia="en-ID"/>
        </w:rPr>
        <w:t xml:space="preserve">(3), 299–312. </w:t>
      </w:r>
      <w:hyperlink r:id="rId92" w:history="1">
        <w:r w:rsidRPr="0002425C">
          <w:rPr>
            <w:rFonts w:ascii="Cambria" w:eastAsia="MS Mincho" w:hAnsi="Cambria" w:cs="Times New Roman"/>
            <w:noProof/>
            <w:color w:val="0000FF"/>
            <w:sz w:val="20"/>
            <w:szCs w:val="24"/>
            <w:u w:val="single"/>
            <w:lang w:val="en-AU" w:eastAsia="en-ID"/>
          </w:rPr>
          <w:t>https://doi.org/10.1108/JME-03-2021-0027</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Gaertner, K., Ulbrich-Zürni, S., Baumgartner, S., Walach, H., Frass, M., &amp; Weiermayer, P. (2023). Systematic reviews and meta-analyses in Homeopathy: Recommendations for summarising evidence from homeopathic intervention studies (Sum-HomIS recommendations). </w:t>
      </w:r>
      <w:r w:rsidRPr="0002425C">
        <w:rPr>
          <w:rFonts w:ascii="Cambria" w:eastAsia="MS Mincho" w:hAnsi="Cambria" w:cs="Times New Roman"/>
          <w:i/>
          <w:iCs/>
          <w:noProof/>
          <w:sz w:val="20"/>
          <w:szCs w:val="24"/>
          <w:lang w:val="en-AU" w:eastAsia="en-ID"/>
        </w:rPr>
        <w:t>Complementary Therapies in Medicine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79</w:t>
      </w:r>
      <w:r w:rsidRPr="0002425C">
        <w:rPr>
          <w:rFonts w:ascii="Cambria" w:eastAsia="MS Mincho" w:hAnsi="Cambria" w:cs="Times New Roman"/>
          <w:noProof/>
          <w:sz w:val="20"/>
          <w:szCs w:val="24"/>
          <w:lang w:val="en-AU" w:eastAsia="en-ID"/>
        </w:rPr>
        <w:t xml:space="preserve">, 102999. </w:t>
      </w:r>
      <w:hyperlink r:id="rId93" w:history="1">
        <w:r w:rsidRPr="0002425C">
          <w:rPr>
            <w:rFonts w:ascii="Cambria" w:eastAsia="MS Mincho" w:hAnsi="Cambria" w:cs="Times New Roman"/>
            <w:noProof/>
            <w:color w:val="0000FF"/>
            <w:sz w:val="20"/>
            <w:szCs w:val="24"/>
            <w:u w:val="single"/>
            <w:lang w:val="en-AU" w:eastAsia="en-ID"/>
          </w:rPr>
          <w:t>https://doi.org/10.1016/j.ctim.2023.102999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Gao, R., Merzdorf, H. E., Anwar, S., Hipwell, M. C., &amp; Srinivasa, A. R. (2024). Automatic assessment of text-based responses in post-secondary education: A systematic review. </w:t>
      </w:r>
      <w:r w:rsidRPr="0002425C">
        <w:rPr>
          <w:rFonts w:ascii="Cambria" w:eastAsia="MS Mincho" w:hAnsi="Cambria" w:cs="Times New Roman"/>
          <w:i/>
          <w:iCs/>
          <w:noProof/>
          <w:sz w:val="20"/>
          <w:szCs w:val="24"/>
          <w:lang w:val="en-AU" w:eastAsia="en-ID"/>
        </w:rPr>
        <w:t>Computers and Education: Artificial Intelligence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6</w:t>
      </w:r>
      <w:r w:rsidRPr="0002425C">
        <w:rPr>
          <w:rFonts w:ascii="Cambria" w:eastAsia="MS Mincho" w:hAnsi="Cambria" w:cs="Times New Roman"/>
          <w:noProof/>
          <w:sz w:val="20"/>
          <w:szCs w:val="24"/>
          <w:lang w:val="en-AU" w:eastAsia="en-ID"/>
        </w:rPr>
        <w:t xml:space="preserve">, 100206. </w:t>
      </w:r>
      <w:hyperlink r:id="rId94" w:history="1">
        <w:r w:rsidRPr="0002425C">
          <w:rPr>
            <w:rFonts w:ascii="Cambria" w:eastAsia="MS Mincho" w:hAnsi="Cambria" w:cs="Times New Roman"/>
            <w:noProof/>
            <w:color w:val="0000FF"/>
            <w:sz w:val="20"/>
            <w:szCs w:val="24"/>
            <w:u w:val="single"/>
            <w:lang w:val="en-AU" w:eastAsia="en-ID"/>
          </w:rPr>
          <w:t>https://doi.org/10.1016/j.caeai.2024.100206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Gomez Gomez, C. V. (2024). Teaching entrepreneurship in higher education: The application active based learning activities to environmental protection. </w:t>
      </w:r>
      <w:r w:rsidRPr="0002425C">
        <w:rPr>
          <w:rFonts w:ascii="Cambria" w:eastAsia="MS Mincho" w:hAnsi="Cambria" w:cs="Times New Roman"/>
          <w:i/>
          <w:iCs/>
          <w:noProof/>
          <w:sz w:val="20"/>
          <w:szCs w:val="24"/>
          <w:lang w:val="en-AU" w:eastAsia="en-ID"/>
        </w:rPr>
        <w:t>Thinking Skills and Creativity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52</w:t>
      </w:r>
      <w:r w:rsidRPr="0002425C">
        <w:rPr>
          <w:rFonts w:ascii="Cambria" w:eastAsia="MS Mincho" w:hAnsi="Cambria" w:cs="Times New Roman"/>
          <w:noProof/>
          <w:sz w:val="20"/>
          <w:szCs w:val="24"/>
          <w:lang w:val="en-AU" w:eastAsia="en-ID"/>
        </w:rPr>
        <w:t xml:space="preserve">, 101502. </w:t>
      </w:r>
      <w:hyperlink r:id="rId95" w:history="1">
        <w:r w:rsidRPr="0002425C">
          <w:rPr>
            <w:rFonts w:ascii="Cambria" w:eastAsia="MS Mincho" w:hAnsi="Cambria" w:cs="Times New Roman"/>
            <w:noProof/>
            <w:color w:val="0000FF"/>
            <w:sz w:val="20"/>
            <w:szCs w:val="24"/>
            <w:u w:val="single"/>
            <w:lang w:val="en-AU" w:eastAsia="en-ID"/>
          </w:rPr>
          <w:t>https://doi.org/10.1016/j.tsc.2024.101502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Gonzalez, J. E., Kim, H., Anderson, J., &amp; Pollard-Durodola, S. (2024). The Effects of a Science and Social Studies Content Rich Shared Reading Intervention on the Vocabulary Learning of Preschool Dual Language Learners. </w:t>
      </w:r>
      <w:r w:rsidRPr="0002425C">
        <w:rPr>
          <w:rFonts w:ascii="Cambria" w:eastAsia="MS Mincho" w:hAnsi="Cambria" w:cs="Times New Roman"/>
          <w:i/>
          <w:iCs/>
          <w:noProof/>
          <w:sz w:val="20"/>
          <w:szCs w:val="24"/>
          <w:lang w:val="en-AU" w:eastAsia="en-ID"/>
        </w:rPr>
        <w:t>Early Childhood Research Quarterly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66</w:t>
      </w:r>
      <w:r w:rsidRPr="0002425C">
        <w:rPr>
          <w:rFonts w:ascii="Cambria" w:eastAsia="MS Mincho" w:hAnsi="Cambria" w:cs="Times New Roman"/>
          <w:noProof/>
          <w:sz w:val="20"/>
          <w:szCs w:val="24"/>
          <w:lang w:val="en-AU" w:eastAsia="en-ID"/>
        </w:rPr>
        <w:t xml:space="preserve">, 34–47. </w:t>
      </w:r>
      <w:hyperlink r:id="rId96" w:history="1">
        <w:r w:rsidRPr="0002425C">
          <w:rPr>
            <w:rFonts w:ascii="Cambria" w:eastAsia="MS Mincho" w:hAnsi="Cambria" w:cs="Times New Roman"/>
            <w:noProof/>
            <w:color w:val="0000FF"/>
            <w:sz w:val="20"/>
            <w:szCs w:val="24"/>
            <w:u w:val="single"/>
            <w:lang w:val="en-AU" w:eastAsia="en-ID"/>
          </w:rPr>
          <w:t>https://doi.org/10.1016/j.ecresq.2023.08.011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Gorham, T., Majumdar, R., &amp; Ogata, H. (2024). Learning analytics of peer feedback on communicative skills in an EFL course across different learning modalities. </w:t>
      </w:r>
      <w:r w:rsidRPr="0002425C">
        <w:rPr>
          <w:rFonts w:ascii="Cambria" w:eastAsia="MS Mincho" w:hAnsi="Cambria" w:cs="Times New Roman"/>
          <w:i/>
          <w:iCs/>
          <w:noProof/>
          <w:sz w:val="20"/>
          <w:szCs w:val="24"/>
          <w:lang w:val="en-AU" w:eastAsia="en-ID"/>
        </w:rPr>
        <w:t>Studies in Educational Evaluation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81</w:t>
      </w:r>
      <w:r w:rsidRPr="0002425C">
        <w:rPr>
          <w:rFonts w:ascii="Cambria" w:eastAsia="MS Mincho" w:hAnsi="Cambria" w:cs="Times New Roman"/>
          <w:noProof/>
          <w:sz w:val="20"/>
          <w:szCs w:val="24"/>
          <w:lang w:val="en-AU" w:eastAsia="en-ID"/>
        </w:rPr>
        <w:t xml:space="preserve">, 101352. </w:t>
      </w:r>
      <w:hyperlink r:id="rId97" w:history="1">
        <w:r w:rsidRPr="0002425C">
          <w:rPr>
            <w:rFonts w:ascii="Cambria" w:eastAsia="MS Mincho" w:hAnsi="Cambria" w:cs="Times New Roman"/>
            <w:noProof/>
            <w:color w:val="0000FF"/>
            <w:sz w:val="20"/>
            <w:szCs w:val="24"/>
            <w:u w:val="single"/>
            <w:lang w:val="en-AU" w:eastAsia="en-ID"/>
          </w:rPr>
          <w:t>https://doi.org/10.1016/j.stueduc.2024.101352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Habók, A., Oo, T. Z., &amp; Magyar, A. (2024). The effect of reading strategy use on online reading comprehension. </w:t>
      </w:r>
      <w:r w:rsidRPr="0002425C">
        <w:rPr>
          <w:rFonts w:ascii="Cambria" w:eastAsia="MS Mincho" w:hAnsi="Cambria" w:cs="Times New Roman"/>
          <w:i/>
          <w:iCs/>
          <w:noProof/>
          <w:sz w:val="20"/>
          <w:szCs w:val="24"/>
          <w:lang w:val="en-AU" w:eastAsia="en-ID"/>
        </w:rPr>
        <w:t>Heliyon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10</w:t>
      </w:r>
      <w:r w:rsidRPr="0002425C">
        <w:rPr>
          <w:rFonts w:ascii="Cambria" w:eastAsia="MS Mincho" w:hAnsi="Cambria" w:cs="Times New Roman"/>
          <w:noProof/>
          <w:sz w:val="20"/>
          <w:szCs w:val="24"/>
          <w:lang w:val="en-AU" w:eastAsia="en-ID"/>
        </w:rPr>
        <w:t>(2), e24281.</w:t>
      </w:r>
      <w:hyperlink r:id="rId98" w:history="1">
        <w:r w:rsidRPr="0002425C">
          <w:rPr>
            <w:rFonts w:ascii="Cambria" w:eastAsia="MS Mincho" w:hAnsi="Cambria" w:cs="Times New Roman"/>
            <w:noProof/>
            <w:color w:val="0000FF"/>
            <w:sz w:val="20"/>
            <w:szCs w:val="24"/>
            <w:u w:val="single"/>
            <w:lang w:val="en-AU" w:eastAsia="en-ID"/>
          </w:rPr>
          <w:t xml:space="preserve"> https://doi.org/10.1016/j.heliyon.2024.e24281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Hagan, S. M., &amp; Barron, D. H. (2019). Reviewing Practice-Based Design Research—The Pursuit of a Disciplinary Destination. </w:t>
      </w:r>
      <w:r w:rsidRPr="0002425C">
        <w:rPr>
          <w:rFonts w:ascii="Cambria" w:eastAsia="MS Mincho" w:hAnsi="Cambria" w:cs="Times New Roman"/>
          <w:i/>
          <w:iCs/>
          <w:noProof/>
          <w:sz w:val="20"/>
          <w:szCs w:val="24"/>
          <w:lang w:val="en-AU" w:eastAsia="en-ID"/>
        </w:rPr>
        <w:t>She Ji: The Journal of Design, Economics, and Innovation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5</w:t>
      </w:r>
      <w:r w:rsidRPr="0002425C">
        <w:rPr>
          <w:rFonts w:ascii="Cambria" w:eastAsia="MS Mincho" w:hAnsi="Cambria" w:cs="Times New Roman"/>
          <w:noProof/>
          <w:sz w:val="20"/>
          <w:szCs w:val="24"/>
          <w:lang w:val="en-AU" w:eastAsia="en-ID"/>
        </w:rPr>
        <w:t xml:space="preserve">(1), 55–73. </w:t>
      </w:r>
      <w:hyperlink r:id="rId99" w:history="1">
        <w:r w:rsidRPr="0002425C">
          <w:rPr>
            <w:rFonts w:ascii="Cambria" w:eastAsia="MS Mincho" w:hAnsi="Cambria" w:cs="Times New Roman"/>
            <w:noProof/>
            <w:color w:val="0000FF"/>
            <w:sz w:val="20"/>
            <w:szCs w:val="24"/>
            <w:u w:val="single"/>
            <w:lang w:val="en-AU" w:eastAsia="en-ID"/>
          </w:rPr>
          <w:t>https://doi.org/10.1016/j.sheji.2018.12.001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Heo, S. (2022). Teacher scaffolding and immersion language learning of refugee-background students in an elementary immersion classroom. </w:t>
      </w:r>
      <w:r w:rsidRPr="0002425C">
        <w:rPr>
          <w:rFonts w:ascii="Cambria" w:eastAsia="MS Mincho" w:hAnsi="Cambria" w:cs="Times New Roman"/>
          <w:i/>
          <w:iCs/>
          <w:noProof/>
          <w:sz w:val="20"/>
          <w:szCs w:val="24"/>
          <w:lang w:val="en-AU" w:eastAsia="en-ID"/>
        </w:rPr>
        <w:t>Linguistics and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70</w:t>
      </w:r>
      <w:r w:rsidRPr="0002425C">
        <w:rPr>
          <w:rFonts w:ascii="Cambria" w:eastAsia="MS Mincho" w:hAnsi="Cambria" w:cs="Times New Roman"/>
          <w:noProof/>
          <w:sz w:val="20"/>
          <w:szCs w:val="24"/>
          <w:lang w:val="en-AU" w:eastAsia="en-ID"/>
        </w:rPr>
        <w:t xml:space="preserve">, 101055. </w:t>
      </w:r>
      <w:hyperlink r:id="rId100" w:history="1">
        <w:r w:rsidRPr="0002425C">
          <w:rPr>
            <w:rFonts w:ascii="Cambria" w:eastAsia="MS Mincho" w:hAnsi="Cambria" w:cs="Times New Roman"/>
            <w:noProof/>
            <w:color w:val="0000FF"/>
            <w:sz w:val="20"/>
            <w:szCs w:val="24"/>
            <w:u w:val="single"/>
            <w:lang w:val="en-AU" w:eastAsia="en-ID"/>
          </w:rPr>
          <w:t>https://doi.org/10.1016/j.linged.2022.101055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Hwang, S., Xu, R., Yao, Y., &amp; Cai, J. (2024). Learning to teach through problem posing: A teacher’s journey in a networked teacher−researcher partnership. </w:t>
      </w:r>
      <w:r w:rsidRPr="0002425C">
        <w:rPr>
          <w:rFonts w:ascii="Cambria" w:eastAsia="MS Mincho" w:hAnsi="Cambria" w:cs="Times New Roman"/>
          <w:i/>
          <w:iCs/>
          <w:noProof/>
          <w:sz w:val="20"/>
          <w:szCs w:val="24"/>
          <w:lang w:val="en-AU" w:eastAsia="en-ID"/>
        </w:rPr>
        <w:t>The Journal of Mathematical Behavior</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73</w:t>
      </w:r>
      <w:r w:rsidRPr="0002425C">
        <w:rPr>
          <w:rFonts w:ascii="Cambria" w:eastAsia="MS Mincho" w:hAnsi="Cambria" w:cs="Times New Roman"/>
          <w:noProof/>
          <w:sz w:val="20"/>
          <w:szCs w:val="24"/>
          <w:lang w:val="en-AU" w:eastAsia="en-ID"/>
        </w:rPr>
        <w:t xml:space="preserve">, 101120. </w:t>
      </w:r>
      <w:hyperlink r:id="rId101" w:history="1">
        <w:r w:rsidRPr="0002425C">
          <w:rPr>
            <w:rFonts w:ascii="Cambria" w:eastAsia="MS Mincho" w:hAnsi="Cambria" w:cs="Times New Roman"/>
            <w:noProof/>
            <w:color w:val="0000FF"/>
            <w:sz w:val="20"/>
            <w:szCs w:val="24"/>
            <w:u w:val="single"/>
            <w:lang w:val="en-AU" w:eastAsia="en-ID"/>
          </w:rPr>
          <w:t>https://doi.org/10.1016/j.jmathb.2023.101120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lastRenderedPageBreak/>
        <w:t xml:space="preserve">Iglesias Rodríguez, A., García Riaza, B., &amp; Sánchez Gómez, M. C. (2017). Collaborative learning and mobile devices: An educational experience in Primary Education. </w:t>
      </w:r>
      <w:r w:rsidRPr="0002425C">
        <w:rPr>
          <w:rFonts w:ascii="Cambria" w:eastAsia="MS Mincho" w:hAnsi="Cambria" w:cs="Times New Roman"/>
          <w:i/>
          <w:iCs/>
          <w:noProof/>
          <w:sz w:val="20"/>
          <w:szCs w:val="24"/>
          <w:lang w:val="en-AU" w:eastAsia="en-ID"/>
        </w:rPr>
        <w:t>Computers in Human Behavior</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72</w:t>
      </w:r>
      <w:r w:rsidRPr="0002425C">
        <w:rPr>
          <w:rFonts w:ascii="Cambria" w:eastAsia="MS Mincho" w:hAnsi="Cambria" w:cs="Times New Roman"/>
          <w:noProof/>
          <w:sz w:val="20"/>
          <w:szCs w:val="24"/>
          <w:lang w:val="en-AU" w:eastAsia="en-ID"/>
        </w:rPr>
        <w:t xml:space="preserve">, 664–677. </w:t>
      </w:r>
      <w:hyperlink r:id="rId102" w:history="1">
        <w:r w:rsidRPr="0002425C">
          <w:rPr>
            <w:rFonts w:ascii="Cambria" w:eastAsia="MS Mincho" w:hAnsi="Cambria" w:cs="Times New Roman"/>
            <w:noProof/>
            <w:color w:val="0000FF"/>
            <w:sz w:val="20"/>
            <w:szCs w:val="24"/>
            <w:u w:val="single"/>
            <w:lang w:val="en-AU" w:eastAsia="en-ID"/>
          </w:rPr>
          <w:t>https://doi.org/10.1016/j.chb.2016.07.019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Inoue, T. (2023). Toward an ecological model of language: from cognitive linguistics to ecological semantics. </w:t>
      </w:r>
      <w:r w:rsidRPr="0002425C">
        <w:rPr>
          <w:rFonts w:ascii="Cambria" w:eastAsia="MS Mincho" w:hAnsi="Cambria" w:cs="Times New Roman"/>
          <w:i/>
          <w:iCs/>
          <w:noProof/>
          <w:sz w:val="20"/>
          <w:szCs w:val="24"/>
          <w:lang w:val="en-AU" w:eastAsia="en-ID"/>
        </w:rPr>
        <w:t>Language Sciences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100</w:t>
      </w:r>
      <w:r w:rsidRPr="0002425C">
        <w:rPr>
          <w:rFonts w:ascii="Cambria" w:eastAsia="MS Mincho" w:hAnsi="Cambria" w:cs="Times New Roman"/>
          <w:noProof/>
          <w:sz w:val="20"/>
          <w:szCs w:val="24"/>
          <w:lang w:val="en-AU" w:eastAsia="en-ID"/>
        </w:rPr>
        <w:t>, 101582.</w:t>
      </w:r>
      <w:hyperlink r:id="rId103" w:history="1">
        <w:r w:rsidRPr="0002425C">
          <w:rPr>
            <w:rFonts w:ascii="Cambria" w:eastAsia="MS Mincho" w:hAnsi="Cambria" w:cs="Times New Roman"/>
            <w:noProof/>
            <w:color w:val="0000FF"/>
            <w:sz w:val="20"/>
            <w:szCs w:val="24"/>
            <w:u w:val="single"/>
            <w:lang w:val="en-AU" w:eastAsia="en-ID"/>
          </w:rPr>
          <w:t xml:space="preserve"> https://doi.org/10.1016/j.langsci.2023.101582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Jones, S. (2022). Storying gender equality in Northwest Uganda: Educators develop contextually- and culturally responsive stories in professional development courses. </w:t>
      </w:r>
      <w:r w:rsidRPr="0002425C">
        <w:rPr>
          <w:rFonts w:ascii="Cambria" w:eastAsia="MS Mincho" w:hAnsi="Cambria" w:cs="Times New Roman"/>
          <w:i/>
          <w:iCs/>
          <w:noProof/>
          <w:sz w:val="20"/>
          <w:szCs w:val="24"/>
          <w:lang w:val="en-AU" w:eastAsia="en-ID"/>
        </w:rPr>
        <w:t>Teaching and Teacher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111</w:t>
      </w:r>
      <w:r w:rsidRPr="0002425C">
        <w:rPr>
          <w:rFonts w:ascii="Cambria" w:eastAsia="MS Mincho" w:hAnsi="Cambria" w:cs="Times New Roman"/>
          <w:noProof/>
          <w:sz w:val="20"/>
          <w:szCs w:val="24"/>
          <w:lang w:val="en-AU" w:eastAsia="en-ID"/>
        </w:rPr>
        <w:t>, 103600.</w:t>
      </w:r>
      <w:hyperlink r:id="rId104" w:history="1">
        <w:r w:rsidRPr="0002425C">
          <w:rPr>
            <w:rFonts w:ascii="Cambria" w:eastAsia="MS Mincho" w:hAnsi="Cambria" w:cs="Times New Roman"/>
            <w:noProof/>
            <w:color w:val="0000FF"/>
            <w:sz w:val="20"/>
            <w:szCs w:val="24"/>
            <w:u w:val="single"/>
            <w:lang w:val="en-AU" w:eastAsia="en-ID"/>
          </w:rPr>
          <w:t xml:space="preserve"> https://doi.org/10.1016/j.tate.2021.103600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Keating, S. A., Vetter, M. J., Klar, R. T., &amp; Wright, F. (2022). Integrating Climate Change in the Curriculum: Using Instructional Design Methods to Create an Educational Innovation for Nurse Practitioners in a Doctor of Nursing Practice Program. </w:t>
      </w:r>
      <w:r w:rsidRPr="0002425C">
        <w:rPr>
          <w:rFonts w:ascii="Cambria" w:eastAsia="MS Mincho" w:hAnsi="Cambria" w:cs="Times New Roman"/>
          <w:i/>
          <w:iCs/>
          <w:noProof/>
          <w:sz w:val="20"/>
          <w:szCs w:val="24"/>
          <w:lang w:val="en-AU" w:eastAsia="en-ID"/>
        </w:rPr>
        <w:t>The Journal for Nurse Practitioners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18</w:t>
      </w:r>
      <w:r w:rsidRPr="0002425C">
        <w:rPr>
          <w:rFonts w:ascii="Cambria" w:eastAsia="MS Mincho" w:hAnsi="Cambria" w:cs="Times New Roman"/>
          <w:noProof/>
          <w:sz w:val="20"/>
          <w:szCs w:val="24"/>
          <w:lang w:val="en-AU" w:eastAsia="en-ID"/>
        </w:rPr>
        <w:t xml:space="preserve">(4), 424–428. </w:t>
      </w:r>
      <w:hyperlink r:id="rId105" w:history="1">
        <w:r w:rsidRPr="0002425C">
          <w:rPr>
            <w:rFonts w:ascii="Cambria" w:eastAsia="MS Mincho" w:hAnsi="Cambria" w:cs="Times New Roman"/>
            <w:noProof/>
            <w:color w:val="0000FF"/>
            <w:sz w:val="20"/>
            <w:szCs w:val="24"/>
            <w:u w:val="single"/>
            <w:lang w:val="en-AU" w:eastAsia="en-ID"/>
          </w:rPr>
          <w:t>https://doi.org/10.1016/j.nurpra.2021.11.009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Kimhi, Y., Sokol, O., &amp; Lavian, R. H. (2022). Professional competence of teachers: Improving reading comprehension in classes for children with autism spectrum disorder (ASD). </w:t>
      </w:r>
      <w:r w:rsidRPr="0002425C">
        <w:rPr>
          <w:rFonts w:ascii="Cambria" w:eastAsia="MS Mincho" w:hAnsi="Cambria" w:cs="Times New Roman"/>
          <w:i/>
          <w:iCs/>
          <w:noProof/>
          <w:sz w:val="20"/>
          <w:szCs w:val="24"/>
          <w:lang w:val="en-AU" w:eastAsia="en-ID"/>
        </w:rPr>
        <w:t>Teaching and Teacher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118</w:t>
      </w:r>
      <w:r w:rsidRPr="0002425C">
        <w:rPr>
          <w:rFonts w:ascii="Cambria" w:eastAsia="MS Mincho" w:hAnsi="Cambria" w:cs="Times New Roman"/>
          <w:noProof/>
          <w:sz w:val="20"/>
          <w:szCs w:val="24"/>
          <w:lang w:val="en-AU" w:eastAsia="en-ID"/>
        </w:rPr>
        <w:t xml:space="preserve">, 103829. </w:t>
      </w:r>
      <w:hyperlink r:id="rId106" w:history="1">
        <w:r w:rsidRPr="0002425C">
          <w:rPr>
            <w:rFonts w:ascii="Cambria" w:eastAsia="MS Mincho" w:hAnsi="Cambria" w:cs="Times New Roman"/>
            <w:noProof/>
            <w:color w:val="0000FF"/>
            <w:sz w:val="20"/>
            <w:szCs w:val="24"/>
            <w:u w:val="single"/>
            <w:lang w:val="en-AU" w:eastAsia="en-ID"/>
          </w:rPr>
          <w:t>https://doi.org/10.1016/j.tate.2022.103829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Kong, S.-C., &amp; Wang, Y.-Q. (2024). The impact of school support for professional development on teachers’ adoption of student-centered pedagogy, students’ cognitive learning and abilities: A three-level analysis. </w:t>
      </w:r>
      <w:r w:rsidRPr="0002425C">
        <w:rPr>
          <w:rFonts w:ascii="Cambria" w:eastAsia="MS Mincho" w:hAnsi="Cambria" w:cs="Times New Roman"/>
          <w:i/>
          <w:iCs/>
          <w:noProof/>
          <w:sz w:val="20"/>
          <w:szCs w:val="24"/>
          <w:lang w:val="en-AU" w:eastAsia="en-ID"/>
        </w:rPr>
        <w:t>Computers &amp;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215</w:t>
      </w:r>
      <w:r w:rsidRPr="0002425C">
        <w:rPr>
          <w:rFonts w:ascii="Cambria" w:eastAsia="MS Mincho" w:hAnsi="Cambria" w:cs="Times New Roman"/>
          <w:noProof/>
          <w:sz w:val="20"/>
          <w:szCs w:val="24"/>
          <w:lang w:val="en-AU" w:eastAsia="en-ID"/>
        </w:rPr>
        <w:t xml:space="preserve">, 105016. </w:t>
      </w:r>
      <w:hyperlink r:id="rId107" w:history="1">
        <w:r w:rsidRPr="0002425C">
          <w:rPr>
            <w:rFonts w:ascii="Cambria" w:eastAsia="MS Mincho" w:hAnsi="Cambria" w:cs="Times New Roman"/>
            <w:noProof/>
            <w:color w:val="0000FF"/>
            <w:sz w:val="20"/>
            <w:szCs w:val="24"/>
            <w:u w:val="single"/>
            <w:lang w:val="en-AU" w:eastAsia="en-ID"/>
          </w:rPr>
          <w:t>https://doi.org/10.1016/j.compedu.2024.105016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Kuhn, R. L. (2024). A Landscape of Consciousness: Toward a Taxonomy of Explanations and Implications. </w:t>
      </w:r>
      <w:r w:rsidRPr="0002425C">
        <w:rPr>
          <w:rFonts w:ascii="Cambria" w:eastAsia="MS Mincho" w:hAnsi="Cambria" w:cs="Times New Roman"/>
          <w:i/>
          <w:iCs/>
          <w:noProof/>
          <w:sz w:val="20"/>
          <w:szCs w:val="24"/>
          <w:lang w:val="en-AU" w:eastAsia="en-ID"/>
        </w:rPr>
        <w:t>Progress in Biophysics and Molecular Biology</w:t>
      </w:r>
      <w:r w:rsidRPr="0002425C">
        <w:rPr>
          <w:rFonts w:ascii="Cambria" w:eastAsia="MS Mincho" w:hAnsi="Cambria" w:cs="Times New Roman"/>
          <w:noProof/>
          <w:sz w:val="20"/>
          <w:szCs w:val="24"/>
          <w:lang w:val="en-AU" w:eastAsia="en-ID"/>
        </w:rPr>
        <w:t>.</w:t>
      </w:r>
      <w:hyperlink r:id="rId108" w:history="1">
        <w:r w:rsidRPr="0002425C">
          <w:rPr>
            <w:rFonts w:ascii="Cambria" w:eastAsia="MS Mincho" w:hAnsi="Cambria" w:cs="Times New Roman"/>
            <w:noProof/>
            <w:color w:val="0000FF"/>
            <w:sz w:val="20"/>
            <w:szCs w:val="24"/>
            <w:u w:val="single"/>
            <w:lang w:val="en-AU" w:eastAsia="en-ID"/>
          </w:rPr>
          <w:t xml:space="preserve"> https://doi.org/10.1016/j.pbiomolbio.2023.12.003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Kumbure, M. M., Tarkiainen, A., Stoklasa, J., Luukka, P., &amp; Jantunen, A. (2024). Causal maps in the analysis and unsupervised assessment of the development of expert knowledge: Quantification of the learning effects for knowledge management purposes. </w:t>
      </w:r>
      <w:r w:rsidRPr="0002425C">
        <w:rPr>
          <w:rFonts w:ascii="Cambria" w:eastAsia="MS Mincho" w:hAnsi="Cambria" w:cs="Times New Roman"/>
          <w:i/>
          <w:iCs/>
          <w:noProof/>
          <w:sz w:val="20"/>
          <w:szCs w:val="24"/>
          <w:lang w:val="en-AU" w:eastAsia="en-ID"/>
        </w:rPr>
        <w:t>Expert Systems with Applications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236</w:t>
      </w:r>
      <w:r w:rsidRPr="0002425C">
        <w:rPr>
          <w:rFonts w:ascii="Cambria" w:eastAsia="MS Mincho" w:hAnsi="Cambria" w:cs="Times New Roman"/>
          <w:noProof/>
          <w:sz w:val="20"/>
          <w:szCs w:val="24"/>
          <w:lang w:val="en-AU" w:eastAsia="en-ID"/>
        </w:rPr>
        <w:t xml:space="preserve">, 121232. </w:t>
      </w:r>
      <w:hyperlink r:id="rId109" w:history="1">
        <w:r w:rsidRPr="0002425C">
          <w:rPr>
            <w:rFonts w:ascii="Cambria" w:eastAsia="MS Mincho" w:hAnsi="Cambria" w:cs="Times New Roman"/>
            <w:noProof/>
            <w:color w:val="0000FF"/>
            <w:sz w:val="20"/>
            <w:szCs w:val="24"/>
            <w:u w:val="single"/>
            <w:lang w:val="en-AU" w:eastAsia="en-ID"/>
          </w:rPr>
          <w:t>https://doi.org/10.1016/j.eswa.2023.121232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Kurilovas, E., &amp; Kubilinskiene, S. (2020). Lithuanian case study on evaluating suitability, acceptance and use of IT tools by students – An example of applying Technology Enhanced Learning Research methods in Higher Education. </w:t>
      </w:r>
      <w:r w:rsidRPr="0002425C">
        <w:rPr>
          <w:rFonts w:ascii="Cambria" w:eastAsia="MS Mincho" w:hAnsi="Cambria" w:cs="Times New Roman"/>
          <w:i/>
          <w:iCs/>
          <w:noProof/>
          <w:sz w:val="20"/>
          <w:szCs w:val="24"/>
          <w:lang w:val="en-AU" w:eastAsia="en-ID"/>
        </w:rPr>
        <w:t>Computers in Human Behavior</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107</w:t>
      </w:r>
      <w:r w:rsidRPr="0002425C">
        <w:rPr>
          <w:rFonts w:ascii="Cambria" w:eastAsia="MS Mincho" w:hAnsi="Cambria" w:cs="Times New Roman"/>
          <w:noProof/>
          <w:sz w:val="20"/>
          <w:szCs w:val="24"/>
          <w:lang w:val="en-AU" w:eastAsia="en-ID"/>
        </w:rPr>
        <w:t xml:space="preserve">, 106274. </w:t>
      </w:r>
      <w:hyperlink r:id="rId110" w:history="1">
        <w:r w:rsidRPr="0002425C">
          <w:rPr>
            <w:rFonts w:ascii="Cambria" w:eastAsia="MS Mincho" w:hAnsi="Cambria" w:cs="Times New Roman"/>
            <w:noProof/>
            <w:color w:val="0000FF"/>
            <w:sz w:val="20"/>
            <w:szCs w:val="24"/>
            <w:u w:val="single"/>
            <w:lang w:val="en-AU" w:eastAsia="en-ID"/>
          </w:rPr>
          <w:t>https://doi.org/10.1016/j.chb.2020.106274</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Latini, N., Bråten, I., &amp; Salmerón, L. (2020). Does reading medium affect processing and integration of textual and pictorial information? A multimedia eye-tracking study. </w:t>
      </w:r>
      <w:r w:rsidRPr="0002425C">
        <w:rPr>
          <w:rFonts w:ascii="Cambria" w:eastAsia="MS Mincho" w:hAnsi="Cambria" w:cs="Times New Roman"/>
          <w:i/>
          <w:iCs/>
          <w:noProof/>
          <w:sz w:val="20"/>
          <w:szCs w:val="24"/>
          <w:lang w:val="en-AU" w:eastAsia="en-ID"/>
        </w:rPr>
        <w:t>Contemporary Educational Psychology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62</w:t>
      </w:r>
      <w:r w:rsidRPr="0002425C">
        <w:rPr>
          <w:rFonts w:ascii="Cambria" w:eastAsia="MS Mincho" w:hAnsi="Cambria" w:cs="Times New Roman"/>
          <w:noProof/>
          <w:sz w:val="20"/>
          <w:szCs w:val="24"/>
          <w:lang w:val="en-AU" w:eastAsia="en-ID"/>
        </w:rPr>
        <w:t xml:space="preserve">, 101870. </w:t>
      </w:r>
      <w:hyperlink r:id="rId111" w:history="1">
        <w:r w:rsidRPr="0002425C">
          <w:rPr>
            <w:rFonts w:ascii="Cambria" w:eastAsia="MS Mincho" w:hAnsi="Cambria" w:cs="Times New Roman"/>
            <w:noProof/>
            <w:color w:val="0000FF"/>
            <w:sz w:val="20"/>
            <w:szCs w:val="24"/>
            <w:u w:val="single"/>
            <w:lang w:val="en-AU" w:eastAsia="en-ID"/>
          </w:rPr>
          <w:t>https://doi.org/10.1016/j.cedpsych.2020.101870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Li, Q., &amp; Yan, F. (2023). Community theory-based learning framework for Higher education. </w:t>
      </w:r>
      <w:r w:rsidRPr="0002425C">
        <w:rPr>
          <w:rFonts w:ascii="Cambria" w:eastAsia="MS Mincho" w:hAnsi="Cambria" w:cs="Times New Roman"/>
          <w:i/>
          <w:iCs/>
          <w:noProof/>
          <w:sz w:val="20"/>
          <w:szCs w:val="24"/>
          <w:lang w:val="en-AU" w:eastAsia="en-ID"/>
        </w:rPr>
        <w:t>Learning and Motivation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84</w:t>
      </w:r>
      <w:r w:rsidRPr="0002425C">
        <w:rPr>
          <w:rFonts w:ascii="Cambria" w:eastAsia="MS Mincho" w:hAnsi="Cambria" w:cs="Times New Roman"/>
          <w:noProof/>
          <w:sz w:val="20"/>
          <w:szCs w:val="24"/>
          <w:lang w:val="en-AU" w:eastAsia="en-ID"/>
        </w:rPr>
        <w:t xml:space="preserve">, 101913. </w:t>
      </w:r>
      <w:hyperlink r:id="rId112" w:history="1">
        <w:r w:rsidRPr="0002425C">
          <w:rPr>
            <w:rFonts w:ascii="Cambria" w:eastAsia="MS Mincho" w:hAnsi="Cambria" w:cs="Times New Roman"/>
            <w:noProof/>
            <w:color w:val="0000FF"/>
            <w:sz w:val="20"/>
            <w:szCs w:val="24"/>
            <w:u w:val="single"/>
            <w:lang w:val="en-AU" w:eastAsia="en-ID"/>
          </w:rPr>
          <w:t>https://doi.org/10.1016/j.lmot.2023.101913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Lim, J., Whitehead, G. E. K., &amp; Choi, Y. (2021). Interactive e-book reading vs. paper-based reading: Comparing the effects of different mediums on middle school students’ reading comprehension. </w:t>
      </w:r>
      <w:r w:rsidRPr="0002425C">
        <w:rPr>
          <w:rFonts w:ascii="Cambria" w:eastAsia="MS Mincho" w:hAnsi="Cambria" w:cs="Times New Roman"/>
          <w:i/>
          <w:iCs/>
          <w:noProof/>
          <w:sz w:val="20"/>
          <w:szCs w:val="24"/>
          <w:lang w:val="en-AU" w:eastAsia="en-ID"/>
        </w:rPr>
        <w:t>System</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97</w:t>
      </w:r>
      <w:r w:rsidRPr="0002425C">
        <w:rPr>
          <w:rFonts w:ascii="Cambria" w:eastAsia="MS Mincho" w:hAnsi="Cambria" w:cs="Times New Roman"/>
          <w:noProof/>
          <w:sz w:val="20"/>
          <w:szCs w:val="24"/>
          <w:lang w:val="en-AU" w:eastAsia="en-ID"/>
        </w:rPr>
        <w:t xml:space="preserve">, 102434. </w:t>
      </w:r>
      <w:hyperlink r:id="rId113" w:history="1">
        <w:r w:rsidRPr="0002425C">
          <w:rPr>
            <w:rFonts w:ascii="Cambria" w:eastAsia="MS Mincho" w:hAnsi="Cambria" w:cs="Times New Roman"/>
            <w:noProof/>
            <w:color w:val="0000FF"/>
            <w:sz w:val="20"/>
            <w:szCs w:val="24"/>
            <w:u w:val="single"/>
            <w:lang w:val="en-AU" w:eastAsia="en-ID"/>
          </w:rPr>
          <w:t>https://doi.org/10.1016/j.system.2020.102434</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Lin, J., &amp; Wang, Y. (2024). Unpacking the mediating role of classroom interaction between student satisfaction and perceived online learning among Chinese EFL tertiary learners in the new normal of post-COVID-19. </w:t>
      </w:r>
      <w:r w:rsidRPr="0002425C">
        <w:rPr>
          <w:rFonts w:ascii="Cambria" w:eastAsia="MS Mincho" w:hAnsi="Cambria" w:cs="Times New Roman"/>
          <w:i/>
          <w:iCs/>
          <w:noProof/>
          <w:sz w:val="20"/>
          <w:szCs w:val="24"/>
          <w:lang w:val="en-AU" w:eastAsia="en-ID"/>
        </w:rPr>
        <w:t>Acta Psychologica</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245</w:t>
      </w:r>
      <w:r w:rsidRPr="0002425C">
        <w:rPr>
          <w:rFonts w:ascii="Cambria" w:eastAsia="MS Mincho" w:hAnsi="Cambria" w:cs="Times New Roman"/>
          <w:noProof/>
          <w:sz w:val="20"/>
          <w:szCs w:val="24"/>
          <w:lang w:val="en-AU" w:eastAsia="en-ID"/>
        </w:rPr>
        <w:t xml:space="preserve">, 104233. </w:t>
      </w:r>
      <w:hyperlink r:id="rId114" w:history="1">
        <w:r w:rsidRPr="0002425C">
          <w:rPr>
            <w:rFonts w:ascii="Cambria" w:eastAsia="MS Mincho" w:hAnsi="Cambria" w:cs="Times New Roman"/>
            <w:noProof/>
            <w:color w:val="0000FF"/>
            <w:sz w:val="20"/>
            <w:szCs w:val="24"/>
            <w:u w:val="single"/>
            <w:lang w:val="en-AU" w:eastAsia="en-ID"/>
          </w:rPr>
          <w:t>https://doi.org/10.1016/j.actpsy.2024.104233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Lin, Y.-R. (2023). An idiom-driven learning strategy to improve low achievers’ science comprehension, motivation, and argumentation. </w:t>
      </w:r>
      <w:r w:rsidRPr="0002425C">
        <w:rPr>
          <w:rFonts w:ascii="Cambria" w:eastAsia="MS Mincho" w:hAnsi="Cambria" w:cs="Times New Roman"/>
          <w:i/>
          <w:iCs/>
          <w:noProof/>
          <w:sz w:val="20"/>
          <w:szCs w:val="24"/>
          <w:lang w:val="en-AU" w:eastAsia="en-ID"/>
        </w:rPr>
        <w:t>Computers &amp;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195</w:t>
      </w:r>
      <w:r w:rsidRPr="0002425C">
        <w:rPr>
          <w:rFonts w:ascii="Cambria" w:eastAsia="MS Mincho" w:hAnsi="Cambria" w:cs="Times New Roman"/>
          <w:noProof/>
          <w:sz w:val="20"/>
          <w:szCs w:val="24"/>
          <w:lang w:val="en-AU" w:eastAsia="en-ID"/>
        </w:rPr>
        <w:t xml:space="preserve">, 104710. </w:t>
      </w:r>
      <w:hyperlink r:id="rId115" w:history="1">
        <w:r w:rsidRPr="0002425C">
          <w:rPr>
            <w:rFonts w:ascii="Cambria" w:eastAsia="MS Mincho" w:hAnsi="Cambria" w:cs="Times New Roman"/>
            <w:noProof/>
            <w:color w:val="0000FF"/>
            <w:sz w:val="20"/>
            <w:szCs w:val="24"/>
            <w:u w:val="single"/>
            <w:lang w:val="en-AU" w:eastAsia="en-ID"/>
          </w:rPr>
          <w:t>https://doi.org/10.1016/j.compedu.2022.104710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Liu, M., Kitto, K., &amp; Buckingham Shum, S. (2021). Combining factor analysis with writing analytics for the formative assessment of written reflection. </w:t>
      </w:r>
      <w:r w:rsidRPr="0002425C">
        <w:rPr>
          <w:rFonts w:ascii="Cambria" w:eastAsia="MS Mincho" w:hAnsi="Cambria" w:cs="Times New Roman"/>
          <w:i/>
          <w:iCs/>
          <w:noProof/>
          <w:sz w:val="20"/>
          <w:szCs w:val="24"/>
          <w:lang w:val="en-AU" w:eastAsia="en-ID"/>
        </w:rPr>
        <w:t>Computers in Human Behavior</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120</w:t>
      </w:r>
      <w:r w:rsidRPr="0002425C">
        <w:rPr>
          <w:rFonts w:ascii="Cambria" w:eastAsia="MS Mincho" w:hAnsi="Cambria" w:cs="Times New Roman"/>
          <w:noProof/>
          <w:sz w:val="20"/>
          <w:szCs w:val="24"/>
          <w:lang w:val="en-AU" w:eastAsia="en-ID"/>
        </w:rPr>
        <w:t xml:space="preserve">, 106733. </w:t>
      </w:r>
      <w:hyperlink r:id="rId116" w:history="1">
        <w:r w:rsidRPr="0002425C">
          <w:rPr>
            <w:rFonts w:ascii="Cambria" w:eastAsia="MS Mincho" w:hAnsi="Cambria" w:cs="Times New Roman"/>
            <w:noProof/>
            <w:color w:val="0000FF"/>
            <w:sz w:val="20"/>
            <w:szCs w:val="24"/>
            <w:u w:val="single"/>
            <w:lang w:val="en-AU" w:eastAsia="en-ID"/>
          </w:rPr>
          <w:t>https://doi.org/10.1016/j.chb.2021.106733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Mahmudah, M. (2016). Urgensi Diantara Dualisme Metode Pembelajaran Ceramah Dalam Kegiatan Belajar Mengajar Untuk Siswa MI/SD. </w:t>
      </w:r>
      <w:r w:rsidRPr="0002425C">
        <w:rPr>
          <w:rFonts w:ascii="Cambria" w:eastAsia="MS Mincho" w:hAnsi="Cambria" w:cs="Times New Roman"/>
          <w:i/>
          <w:iCs/>
          <w:noProof/>
          <w:sz w:val="20"/>
          <w:szCs w:val="24"/>
          <w:lang w:val="en-AU" w:eastAsia="en-ID"/>
        </w:rPr>
        <w:t>Cakrawala: Jurnal Studi Islam</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11</w:t>
      </w:r>
      <w:r w:rsidRPr="0002425C">
        <w:rPr>
          <w:rFonts w:ascii="Cambria" w:eastAsia="MS Mincho" w:hAnsi="Cambria" w:cs="Times New Roman"/>
          <w:noProof/>
          <w:sz w:val="20"/>
          <w:szCs w:val="24"/>
          <w:lang w:val="en-AU" w:eastAsia="en-ID"/>
        </w:rPr>
        <w:t xml:space="preserve">(1), 116–129. </w:t>
      </w:r>
      <w:hyperlink r:id="rId117" w:history="1">
        <w:r w:rsidRPr="0002425C">
          <w:rPr>
            <w:rFonts w:ascii="Cambria" w:eastAsia="MS Mincho" w:hAnsi="Cambria" w:cs="Times New Roman"/>
            <w:noProof/>
            <w:color w:val="0000FF"/>
            <w:sz w:val="20"/>
            <w:szCs w:val="24"/>
            <w:u w:val="single"/>
            <w:lang w:val="en-AU" w:eastAsia="en-ID"/>
          </w:rPr>
          <w:t>https://doi.org/10.31603/cakrawala.v11i1.107</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Mak, M., Faber, M., &amp; Willems, R. M. (2023). Different kinds of simulation during literary reading: Insights from a combined fMRI and eye-tracking study. </w:t>
      </w:r>
      <w:r w:rsidRPr="0002425C">
        <w:rPr>
          <w:rFonts w:ascii="Cambria" w:eastAsia="MS Mincho" w:hAnsi="Cambria" w:cs="Times New Roman"/>
          <w:i/>
          <w:iCs/>
          <w:noProof/>
          <w:sz w:val="20"/>
          <w:szCs w:val="24"/>
          <w:lang w:val="en-AU" w:eastAsia="en-ID"/>
        </w:rPr>
        <w:t>Cortex</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162</w:t>
      </w:r>
      <w:r w:rsidRPr="0002425C">
        <w:rPr>
          <w:rFonts w:ascii="Cambria" w:eastAsia="MS Mincho" w:hAnsi="Cambria" w:cs="Times New Roman"/>
          <w:noProof/>
          <w:sz w:val="20"/>
          <w:szCs w:val="24"/>
          <w:lang w:val="en-AU" w:eastAsia="en-ID"/>
        </w:rPr>
        <w:t xml:space="preserve">, 115–135. </w:t>
      </w:r>
      <w:hyperlink r:id="rId118" w:history="1">
        <w:r w:rsidRPr="0002425C">
          <w:rPr>
            <w:rFonts w:ascii="Cambria" w:eastAsia="MS Mincho" w:hAnsi="Cambria" w:cs="Times New Roman"/>
            <w:noProof/>
            <w:color w:val="0000FF"/>
            <w:sz w:val="20"/>
            <w:szCs w:val="24"/>
            <w:u w:val="single"/>
            <w:lang w:val="en-AU" w:eastAsia="en-ID"/>
          </w:rPr>
          <w:t>https://doi.org/10.1016/j.cortex.2023.01.014</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Mäkipää, T. (2024). Upper secondary students’ perceptions of feedback literacy in second language learning in Finland – A qualitative case study. </w:t>
      </w:r>
      <w:r w:rsidRPr="0002425C">
        <w:rPr>
          <w:rFonts w:ascii="Cambria" w:eastAsia="MS Mincho" w:hAnsi="Cambria" w:cs="Times New Roman"/>
          <w:i/>
          <w:iCs/>
          <w:noProof/>
          <w:sz w:val="20"/>
          <w:szCs w:val="24"/>
          <w:lang w:val="en-AU" w:eastAsia="en-ID"/>
        </w:rPr>
        <w:t>Teaching and Teacher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143</w:t>
      </w:r>
      <w:r w:rsidRPr="0002425C">
        <w:rPr>
          <w:rFonts w:ascii="Cambria" w:eastAsia="MS Mincho" w:hAnsi="Cambria" w:cs="Times New Roman"/>
          <w:noProof/>
          <w:sz w:val="20"/>
          <w:szCs w:val="24"/>
          <w:lang w:val="en-AU" w:eastAsia="en-ID"/>
        </w:rPr>
        <w:t xml:space="preserve">, 104554. </w:t>
      </w:r>
      <w:hyperlink r:id="rId119" w:history="1">
        <w:r w:rsidRPr="0002425C">
          <w:rPr>
            <w:rFonts w:ascii="Cambria" w:eastAsia="MS Mincho" w:hAnsi="Cambria" w:cs="Times New Roman"/>
            <w:noProof/>
            <w:color w:val="0000FF"/>
            <w:sz w:val="20"/>
            <w:szCs w:val="24"/>
            <w:u w:val="single"/>
            <w:lang w:val="en-AU" w:eastAsia="en-ID"/>
          </w:rPr>
          <w:t>https://doi.org/10.1016/j.tate.2024.104554</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Malik, H., Anees, T., Faheem, M., Chaudhry, M. U., Ali, A., &amp; Asghar, M. N. (2023). Blockchain and Internet of Things in smart cities and drug supply management: Open issues, opportunities, and future directions. </w:t>
      </w:r>
      <w:r w:rsidRPr="0002425C">
        <w:rPr>
          <w:rFonts w:ascii="Cambria" w:eastAsia="MS Mincho" w:hAnsi="Cambria" w:cs="Times New Roman"/>
          <w:i/>
          <w:iCs/>
          <w:noProof/>
          <w:sz w:val="20"/>
          <w:szCs w:val="24"/>
          <w:lang w:val="en-AU" w:eastAsia="en-ID"/>
        </w:rPr>
        <w:t>Internet of Things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23</w:t>
      </w:r>
      <w:r w:rsidRPr="0002425C">
        <w:rPr>
          <w:rFonts w:ascii="Cambria" w:eastAsia="MS Mincho" w:hAnsi="Cambria" w:cs="Times New Roman"/>
          <w:noProof/>
          <w:sz w:val="20"/>
          <w:szCs w:val="24"/>
          <w:lang w:val="en-AU" w:eastAsia="en-ID"/>
        </w:rPr>
        <w:t xml:space="preserve">, 100860. </w:t>
      </w:r>
      <w:hyperlink r:id="rId120" w:history="1">
        <w:r w:rsidRPr="0002425C">
          <w:rPr>
            <w:rFonts w:ascii="Cambria" w:eastAsia="MS Mincho" w:hAnsi="Cambria" w:cs="Times New Roman"/>
            <w:noProof/>
            <w:color w:val="0000FF"/>
            <w:sz w:val="20"/>
            <w:szCs w:val="24"/>
            <w:u w:val="single"/>
            <w:lang w:val="en-AU" w:eastAsia="en-ID"/>
          </w:rPr>
          <w:t>https://doi.org/10.1016/j.iot.2023.100860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Mallik, A. K. (2023). The future of the technology-based manufacturing in the European Union. </w:t>
      </w:r>
      <w:r w:rsidRPr="0002425C">
        <w:rPr>
          <w:rFonts w:ascii="Cambria" w:eastAsia="MS Mincho" w:hAnsi="Cambria" w:cs="Times New Roman"/>
          <w:i/>
          <w:iCs/>
          <w:noProof/>
          <w:sz w:val="20"/>
          <w:szCs w:val="24"/>
          <w:lang w:val="en-AU" w:eastAsia="en-ID"/>
        </w:rPr>
        <w:t xml:space="preserve">Results in </w:t>
      </w:r>
      <w:r w:rsidRPr="0002425C">
        <w:rPr>
          <w:rFonts w:ascii="Cambria" w:eastAsia="MS Mincho" w:hAnsi="Cambria" w:cs="Times New Roman"/>
          <w:i/>
          <w:iCs/>
          <w:noProof/>
          <w:sz w:val="20"/>
          <w:szCs w:val="24"/>
          <w:lang w:val="en-AU" w:eastAsia="en-ID"/>
        </w:rPr>
        <w:lastRenderedPageBreak/>
        <w:t>Engineering</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19</w:t>
      </w:r>
      <w:r w:rsidRPr="0002425C">
        <w:rPr>
          <w:rFonts w:ascii="Cambria" w:eastAsia="MS Mincho" w:hAnsi="Cambria" w:cs="Times New Roman"/>
          <w:noProof/>
          <w:sz w:val="20"/>
          <w:szCs w:val="24"/>
          <w:lang w:val="en-AU" w:eastAsia="en-ID"/>
        </w:rPr>
        <w:t>, 101356.</w:t>
      </w:r>
      <w:hyperlink r:id="rId121" w:history="1">
        <w:r w:rsidRPr="0002425C">
          <w:rPr>
            <w:rFonts w:ascii="Cambria" w:eastAsia="MS Mincho" w:hAnsi="Cambria" w:cs="Times New Roman"/>
            <w:noProof/>
            <w:color w:val="0000FF"/>
            <w:sz w:val="20"/>
            <w:szCs w:val="24"/>
            <w:u w:val="single"/>
            <w:lang w:val="en-AU" w:eastAsia="en-ID"/>
          </w:rPr>
          <w:t xml:space="preserve"> https://doi.org/10.1016/j.rineng.2023.101356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Marwan, Firdaus, F. M., &amp; Handayani, I. W. (2023). </w:t>
      </w:r>
      <w:r w:rsidRPr="0002425C">
        <w:rPr>
          <w:rFonts w:ascii="Cambria" w:eastAsia="MS Mincho" w:hAnsi="Cambria" w:cs="Times New Roman"/>
          <w:i/>
          <w:iCs/>
          <w:noProof/>
          <w:sz w:val="20"/>
          <w:szCs w:val="24"/>
          <w:lang w:val="en-AU" w:eastAsia="en-ID"/>
        </w:rPr>
        <w:t>Increase reading comprehension and critical thinking through reading stories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w:t>
      </w:r>
      <w:r w:rsidRPr="0002425C">
        <w:rPr>
          <w:rFonts w:ascii="Cambria" w:eastAsia="MS Mincho" w:hAnsi="Cambria" w:cs="Times New Roman"/>
          <w:noProof/>
          <w:sz w:val="20"/>
          <w:szCs w:val="24"/>
          <w:lang w:val="en-AU" w:eastAsia="en-ID"/>
        </w:rPr>
        <w:t>(1), 1–14.</w:t>
      </w:r>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McKoon, G., &amp; Ratcliff, R. (2018). Adults with poor reading skills, older adults, and college students: The meanings they understand during reading using a diffusion model analysis. </w:t>
      </w:r>
      <w:r w:rsidRPr="0002425C">
        <w:rPr>
          <w:rFonts w:ascii="Cambria" w:eastAsia="MS Mincho" w:hAnsi="Cambria" w:cs="Times New Roman"/>
          <w:i/>
          <w:iCs/>
          <w:noProof/>
          <w:sz w:val="20"/>
          <w:szCs w:val="24"/>
          <w:lang w:val="en-AU" w:eastAsia="en-ID"/>
        </w:rPr>
        <w:t>Journal of Memory and Language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102</w:t>
      </w:r>
      <w:r w:rsidRPr="0002425C">
        <w:rPr>
          <w:rFonts w:ascii="Cambria" w:eastAsia="MS Mincho" w:hAnsi="Cambria" w:cs="Times New Roman"/>
          <w:noProof/>
          <w:sz w:val="20"/>
          <w:szCs w:val="24"/>
          <w:lang w:val="en-AU" w:eastAsia="en-ID"/>
        </w:rPr>
        <w:t xml:space="preserve">, 115–129. </w:t>
      </w:r>
      <w:hyperlink r:id="rId122" w:history="1">
        <w:r w:rsidRPr="0002425C">
          <w:rPr>
            <w:rFonts w:ascii="Cambria" w:eastAsia="MS Mincho" w:hAnsi="Cambria" w:cs="Times New Roman"/>
            <w:noProof/>
            <w:color w:val="0000FF"/>
            <w:sz w:val="20"/>
            <w:szCs w:val="24"/>
            <w:u w:val="single"/>
            <w:lang w:val="en-AU" w:eastAsia="en-ID"/>
          </w:rPr>
          <w:t>https://doi.org/10.1016/j.jml.2018.05.005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Mutoni Griffiths, C., Murdock-Perriera, L., &amp; L Eberhardt, J. (2023). “Can you tell me more about this?”: Agentic written feedback, teacher expectations, and student learning. </w:t>
      </w:r>
      <w:r w:rsidRPr="0002425C">
        <w:rPr>
          <w:rFonts w:ascii="Cambria" w:eastAsia="MS Mincho" w:hAnsi="Cambria" w:cs="Times New Roman"/>
          <w:i/>
          <w:iCs/>
          <w:noProof/>
          <w:sz w:val="20"/>
          <w:szCs w:val="24"/>
          <w:lang w:val="en-AU" w:eastAsia="en-ID"/>
        </w:rPr>
        <w:t>Contemporary Educational Psychology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73</w:t>
      </w:r>
      <w:r w:rsidRPr="0002425C">
        <w:rPr>
          <w:rFonts w:ascii="Cambria" w:eastAsia="MS Mincho" w:hAnsi="Cambria" w:cs="Times New Roman"/>
          <w:noProof/>
          <w:sz w:val="20"/>
          <w:szCs w:val="24"/>
          <w:lang w:val="en-AU" w:eastAsia="en-ID"/>
        </w:rPr>
        <w:t xml:space="preserve">, 102145. </w:t>
      </w:r>
      <w:hyperlink r:id="rId123" w:history="1">
        <w:r w:rsidRPr="0002425C">
          <w:rPr>
            <w:rFonts w:ascii="Cambria" w:eastAsia="MS Mincho" w:hAnsi="Cambria" w:cs="Times New Roman"/>
            <w:noProof/>
            <w:color w:val="0000FF"/>
            <w:sz w:val="20"/>
            <w:szCs w:val="24"/>
            <w:u w:val="single"/>
            <w:lang w:val="en-AU" w:eastAsia="en-ID"/>
          </w:rPr>
          <w:t>https://doi.org/10.1016/j.cedpsych.2022.102145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Nasar, S., Shome, R., Kabir, S., Gnani, S., Rao, M., &amp; Rashid, S. F. (2024). Understanding the impacts of COVID-19 pandemic on mental health and well-being among university students in Dhaka, Bangladesh: A nested mixed-methods study. </w:t>
      </w:r>
      <w:r w:rsidRPr="0002425C">
        <w:rPr>
          <w:rFonts w:ascii="Cambria" w:eastAsia="MS Mincho" w:hAnsi="Cambria" w:cs="Times New Roman"/>
          <w:i/>
          <w:iCs/>
          <w:noProof/>
          <w:sz w:val="20"/>
          <w:szCs w:val="24"/>
          <w:lang w:val="en-AU" w:eastAsia="en-ID"/>
        </w:rPr>
        <w:t>Heliyon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10</w:t>
      </w:r>
      <w:r w:rsidRPr="0002425C">
        <w:rPr>
          <w:rFonts w:ascii="Cambria" w:eastAsia="MS Mincho" w:hAnsi="Cambria" w:cs="Times New Roman"/>
          <w:noProof/>
          <w:sz w:val="20"/>
          <w:szCs w:val="24"/>
          <w:lang w:val="en-AU" w:eastAsia="en-ID"/>
        </w:rPr>
        <w:t xml:space="preserve">(6), e27588. </w:t>
      </w:r>
      <w:hyperlink r:id="rId124" w:history="1">
        <w:r w:rsidRPr="0002425C">
          <w:rPr>
            <w:rFonts w:ascii="Cambria" w:eastAsia="MS Mincho" w:hAnsi="Cambria" w:cs="Times New Roman"/>
            <w:noProof/>
            <w:color w:val="0000FF"/>
            <w:sz w:val="20"/>
            <w:szCs w:val="24"/>
            <w:u w:val="single"/>
            <w:lang w:val="en-AU" w:eastAsia="en-ID"/>
          </w:rPr>
          <w:t>https://doi.org/10.1016/j.heliyon.2024.e27588</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Nurdianah, E., &amp; Sudira, P. (2022). Developing Mobile Career Learning Model for Electronics Engineering Vocational High School. </w:t>
      </w:r>
      <w:r w:rsidRPr="0002425C">
        <w:rPr>
          <w:rFonts w:ascii="Cambria" w:eastAsia="MS Mincho" w:hAnsi="Cambria" w:cs="Times New Roman"/>
          <w:i/>
          <w:iCs/>
          <w:noProof/>
          <w:sz w:val="20"/>
          <w:szCs w:val="24"/>
          <w:lang w:val="en-AU" w:eastAsia="en-ID"/>
        </w:rPr>
        <w:t>Elinvo (Electronics, Informatics, and Vocational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w:t>
      </w:r>
      <w:r w:rsidRPr="0002425C">
        <w:rPr>
          <w:rFonts w:ascii="Cambria" w:eastAsia="MS Mincho" w:hAnsi="Cambria" w:cs="Times New Roman"/>
          <w:noProof/>
          <w:sz w:val="20"/>
          <w:szCs w:val="24"/>
          <w:lang w:val="en-AU" w:eastAsia="en-ID"/>
        </w:rPr>
        <w:t xml:space="preserve">(1), 27–40. </w:t>
      </w:r>
      <w:hyperlink r:id="rId125" w:history="1">
        <w:r w:rsidRPr="0002425C">
          <w:rPr>
            <w:rFonts w:ascii="Cambria" w:eastAsia="MS Mincho" w:hAnsi="Cambria" w:cs="Times New Roman"/>
            <w:noProof/>
            <w:color w:val="0000FF"/>
            <w:sz w:val="20"/>
            <w:szCs w:val="24"/>
            <w:u w:val="single"/>
            <w:lang w:val="en-AU" w:eastAsia="en-ID"/>
          </w:rPr>
          <w:t>https://doi.org/10.21831/elinvo.v7i1.44425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Patterson, T., Bridgelal, I., &amp; Kaplan, A. (2022). Becoming a social studies teacher: An integrative systems perspective on identity content, structure, and processes. </w:t>
      </w:r>
      <w:r w:rsidRPr="0002425C">
        <w:rPr>
          <w:rFonts w:ascii="Cambria" w:eastAsia="MS Mincho" w:hAnsi="Cambria" w:cs="Times New Roman"/>
          <w:i/>
          <w:iCs/>
          <w:noProof/>
          <w:sz w:val="20"/>
          <w:szCs w:val="24"/>
          <w:lang w:val="en-AU" w:eastAsia="en-ID"/>
        </w:rPr>
        <w:t>Teaching and Teacher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120</w:t>
      </w:r>
      <w:r w:rsidRPr="0002425C">
        <w:rPr>
          <w:rFonts w:ascii="Cambria" w:eastAsia="MS Mincho" w:hAnsi="Cambria" w:cs="Times New Roman"/>
          <w:noProof/>
          <w:sz w:val="20"/>
          <w:szCs w:val="24"/>
          <w:lang w:val="en-AU" w:eastAsia="en-ID"/>
        </w:rPr>
        <w:t xml:space="preserve">, 103899. </w:t>
      </w:r>
      <w:hyperlink r:id="rId126" w:history="1">
        <w:r w:rsidRPr="0002425C">
          <w:rPr>
            <w:rFonts w:ascii="Cambria" w:eastAsia="MS Mincho" w:hAnsi="Cambria" w:cs="Times New Roman"/>
            <w:noProof/>
            <w:color w:val="0000FF"/>
            <w:sz w:val="20"/>
            <w:szCs w:val="24"/>
            <w:u w:val="single"/>
            <w:lang w:val="en-AU" w:eastAsia="en-ID"/>
          </w:rPr>
          <w:t>https://doi.org/10.1016/j.tate.2022.103899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Pollard-Durodola, S. D., Gonzalez, J. E., Saenz, L., Soares, D., Resendez, N., Kwok, O., Davis, H., &amp; Zhu, L. (2016). The effects of content-related shared book reading on the language development of preschool dual language learners. </w:t>
      </w:r>
      <w:r w:rsidRPr="0002425C">
        <w:rPr>
          <w:rFonts w:ascii="Cambria" w:eastAsia="MS Mincho" w:hAnsi="Cambria" w:cs="Times New Roman"/>
          <w:i/>
          <w:iCs/>
          <w:noProof/>
          <w:sz w:val="20"/>
          <w:szCs w:val="24"/>
          <w:lang w:val="en-AU" w:eastAsia="en-ID"/>
        </w:rPr>
        <w:t>Early Childhood Research Quarterly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36</w:t>
      </w:r>
      <w:r w:rsidRPr="0002425C">
        <w:rPr>
          <w:rFonts w:ascii="Cambria" w:eastAsia="MS Mincho" w:hAnsi="Cambria" w:cs="Times New Roman"/>
          <w:noProof/>
          <w:sz w:val="20"/>
          <w:szCs w:val="24"/>
          <w:lang w:val="en-AU" w:eastAsia="en-ID"/>
        </w:rPr>
        <w:t xml:space="preserve">, 106–121. </w:t>
      </w:r>
      <w:hyperlink r:id="rId127" w:history="1">
        <w:r w:rsidRPr="0002425C">
          <w:rPr>
            <w:rFonts w:ascii="Cambria" w:eastAsia="MS Mincho" w:hAnsi="Cambria" w:cs="Times New Roman"/>
            <w:noProof/>
            <w:color w:val="0000FF"/>
            <w:sz w:val="20"/>
            <w:szCs w:val="24"/>
            <w:u w:val="single"/>
            <w:lang w:val="en-AU" w:eastAsia="en-ID"/>
          </w:rPr>
          <w:t>https://doi.org/10.1016/j.ecresq.2015.12.004</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Rahayu, N. M. S., &amp; I Gusti Ayu Tri Agustiana. (2023). Interactive Multimedia Based on Problem Based Learning Models on Material Changes in the form of Objects. </w:t>
      </w:r>
      <w:r w:rsidRPr="0002425C">
        <w:rPr>
          <w:rFonts w:ascii="Cambria" w:eastAsia="MS Mincho" w:hAnsi="Cambria" w:cs="Times New Roman"/>
          <w:i/>
          <w:iCs/>
          <w:noProof/>
          <w:sz w:val="20"/>
          <w:szCs w:val="24"/>
          <w:lang w:val="en-AU" w:eastAsia="en-ID"/>
        </w:rPr>
        <w:t>Mimbar Ilmu</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28</w:t>
      </w:r>
      <w:r w:rsidRPr="0002425C">
        <w:rPr>
          <w:rFonts w:ascii="Cambria" w:eastAsia="MS Mincho" w:hAnsi="Cambria" w:cs="Times New Roman"/>
          <w:noProof/>
          <w:sz w:val="20"/>
          <w:szCs w:val="24"/>
          <w:lang w:val="en-AU" w:eastAsia="en-ID"/>
        </w:rPr>
        <w:t xml:space="preserve">(2), 201–212. </w:t>
      </w:r>
      <w:hyperlink r:id="rId128" w:history="1">
        <w:r w:rsidRPr="0002425C">
          <w:rPr>
            <w:rFonts w:ascii="Cambria" w:eastAsia="MS Mincho" w:hAnsi="Cambria" w:cs="Times New Roman"/>
            <w:noProof/>
            <w:color w:val="0000FF"/>
            <w:sz w:val="20"/>
            <w:szCs w:val="24"/>
            <w:u w:val="single"/>
            <w:lang w:val="en-AU" w:eastAsia="en-ID"/>
          </w:rPr>
          <w:t>https://doi.org/10.23887/mi.v28i2.63523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Rahimi, V., Mohammadkhani, G., Alaghband Rad, J., Mousavi, S. Z., &amp; Khalili, M. E. (2022). Modulation of auditory temporal processing, speech in noise perception, auditory-verbal memory, and reading efficiency by anodal tDCS in children with dyslexia. </w:t>
      </w:r>
      <w:r w:rsidRPr="0002425C">
        <w:rPr>
          <w:rFonts w:ascii="Cambria" w:eastAsia="MS Mincho" w:hAnsi="Cambria" w:cs="Times New Roman"/>
          <w:i/>
          <w:iCs/>
          <w:noProof/>
          <w:sz w:val="20"/>
          <w:szCs w:val="24"/>
          <w:lang w:val="en-AU" w:eastAsia="en-ID"/>
        </w:rPr>
        <w:t>Neuropsychologia</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177</w:t>
      </w:r>
      <w:r w:rsidRPr="0002425C">
        <w:rPr>
          <w:rFonts w:ascii="Cambria" w:eastAsia="MS Mincho" w:hAnsi="Cambria" w:cs="Times New Roman"/>
          <w:noProof/>
          <w:sz w:val="20"/>
          <w:szCs w:val="24"/>
          <w:lang w:val="en-AU" w:eastAsia="en-ID"/>
        </w:rPr>
        <w:t xml:space="preserve">, 108427. </w:t>
      </w:r>
      <w:hyperlink r:id="rId129" w:history="1">
        <w:r w:rsidRPr="0002425C">
          <w:rPr>
            <w:rFonts w:ascii="Cambria" w:eastAsia="MS Mincho" w:hAnsi="Cambria" w:cs="Times New Roman"/>
            <w:noProof/>
            <w:color w:val="0000FF"/>
            <w:sz w:val="20"/>
            <w:szCs w:val="24"/>
            <w:u w:val="single"/>
            <w:lang w:val="en-AU" w:eastAsia="en-ID"/>
          </w:rPr>
          <w:t>https://doi.org/10.1016/j.neuropsychologia.2022.108427</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Rasna, I. W. (2019). </w:t>
      </w:r>
      <w:r w:rsidRPr="0002425C">
        <w:rPr>
          <w:rFonts w:ascii="Cambria" w:eastAsia="MS Mincho" w:hAnsi="Cambria" w:cs="Times New Roman"/>
          <w:i/>
          <w:iCs/>
          <w:noProof/>
          <w:sz w:val="20"/>
          <w:szCs w:val="24"/>
          <w:lang w:val="en-AU" w:eastAsia="en-ID"/>
        </w:rPr>
        <w:t>A Creative Construction Model of Language Acquisition in Linguistic Politeness for Elementary School Children Character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178</w:t>
      </w:r>
      <w:r w:rsidRPr="0002425C">
        <w:rPr>
          <w:rFonts w:ascii="Cambria" w:eastAsia="MS Mincho" w:hAnsi="Cambria" w:cs="Times New Roman"/>
          <w:noProof/>
          <w:sz w:val="20"/>
          <w:szCs w:val="24"/>
          <w:lang w:val="en-AU" w:eastAsia="en-ID"/>
        </w:rPr>
        <w:t xml:space="preserve">(ICoIE 2018), 267–270. </w:t>
      </w:r>
      <w:hyperlink r:id="rId130" w:history="1">
        <w:r w:rsidRPr="0002425C">
          <w:rPr>
            <w:rFonts w:ascii="Cambria" w:eastAsia="MS Mincho" w:hAnsi="Cambria" w:cs="Times New Roman"/>
            <w:noProof/>
            <w:color w:val="0000FF"/>
            <w:sz w:val="20"/>
            <w:szCs w:val="24"/>
            <w:u w:val="single"/>
            <w:lang w:val="en-AU" w:eastAsia="en-ID"/>
          </w:rPr>
          <w:t>https://doi.org/10.2991/icoie-18.2019.60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Reedy, P. (2023). Interpol review of digital evidence for 2019–2022. </w:t>
      </w:r>
      <w:r w:rsidRPr="0002425C">
        <w:rPr>
          <w:rFonts w:ascii="Cambria" w:eastAsia="MS Mincho" w:hAnsi="Cambria" w:cs="Times New Roman"/>
          <w:i/>
          <w:iCs/>
          <w:noProof/>
          <w:sz w:val="20"/>
          <w:szCs w:val="24"/>
          <w:lang w:val="en-AU" w:eastAsia="en-ID"/>
        </w:rPr>
        <w:t>Forensic Science International: Synergy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6</w:t>
      </w:r>
      <w:r w:rsidRPr="0002425C">
        <w:rPr>
          <w:rFonts w:ascii="Cambria" w:eastAsia="MS Mincho" w:hAnsi="Cambria" w:cs="Times New Roman"/>
          <w:noProof/>
          <w:sz w:val="20"/>
          <w:szCs w:val="24"/>
          <w:lang w:val="en-AU" w:eastAsia="en-ID"/>
        </w:rPr>
        <w:t xml:space="preserve">, 100313. </w:t>
      </w:r>
      <w:hyperlink r:id="rId131" w:history="1">
        <w:r w:rsidRPr="0002425C">
          <w:rPr>
            <w:rFonts w:ascii="Cambria" w:eastAsia="MS Mincho" w:hAnsi="Cambria" w:cs="Times New Roman"/>
            <w:noProof/>
            <w:color w:val="0000FF"/>
            <w:sz w:val="20"/>
            <w:szCs w:val="24"/>
            <w:u w:val="single"/>
            <w:lang w:val="en-AU" w:eastAsia="en-ID"/>
          </w:rPr>
          <w:t>https://doi.org/10.1016/j.fsisyn.2022.100313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Retnasari, L., Hidayah, Y., &amp; Prasetyo, D. (2021). Reinforcement of Character Education Based on School Culture to Enhancing Elementary School Students’ Citizenship Character. </w:t>
      </w:r>
      <w:r w:rsidRPr="0002425C">
        <w:rPr>
          <w:rFonts w:ascii="Cambria" w:eastAsia="MS Mincho" w:hAnsi="Cambria" w:cs="Times New Roman"/>
          <w:i/>
          <w:iCs/>
          <w:noProof/>
          <w:sz w:val="20"/>
          <w:szCs w:val="24"/>
          <w:lang w:val="en-AU" w:eastAsia="en-ID"/>
        </w:rPr>
        <w:t>Jurnal Ilmiah Sekolah Dasar</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5</w:t>
      </w:r>
      <w:r w:rsidRPr="0002425C">
        <w:rPr>
          <w:rFonts w:ascii="Cambria" w:eastAsia="MS Mincho" w:hAnsi="Cambria" w:cs="Times New Roman"/>
          <w:noProof/>
          <w:sz w:val="20"/>
          <w:szCs w:val="24"/>
          <w:lang w:val="en-AU" w:eastAsia="en-ID"/>
        </w:rPr>
        <w:t>(2), 351.</w:t>
      </w:r>
      <w:hyperlink r:id="rId132" w:history="1">
        <w:r w:rsidRPr="0002425C">
          <w:rPr>
            <w:rFonts w:ascii="Cambria" w:eastAsia="MS Mincho" w:hAnsi="Cambria" w:cs="Times New Roman"/>
            <w:noProof/>
            <w:color w:val="0000FF"/>
            <w:sz w:val="20"/>
            <w:szCs w:val="24"/>
            <w:u w:val="single"/>
            <w:lang w:val="en-AU" w:eastAsia="en-ID"/>
          </w:rPr>
          <w:t xml:space="preserve"> https://doi.org/10.23887/jisd.v5i2.38072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Roberts, R. D., &amp; Stankov, L. (1999). Individual differences in speed of mental processing and human cognitive abilities: Toward a taxonomic model. </w:t>
      </w:r>
      <w:r w:rsidRPr="0002425C">
        <w:rPr>
          <w:rFonts w:ascii="Cambria" w:eastAsia="MS Mincho" w:hAnsi="Cambria" w:cs="Times New Roman"/>
          <w:i/>
          <w:iCs/>
          <w:noProof/>
          <w:sz w:val="20"/>
          <w:szCs w:val="24"/>
          <w:lang w:val="en-AU" w:eastAsia="en-ID"/>
        </w:rPr>
        <w:t>Learning and Individual Differences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11</w:t>
      </w:r>
      <w:r w:rsidRPr="0002425C">
        <w:rPr>
          <w:rFonts w:ascii="Cambria" w:eastAsia="MS Mincho" w:hAnsi="Cambria" w:cs="Times New Roman"/>
          <w:noProof/>
          <w:sz w:val="20"/>
          <w:szCs w:val="24"/>
          <w:lang w:val="en-AU" w:eastAsia="en-ID"/>
        </w:rPr>
        <w:t xml:space="preserve">(1), 1–120. </w:t>
      </w:r>
      <w:hyperlink r:id="rId133" w:history="1">
        <w:r w:rsidRPr="0002425C">
          <w:rPr>
            <w:rFonts w:ascii="Cambria" w:eastAsia="MS Mincho" w:hAnsi="Cambria" w:cs="Times New Roman"/>
            <w:noProof/>
            <w:color w:val="0000FF"/>
            <w:sz w:val="20"/>
            <w:szCs w:val="24"/>
            <w:u w:val="single"/>
            <w:lang w:val="en-AU" w:eastAsia="en-ID"/>
          </w:rPr>
          <w:t>https://doi.org/10.1016/S1041-6080(00)80007-2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Rojas-Drummond, S., Maine, F., Alarcón, M., Trigo, A. L., Barrera, M. J., Mazón, N., Vélez, M., &amp; Hofmann, R. (2017). Dialogic literacy: Talking, reading and writing among primary school children. </w:t>
      </w:r>
      <w:r w:rsidRPr="0002425C">
        <w:rPr>
          <w:rFonts w:ascii="Cambria" w:eastAsia="MS Mincho" w:hAnsi="Cambria" w:cs="Times New Roman"/>
          <w:i/>
          <w:iCs/>
          <w:noProof/>
          <w:sz w:val="20"/>
          <w:szCs w:val="24"/>
          <w:lang w:val="en-AU" w:eastAsia="en-ID"/>
        </w:rPr>
        <w:t>Learning, Culture and Social Interaction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12</w:t>
      </w:r>
      <w:r w:rsidRPr="0002425C">
        <w:rPr>
          <w:rFonts w:ascii="Cambria" w:eastAsia="MS Mincho" w:hAnsi="Cambria" w:cs="Times New Roman"/>
          <w:noProof/>
          <w:sz w:val="20"/>
          <w:szCs w:val="24"/>
          <w:lang w:val="en-AU" w:eastAsia="en-ID"/>
        </w:rPr>
        <w:t xml:space="preserve">, 45–62. </w:t>
      </w:r>
      <w:hyperlink r:id="rId134" w:history="1">
        <w:r w:rsidRPr="0002425C">
          <w:rPr>
            <w:rFonts w:ascii="Cambria" w:eastAsia="MS Mincho" w:hAnsi="Cambria" w:cs="Times New Roman"/>
            <w:noProof/>
            <w:color w:val="0000FF"/>
            <w:sz w:val="20"/>
            <w:szCs w:val="24"/>
            <w:u w:val="single"/>
            <w:lang w:val="en-AU" w:eastAsia="en-ID"/>
          </w:rPr>
          <w:t>https://doi.org/10.1016/j.lcsi.2016.09.005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Segundo Marcos, R. I., López Ferández, V., Daza González, M. T., &amp; Phillips-Silver, J. (2020). Promoting children’s creative thinking through reading and writing in a cooperative learning classroom. </w:t>
      </w:r>
      <w:r w:rsidRPr="0002425C">
        <w:rPr>
          <w:rFonts w:ascii="Cambria" w:eastAsia="MS Mincho" w:hAnsi="Cambria" w:cs="Times New Roman"/>
          <w:i/>
          <w:iCs/>
          <w:noProof/>
          <w:sz w:val="20"/>
          <w:szCs w:val="24"/>
          <w:lang w:val="en-AU" w:eastAsia="en-ID"/>
        </w:rPr>
        <w:t>Thinking Skills and Creativity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36</w:t>
      </w:r>
      <w:r w:rsidRPr="0002425C">
        <w:rPr>
          <w:rFonts w:ascii="Cambria" w:eastAsia="MS Mincho" w:hAnsi="Cambria" w:cs="Times New Roman"/>
          <w:noProof/>
          <w:sz w:val="20"/>
          <w:szCs w:val="24"/>
          <w:lang w:val="en-AU" w:eastAsia="en-ID"/>
        </w:rPr>
        <w:t xml:space="preserve">(April), 100663. </w:t>
      </w:r>
      <w:hyperlink r:id="rId135" w:history="1">
        <w:r w:rsidRPr="0002425C">
          <w:rPr>
            <w:rFonts w:ascii="Cambria" w:eastAsia="MS Mincho" w:hAnsi="Cambria" w:cs="Times New Roman"/>
            <w:noProof/>
            <w:color w:val="0000FF"/>
            <w:sz w:val="20"/>
            <w:szCs w:val="24"/>
            <w:u w:val="single"/>
            <w:lang w:val="en-AU" w:eastAsia="en-ID"/>
          </w:rPr>
          <w:t>https://doi.org/10.1016/j.tsc.2020.100663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Serrano-Mendizábal, M., Villalón, R., Melero, Á., &amp; Izquierdo-Magaldi, B. (2023). Effects of two computer-based interventions on reading comprehension: Does strategy instruction matter? </w:t>
      </w:r>
      <w:r w:rsidRPr="0002425C">
        <w:rPr>
          <w:rFonts w:ascii="Cambria" w:eastAsia="MS Mincho" w:hAnsi="Cambria" w:cs="Times New Roman"/>
          <w:i/>
          <w:iCs/>
          <w:noProof/>
          <w:sz w:val="20"/>
          <w:szCs w:val="24"/>
          <w:lang w:val="en-AU" w:eastAsia="en-ID"/>
        </w:rPr>
        <w:t>Computers &amp;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196</w:t>
      </w:r>
      <w:r w:rsidRPr="0002425C">
        <w:rPr>
          <w:rFonts w:ascii="Cambria" w:eastAsia="MS Mincho" w:hAnsi="Cambria" w:cs="Times New Roman"/>
          <w:noProof/>
          <w:sz w:val="20"/>
          <w:szCs w:val="24"/>
          <w:lang w:val="en-AU" w:eastAsia="en-ID"/>
        </w:rPr>
        <w:t xml:space="preserve">, 104727. </w:t>
      </w:r>
      <w:hyperlink r:id="rId136" w:history="1">
        <w:r w:rsidRPr="0002425C">
          <w:rPr>
            <w:rFonts w:ascii="Cambria" w:eastAsia="MS Mincho" w:hAnsi="Cambria" w:cs="Times New Roman"/>
            <w:noProof/>
            <w:color w:val="0000FF"/>
            <w:sz w:val="20"/>
            <w:szCs w:val="24"/>
            <w:u w:val="single"/>
            <w:lang w:val="en-AU" w:eastAsia="en-ID"/>
          </w:rPr>
          <w:t>https://doi.org/10.1016/j.compedu.2023.104727</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Shayan, A., Elahi, S., Ghazinoory, S., &amp; Hoseini, S. H. K. (2018). Designing a model for learning self-organized innovation network: Using embedded case studies. </w:t>
      </w:r>
      <w:r w:rsidRPr="0002425C">
        <w:rPr>
          <w:rFonts w:ascii="Cambria" w:eastAsia="MS Mincho" w:hAnsi="Cambria" w:cs="Times New Roman"/>
          <w:i/>
          <w:iCs/>
          <w:noProof/>
          <w:sz w:val="20"/>
          <w:szCs w:val="24"/>
          <w:lang w:val="en-AU" w:eastAsia="en-ID"/>
        </w:rPr>
        <w:t>Computers &amp; Industrial Engineering</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123</w:t>
      </w:r>
      <w:r w:rsidRPr="0002425C">
        <w:rPr>
          <w:rFonts w:ascii="Cambria" w:eastAsia="MS Mincho" w:hAnsi="Cambria" w:cs="Times New Roman"/>
          <w:noProof/>
          <w:sz w:val="20"/>
          <w:szCs w:val="24"/>
          <w:lang w:val="en-AU" w:eastAsia="en-ID"/>
        </w:rPr>
        <w:t xml:space="preserve">, 314–324. </w:t>
      </w:r>
      <w:hyperlink r:id="rId137" w:history="1">
        <w:r w:rsidRPr="0002425C">
          <w:rPr>
            <w:rFonts w:ascii="Cambria" w:eastAsia="MS Mincho" w:hAnsi="Cambria" w:cs="Times New Roman"/>
            <w:noProof/>
            <w:color w:val="0000FF"/>
            <w:sz w:val="20"/>
            <w:szCs w:val="24"/>
            <w:u w:val="single"/>
            <w:lang w:val="en-AU" w:eastAsia="en-ID"/>
          </w:rPr>
          <w:t>https://doi.org/10.1016/j.cie.2018.04.027</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Singh, D., Mishra, A., &amp; Aggarwal, A. (2024). An empirical approach to understand the role of emotions in code comprehension. </w:t>
      </w:r>
      <w:r w:rsidRPr="0002425C">
        <w:rPr>
          <w:rFonts w:ascii="Cambria" w:eastAsia="MS Mincho" w:hAnsi="Cambria" w:cs="Times New Roman"/>
          <w:i/>
          <w:iCs/>
          <w:noProof/>
          <w:sz w:val="20"/>
          <w:szCs w:val="24"/>
          <w:lang w:val="en-AU" w:eastAsia="en-ID"/>
        </w:rPr>
        <w:t>Journal of Computer Languages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79</w:t>
      </w:r>
      <w:r w:rsidRPr="0002425C">
        <w:rPr>
          <w:rFonts w:ascii="Cambria" w:eastAsia="MS Mincho" w:hAnsi="Cambria" w:cs="Times New Roman"/>
          <w:noProof/>
          <w:sz w:val="20"/>
          <w:szCs w:val="24"/>
          <w:lang w:val="en-AU" w:eastAsia="en-ID"/>
        </w:rPr>
        <w:t xml:space="preserve">, 101269. </w:t>
      </w:r>
      <w:hyperlink r:id="rId138" w:history="1">
        <w:r w:rsidRPr="0002425C">
          <w:rPr>
            <w:rFonts w:ascii="Cambria" w:eastAsia="MS Mincho" w:hAnsi="Cambria" w:cs="Times New Roman"/>
            <w:noProof/>
            <w:color w:val="0000FF"/>
            <w:sz w:val="20"/>
            <w:szCs w:val="24"/>
            <w:u w:val="single"/>
            <w:lang w:val="en-AU" w:eastAsia="en-ID"/>
          </w:rPr>
          <w:t>https://doi.org/10.1016/j.cola.2024.101269</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Sinha, K. K. (2022). Role of Modern Technology in Teaching and Learning the English Language in Indian Educational Institutions. </w:t>
      </w:r>
      <w:r w:rsidRPr="0002425C">
        <w:rPr>
          <w:rFonts w:ascii="Cambria" w:eastAsia="MS Mincho" w:hAnsi="Cambria" w:cs="Times New Roman"/>
          <w:i/>
          <w:iCs/>
          <w:noProof/>
          <w:sz w:val="20"/>
          <w:szCs w:val="24"/>
          <w:lang w:val="en-AU" w:eastAsia="en-ID"/>
        </w:rPr>
        <w:t>Indonesian Journal of English Language Studies (IJELS)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8</w:t>
      </w:r>
      <w:r w:rsidRPr="0002425C">
        <w:rPr>
          <w:rFonts w:ascii="Cambria" w:eastAsia="MS Mincho" w:hAnsi="Cambria" w:cs="Times New Roman"/>
          <w:noProof/>
          <w:sz w:val="20"/>
          <w:szCs w:val="24"/>
          <w:lang w:val="en-AU" w:eastAsia="en-ID"/>
        </w:rPr>
        <w:t xml:space="preserve">(2), 19–30. </w:t>
      </w:r>
      <w:hyperlink r:id="rId139" w:history="1">
        <w:r w:rsidRPr="0002425C">
          <w:rPr>
            <w:rFonts w:ascii="Cambria" w:eastAsia="MS Mincho" w:hAnsi="Cambria" w:cs="Times New Roman"/>
            <w:noProof/>
            <w:color w:val="0000FF"/>
            <w:sz w:val="20"/>
            <w:szCs w:val="24"/>
            <w:u w:val="single"/>
            <w:lang w:val="en-AU" w:eastAsia="en-ID"/>
          </w:rPr>
          <w:t>https://doi.org/10.24071/ijels.v8i2.4713</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Stoller, F. L., &amp; Nguyen, L. T. H. (2020). Reading habits of Vietnamese University English majors. </w:t>
      </w:r>
      <w:r w:rsidRPr="0002425C">
        <w:rPr>
          <w:rFonts w:ascii="Cambria" w:eastAsia="MS Mincho" w:hAnsi="Cambria" w:cs="Times New Roman"/>
          <w:i/>
          <w:iCs/>
          <w:noProof/>
          <w:sz w:val="20"/>
          <w:szCs w:val="24"/>
          <w:lang w:val="en-AU" w:eastAsia="en-ID"/>
        </w:rPr>
        <w:t>Journal of English for Academic Purposes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48</w:t>
      </w:r>
      <w:r w:rsidRPr="0002425C">
        <w:rPr>
          <w:rFonts w:ascii="Cambria" w:eastAsia="MS Mincho" w:hAnsi="Cambria" w:cs="Times New Roman"/>
          <w:noProof/>
          <w:sz w:val="20"/>
          <w:szCs w:val="24"/>
          <w:lang w:val="en-AU" w:eastAsia="en-ID"/>
        </w:rPr>
        <w:t xml:space="preserve">, 100906. </w:t>
      </w:r>
      <w:hyperlink r:id="rId140" w:history="1">
        <w:r w:rsidRPr="0002425C">
          <w:rPr>
            <w:rFonts w:ascii="Cambria" w:eastAsia="MS Mincho" w:hAnsi="Cambria" w:cs="Times New Roman"/>
            <w:noProof/>
            <w:color w:val="0000FF"/>
            <w:sz w:val="20"/>
            <w:szCs w:val="24"/>
            <w:u w:val="single"/>
            <w:lang w:val="en-AU" w:eastAsia="en-ID"/>
          </w:rPr>
          <w:t>https://doi.org/10.1016/j.jeap.2020.100906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Sturm, D. J., Bachner, J., Renninger, D., Haug, S., &amp; Demetriou, Y. (2021). A cluster randomized trial to evaluate need-supportive teaching in physical education on physical activity of sixth-grade girls: A mixed method study. </w:t>
      </w:r>
      <w:r w:rsidRPr="0002425C">
        <w:rPr>
          <w:rFonts w:ascii="Cambria" w:eastAsia="MS Mincho" w:hAnsi="Cambria" w:cs="Times New Roman"/>
          <w:i/>
          <w:iCs/>
          <w:noProof/>
          <w:sz w:val="20"/>
          <w:szCs w:val="24"/>
          <w:lang w:val="en-AU" w:eastAsia="en-ID"/>
        </w:rPr>
        <w:t>Psychology of Sport and Exercise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54</w:t>
      </w:r>
      <w:r w:rsidRPr="0002425C">
        <w:rPr>
          <w:rFonts w:ascii="Cambria" w:eastAsia="MS Mincho" w:hAnsi="Cambria" w:cs="Times New Roman"/>
          <w:noProof/>
          <w:sz w:val="20"/>
          <w:szCs w:val="24"/>
          <w:lang w:val="en-AU" w:eastAsia="en-ID"/>
        </w:rPr>
        <w:t xml:space="preserve">, 101902. </w:t>
      </w:r>
      <w:hyperlink r:id="rId141" w:history="1">
        <w:r w:rsidRPr="0002425C">
          <w:rPr>
            <w:rFonts w:ascii="Cambria" w:eastAsia="MS Mincho" w:hAnsi="Cambria" w:cs="Times New Roman"/>
            <w:noProof/>
            <w:color w:val="0000FF"/>
            <w:sz w:val="20"/>
            <w:szCs w:val="24"/>
            <w:u w:val="single"/>
            <w:lang w:val="en-AU" w:eastAsia="en-ID"/>
          </w:rPr>
          <w:t>https://doi.org/10.1016/j.psychsport.2021.101902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Tanimura, C., Okuda, R., Tokushima, Y., Matsumoto, Y., Katou, S., Miyoshi, M., Oshima, A., Yoshimura, J., Fukada, M., Sasaki, K., Matsuura, H., &amp; Ueki, M. (2023). Examining the reliability and validity of a self-regulated learning strategy scale for undergraduate nursing students and effective factors of self-regulated learning strategies. </w:t>
      </w:r>
      <w:r w:rsidRPr="0002425C">
        <w:rPr>
          <w:rFonts w:ascii="Cambria" w:eastAsia="MS Mincho" w:hAnsi="Cambria" w:cs="Times New Roman"/>
          <w:i/>
          <w:iCs/>
          <w:noProof/>
          <w:sz w:val="20"/>
          <w:szCs w:val="24"/>
          <w:lang w:val="en-AU" w:eastAsia="en-ID"/>
        </w:rPr>
        <w:t>Nurse Education Today</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128</w:t>
      </w:r>
      <w:r w:rsidRPr="0002425C">
        <w:rPr>
          <w:rFonts w:ascii="Cambria" w:eastAsia="MS Mincho" w:hAnsi="Cambria" w:cs="Times New Roman"/>
          <w:noProof/>
          <w:sz w:val="20"/>
          <w:szCs w:val="24"/>
          <w:lang w:val="en-AU" w:eastAsia="en-ID"/>
        </w:rPr>
        <w:t xml:space="preserve">, 105872. </w:t>
      </w:r>
      <w:hyperlink r:id="rId142" w:history="1">
        <w:r w:rsidRPr="0002425C">
          <w:rPr>
            <w:rFonts w:ascii="Cambria" w:eastAsia="MS Mincho" w:hAnsi="Cambria" w:cs="Times New Roman"/>
            <w:noProof/>
            <w:color w:val="0000FF"/>
            <w:sz w:val="20"/>
            <w:szCs w:val="24"/>
            <w:u w:val="single"/>
            <w:lang w:val="en-AU" w:eastAsia="en-ID"/>
          </w:rPr>
          <w:t>https://doi.org/10.1016/j.nedt.2023.105872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Tegzes, J. H., King, S., Blue, A., &amp; Langlois, S. (2023). A Proposed Framework for Interprofessional Curriculum Integration. </w:t>
      </w:r>
      <w:r w:rsidRPr="0002425C">
        <w:rPr>
          <w:rFonts w:ascii="Cambria" w:eastAsia="MS Mincho" w:hAnsi="Cambria" w:cs="Times New Roman"/>
          <w:i/>
          <w:iCs/>
          <w:noProof/>
          <w:sz w:val="20"/>
          <w:szCs w:val="24"/>
          <w:lang w:val="en-AU" w:eastAsia="en-ID"/>
        </w:rPr>
        <w:t>Journal of Interprofessional Education &amp; Practice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31</w:t>
      </w:r>
      <w:r w:rsidRPr="0002425C">
        <w:rPr>
          <w:rFonts w:ascii="Cambria" w:eastAsia="MS Mincho" w:hAnsi="Cambria" w:cs="Times New Roman"/>
          <w:noProof/>
          <w:sz w:val="20"/>
          <w:szCs w:val="24"/>
          <w:lang w:val="en-AU" w:eastAsia="en-ID"/>
        </w:rPr>
        <w:t xml:space="preserve">, 100626. </w:t>
      </w:r>
      <w:hyperlink r:id="rId143" w:history="1">
        <w:r w:rsidRPr="0002425C">
          <w:rPr>
            <w:rFonts w:ascii="Cambria" w:eastAsia="MS Mincho" w:hAnsi="Cambria" w:cs="Times New Roman"/>
            <w:noProof/>
            <w:color w:val="0000FF"/>
            <w:sz w:val="20"/>
            <w:szCs w:val="24"/>
            <w:u w:val="single"/>
            <w:lang w:val="en-AU" w:eastAsia="en-ID"/>
          </w:rPr>
          <w:t>https://doi.org/10.1016/j.xjep.2023.100626</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Tong, D. H., Uyen, B. P., &amp; Van Anh Quoc, N. (2021). The improvement of 10th students’ mathematical communication skills through learning ellipse topics. </w:t>
      </w:r>
      <w:r w:rsidRPr="0002425C">
        <w:rPr>
          <w:rFonts w:ascii="Cambria" w:eastAsia="MS Mincho" w:hAnsi="Cambria" w:cs="Times New Roman"/>
          <w:i/>
          <w:iCs/>
          <w:noProof/>
          <w:sz w:val="20"/>
          <w:szCs w:val="24"/>
          <w:lang w:val="en-AU" w:eastAsia="en-ID"/>
        </w:rPr>
        <w:t>Heliyon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w:t>
      </w:r>
      <w:r w:rsidRPr="0002425C">
        <w:rPr>
          <w:rFonts w:ascii="Cambria" w:eastAsia="MS Mincho" w:hAnsi="Cambria" w:cs="Times New Roman"/>
          <w:noProof/>
          <w:sz w:val="20"/>
          <w:szCs w:val="24"/>
          <w:lang w:val="en-AU" w:eastAsia="en-ID"/>
        </w:rPr>
        <w:t xml:space="preserve">(11), e08282. </w:t>
      </w:r>
      <w:hyperlink r:id="rId144" w:history="1">
        <w:r w:rsidRPr="0002425C">
          <w:rPr>
            <w:rFonts w:ascii="Cambria" w:eastAsia="MS Mincho" w:hAnsi="Cambria" w:cs="Times New Roman"/>
            <w:noProof/>
            <w:color w:val="0000FF"/>
            <w:sz w:val="20"/>
            <w:szCs w:val="24"/>
            <w:u w:val="single"/>
            <w:lang w:val="en-AU" w:eastAsia="en-ID"/>
          </w:rPr>
          <w:t>https://doi.org/10.1016/j.heliyon.2021.e08282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Tüzün, H., Yılmaz-Soylu, M., Karakuş, T., İnal, Y., &amp; Kızılkaya, G. (2009). The effects of computer games on primary school students’ achievement and motivation in geography learning. </w:t>
      </w:r>
      <w:r w:rsidRPr="0002425C">
        <w:rPr>
          <w:rFonts w:ascii="Cambria" w:eastAsia="MS Mincho" w:hAnsi="Cambria" w:cs="Times New Roman"/>
          <w:i/>
          <w:iCs/>
          <w:noProof/>
          <w:sz w:val="20"/>
          <w:szCs w:val="24"/>
          <w:lang w:val="en-AU" w:eastAsia="en-ID"/>
        </w:rPr>
        <w:t>Computers &amp;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52</w:t>
      </w:r>
      <w:r w:rsidRPr="0002425C">
        <w:rPr>
          <w:rFonts w:ascii="Cambria" w:eastAsia="MS Mincho" w:hAnsi="Cambria" w:cs="Times New Roman"/>
          <w:noProof/>
          <w:sz w:val="20"/>
          <w:szCs w:val="24"/>
          <w:lang w:val="en-AU" w:eastAsia="en-ID"/>
        </w:rPr>
        <w:t xml:space="preserve">(1), 68–77. </w:t>
      </w:r>
      <w:hyperlink r:id="rId145" w:history="1">
        <w:r w:rsidRPr="0002425C">
          <w:rPr>
            <w:rFonts w:ascii="Cambria" w:eastAsia="MS Mincho" w:hAnsi="Cambria" w:cs="Times New Roman"/>
            <w:noProof/>
            <w:color w:val="0000FF"/>
            <w:sz w:val="20"/>
            <w:szCs w:val="24"/>
            <w:u w:val="single"/>
            <w:lang w:val="en-AU" w:eastAsia="en-ID"/>
          </w:rPr>
          <w:t>https://doi.org/10.1016/j.compedu.2008.06.008</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van Hek, M., &amp; Kraaykamp, G. (2023). Why Jane likes to read and John does not. How parents and schools stimulate girls’ and boys’ intrinsic reading motivation. </w:t>
      </w:r>
      <w:r w:rsidRPr="0002425C">
        <w:rPr>
          <w:rFonts w:ascii="Cambria" w:eastAsia="MS Mincho" w:hAnsi="Cambria" w:cs="Times New Roman"/>
          <w:i/>
          <w:iCs/>
          <w:noProof/>
          <w:sz w:val="20"/>
          <w:szCs w:val="24"/>
          <w:lang w:val="en-AU" w:eastAsia="en-ID"/>
        </w:rPr>
        <w:t>Poetics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101</w:t>
      </w:r>
      <w:r w:rsidRPr="0002425C">
        <w:rPr>
          <w:rFonts w:ascii="Cambria" w:eastAsia="MS Mincho" w:hAnsi="Cambria" w:cs="Times New Roman"/>
          <w:noProof/>
          <w:sz w:val="20"/>
          <w:szCs w:val="24"/>
          <w:lang w:val="en-AU" w:eastAsia="en-ID"/>
        </w:rPr>
        <w:t xml:space="preserve">, 101828. </w:t>
      </w:r>
      <w:hyperlink r:id="rId146" w:history="1">
        <w:r w:rsidRPr="0002425C">
          <w:rPr>
            <w:rFonts w:ascii="Cambria" w:eastAsia="MS Mincho" w:hAnsi="Cambria" w:cs="Times New Roman"/>
            <w:noProof/>
            <w:color w:val="0000FF"/>
            <w:sz w:val="20"/>
            <w:szCs w:val="24"/>
            <w:u w:val="single"/>
            <w:lang w:val="en-AU" w:eastAsia="en-ID"/>
          </w:rPr>
          <w:t>https://doi.org/10.1016/j.poetic.2023.101828</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Vistari, L. (2023). Technology-Based Education in the 21St Century. </w:t>
      </w:r>
      <w:r w:rsidRPr="0002425C">
        <w:rPr>
          <w:rFonts w:ascii="Cambria" w:eastAsia="MS Mincho" w:hAnsi="Cambria" w:cs="Times New Roman"/>
          <w:i/>
          <w:iCs/>
          <w:noProof/>
          <w:sz w:val="20"/>
          <w:szCs w:val="24"/>
          <w:lang w:val="en-AU" w:eastAsia="en-ID"/>
        </w:rPr>
        <w:t>UNNES-TEFLIN National Conference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5</w:t>
      </w:r>
      <w:r w:rsidRPr="0002425C">
        <w:rPr>
          <w:rFonts w:ascii="Cambria" w:eastAsia="MS Mincho" w:hAnsi="Cambria" w:cs="Times New Roman"/>
          <w:noProof/>
          <w:sz w:val="20"/>
          <w:szCs w:val="24"/>
          <w:lang w:val="en-AU" w:eastAsia="en-ID"/>
        </w:rPr>
        <w:t>, 434–442.</w:t>
      </w:r>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Vong, S. A., &amp; Kaewurai, W. (2017). Instructional model development to enhance critical thinking and critical thinking teaching ability of trainee students at regional teaching training center in Takeo province, Cambodia. </w:t>
      </w:r>
      <w:r w:rsidRPr="0002425C">
        <w:rPr>
          <w:rFonts w:ascii="Cambria" w:eastAsia="MS Mincho" w:hAnsi="Cambria" w:cs="Times New Roman"/>
          <w:i/>
          <w:iCs/>
          <w:noProof/>
          <w:sz w:val="20"/>
          <w:szCs w:val="24"/>
          <w:lang w:val="en-AU" w:eastAsia="en-ID"/>
        </w:rPr>
        <w:t>Kasetsart Journal of Social Sciences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38</w:t>
      </w:r>
      <w:r w:rsidRPr="0002425C">
        <w:rPr>
          <w:rFonts w:ascii="Cambria" w:eastAsia="MS Mincho" w:hAnsi="Cambria" w:cs="Times New Roman"/>
          <w:noProof/>
          <w:sz w:val="20"/>
          <w:szCs w:val="24"/>
          <w:lang w:val="en-AU" w:eastAsia="en-ID"/>
        </w:rPr>
        <w:t xml:space="preserve">(1), 88–95. </w:t>
      </w:r>
      <w:hyperlink r:id="rId147" w:history="1">
        <w:r w:rsidRPr="0002425C">
          <w:rPr>
            <w:rFonts w:ascii="Cambria" w:eastAsia="MS Mincho" w:hAnsi="Cambria" w:cs="Times New Roman"/>
            <w:noProof/>
            <w:color w:val="0000FF"/>
            <w:sz w:val="20"/>
            <w:szCs w:val="24"/>
            <w:u w:val="single"/>
            <w:lang w:val="en-AU" w:eastAsia="en-ID"/>
          </w:rPr>
          <w:t>https://doi.org/10.1016/j.kjss.2016.05.002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Wang, D., Donohue, R., Guo, F., Yang, M., &amp; Luu, T. (2024). A paradox theory lens for developing cross-cultural competence: Mindset, behavior, and work design. </w:t>
      </w:r>
      <w:r w:rsidRPr="0002425C">
        <w:rPr>
          <w:rFonts w:ascii="Cambria" w:eastAsia="MS Mincho" w:hAnsi="Cambria" w:cs="Times New Roman"/>
          <w:i/>
          <w:iCs/>
          <w:noProof/>
          <w:sz w:val="20"/>
          <w:szCs w:val="24"/>
          <w:lang w:val="en-AU" w:eastAsia="en-ID"/>
        </w:rPr>
        <w:t>Journal of Business Research</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177</w:t>
      </w:r>
      <w:r w:rsidRPr="0002425C">
        <w:rPr>
          <w:rFonts w:ascii="Cambria" w:eastAsia="MS Mincho" w:hAnsi="Cambria" w:cs="Times New Roman"/>
          <w:noProof/>
          <w:sz w:val="20"/>
          <w:szCs w:val="24"/>
          <w:lang w:val="en-AU" w:eastAsia="en-ID"/>
        </w:rPr>
        <w:t xml:space="preserve">, 114645. </w:t>
      </w:r>
      <w:hyperlink r:id="rId148" w:history="1">
        <w:r w:rsidRPr="0002425C">
          <w:rPr>
            <w:rFonts w:ascii="Cambria" w:eastAsia="MS Mincho" w:hAnsi="Cambria" w:cs="Times New Roman"/>
            <w:noProof/>
            <w:color w:val="0000FF"/>
            <w:sz w:val="20"/>
            <w:szCs w:val="24"/>
            <w:u w:val="single"/>
            <w:lang w:val="en-AU" w:eastAsia="en-ID"/>
          </w:rPr>
          <w:t>https://doi.org/10.1016/j.jbusres.2024.114645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Wang, Y., Arslan-Ari, I., &amp; Hao, L. (2022). “Strategies are more important than words:” A case study of adult English Learners’ disciplinary reading. </w:t>
      </w:r>
      <w:r w:rsidRPr="0002425C">
        <w:rPr>
          <w:rFonts w:ascii="Cambria" w:eastAsia="MS Mincho" w:hAnsi="Cambria" w:cs="Times New Roman"/>
          <w:i/>
          <w:iCs/>
          <w:noProof/>
          <w:sz w:val="20"/>
          <w:szCs w:val="24"/>
          <w:lang w:val="en-AU" w:eastAsia="en-ID"/>
        </w:rPr>
        <w:t>Journal of English for Academic Purposes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60</w:t>
      </w:r>
      <w:r w:rsidRPr="0002425C">
        <w:rPr>
          <w:rFonts w:ascii="Cambria" w:eastAsia="MS Mincho" w:hAnsi="Cambria" w:cs="Times New Roman"/>
          <w:noProof/>
          <w:sz w:val="20"/>
          <w:szCs w:val="24"/>
          <w:lang w:val="en-AU" w:eastAsia="en-ID"/>
        </w:rPr>
        <w:t xml:space="preserve">, 101182. </w:t>
      </w:r>
      <w:hyperlink r:id="rId149" w:history="1">
        <w:r w:rsidRPr="0002425C">
          <w:rPr>
            <w:rFonts w:ascii="Cambria" w:eastAsia="MS Mincho" w:hAnsi="Cambria" w:cs="Times New Roman"/>
            <w:noProof/>
            <w:color w:val="0000FF"/>
            <w:sz w:val="20"/>
            <w:szCs w:val="24"/>
            <w:u w:val="single"/>
            <w:lang w:val="en-AU" w:eastAsia="en-ID"/>
          </w:rPr>
          <w:t>https://doi.org/10.1016/j.jeap.2022.101182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Wati, M., &amp; Anggraini, W. (2019). Strategi Pembelajaran Kooperatif Tipe Jigsaw: Pengaruhnya Terhadap Kemampuan Berpikir Kritis Siswa. </w:t>
      </w:r>
      <w:r w:rsidRPr="0002425C">
        <w:rPr>
          <w:rFonts w:ascii="Cambria" w:eastAsia="MS Mincho" w:hAnsi="Cambria" w:cs="Times New Roman"/>
          <w:i/>
          <w:iCs/>
          <w:noProof/>
          <w:sz w:val="20"/>
          <w:szCs w:val="24"/>
          <w:lang w:val="en-AU" w:eastAsia="en-ID"/>
        </w:rPr>
        <w:t>Indonesian Journal of Science and Mathematics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w:t>
      </w:r>
      <w:r w:rsidRPr="0002425C">
        <w:rPr>
          <w:rFonts w:ascii="Cambria" w:eastAsia="MS Mincho" w:hAnsi="Cambria" w:cs="Times New Roman"/>
          <w:noProof/>
          <w:sz w:val="20"/>
          <w:szCs w:val="24"/>
          <w:lang w:val="en-AU" w:eastAsia="en-ID"/>
        </w:rPr>
        <w:t>(1), 98–106. https://doi.org/10.24042/ijsme.v2i1.3976</w:t>
      </w:r>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Wen, X., &amp; Walters, S. M. (2022). The Impact of Technology on Students’ Writing Performances in Elementary Classrooms: A Meta-Analysis. </w:t>
      </w:r>
      <w:r w:rsidRPr="0002425C">
        <w:rPr>
          <w:rFonts w:ascii="Cambria" w:eastAsia="MS Mincho" w:hAnsi="Cambria" w:cs="Times New Roman"/>
          <w:i/>
          <w:iCs/>
          <w:noProof/>
          <w:sz w:val="20"/>
          <w:szCs w:val="24"/>
          <w:lang w:val="en-AU" w:eastAsia="en-ID"/>
        </w:rPr>
        <w:t>Computers and Education Open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3</w:t>
      </w:r>
      <w:r w:rsidRPr="0002425C">
        <w:rPr>
          <w:rFonts w:ascii="Cambria" w:eastAsia="MS Mincho" w:hAnsi="Cambria" w:cs="Times New Roman"/>
          <w:noProof/>
          <w:sz w:val="20"/>
          <w:szCs w:val="24"/>
          <w:lang w:val="en-AU" w:eastAsia="en-ID"/>
        </w:rPr>
        <w:t xml:space="preserve">, 100082. </w:t>
      </w:r>
      <w:hyperlink r:id="rId150" w:history="1">
        <w:r w:rsidRPr="0002425C">
          <w:rPr>
            <w:rFonts w:ascii="Cambria" w:eastAsia="MS Mincho" w:hAnsi="Cambria" w:cs="Times New Roman"/>
            <w:noProof/>
            <w:color w:val="0000FF"/>
            <w:sz w:val="20"/>
            <w:szCs w:val="24"/>
            <w:u w:val="single"/>
            <w:lang w:val="en-AU" w:eastAsia="en-ID"/>
          </w:rPr>
          <w:t>https://doi.org/10.1016/j.caeo.2022.100082</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Wiziack, J. C., &amp; dos Santos, V. M. P. D. (2021). Evaluating an integrated cognitive competencies model to enhance teachers’ application of technology in large-scale educational contexts. </w:t>
      </w:r>
      <w:r w:rsidRPr="0002425C">
        <w:rPr>
          <w:rFonts w:ascii="Cambria" w:eastAsia="MS Mincho" w:hAnsi="Cambria" w:cs="Times New Roman"/>
          <w:i/>
          <w:iCs/>
          <w:noProof/>
          <w:sz w:val="20"/>
          <w:szCs w:val="24"/>
          <w:lang w:val="en-AU" w:eastAsia="en-ID"/>
        </w:rPr>
        <w:t>Heliyon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7</w:t>
      </w:r>
      <w:r w:rsidRPr="0002425C">
        <w:rPr>
          <w:rFonts w:ascii="Cambria" w:eastAsia="MS Mincho" w:hAnsi="Cambria" w:cs="Times New Roman"/>
          <w:noProof/>
          <w:sz w:val="20"/>
          <w:szCs w:val="24"/>
          <w:lang w:val="en-AU" w:eastAsia="en-ID"/>
        </w:rPr>
        <w:t xml:space="preserve">(1), e05928. </w:t>
      </w:r>
      <w:hyperlink r:id="rId151" w:history="1">
        <w:r w:rsidRPr="0002425C">
          <w:rPr>
            <w:rFonts w:ascii="Cambria" w:eastAsia="MS Mincho" w:hAnsi="Cambria" w:cs="Times New Roman"/>
            <w:noProof/>
            <w:color w:val="0000FF"/>
            <w:sz w:val="20"/>
            <w:szCs w:val="24"/>
            <w:u w:val="single"/>
            <w:lang w:val="en-AU" w:eastAsia="en-ID"/>
          </w:rPr>
          <w:t>https://doi.org/10.1016/j.heliyon.2021.e05928</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Woods, P. J., &amp; Copur-Gencturk, Y. (2024). Examining the role of student-centered versus teacher-centered pedagogical approaches to self-directed learning through teaching. </w:t>
      </w:r>
      <w:r w:rsidRPr="0002425C">
        <w:rPr>
          <w:rFonts w:ascii="Cambria" w:eastAsia="MS Mincho" w:hAnsi="Cambria" w:cs="Times New Roman"/>
          <w:i/>
          <w:iCs/>
          <w:noProof/>
          <w:sz w:val="20"/>
          <w:szCs w:val="24"/>
          <w:lang w:val="en-AU" w:eastAsia="en-ID"/>
        </w:rPr>
        <w:t>Teaching and Teacher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138</w:t>
      </w:r>
      <w:r w:rsidRPr="0002425C">
        <w:rPr>
          <w:rFonts w:ascii="Cambria" w:eastAsia="MS Mincho" w:hAnsi="Cambria" w:cs="Times New Roman"/>
          <w:noProof/>
          <w:sz w:val="20"/>
          <w:szCs w:val="24"/>
          <w:lang w:val="en-AU" w:eastAsia="en-ID"/>
        </w:rPr>
        <w:t xml:space="preserve">, 104415. </w:t>
      </w:r>
      <w:hyperlink r:id="rId152" w:history="1">
        <w:r w:rsidRPr="0002425C">
          <w:rPr>
            <w:rFonts w:ascii="Cambria" w:eastAsia="MS Mincho" w:hAnsi="Cambria" w:cs="Times New Roman"/>
            <w:noProof/>
            <w:color w:val="0000FF"/>
            <w:sz w:val="20"/>
            <w:szCs w:val="24"/>
            <w:u w:val="single"/>
            <w:lang w:val="en-AU" w:eastAsia="en-ID"/>
          </w:rPr>
          <w:t>https://doi.org/10.1016/j.tate.2023.104415</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Wu, L., Valcke, M., &amp; Van Keer, H. (2023). Differential effects of reading strategy intervention for three levels of comprehenders: Focus on text comprehension and autonomous reading motivation. </w:t>
      </w:r>
      <w:r w:rsidRPr="0002425C">
        <w:rPr>
          <w:rFonts w:ascii="Cambria" w:eastAsia="MS Mincho" w:hAnsi="Cambria" w:cs="Times New Roman"/>
          <w:i/>
          <w:iCs/>
          <w:noProof/>
          <w:sz w:val="20"/>
          <w:szCs w:val="24"/>
          <w:lang w:val="en-AU" w:eastAsia="en-ID"/>
        </w:rPr>
        <w:t>Learning and Individual Differences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104</w:t>
      </w:r>
      <w:r w:rsidRPr="0002425C">
        <w:rPr>
          <w:rFonts w:ascii="Cambria" w:eastAsia="MS Mincho" w:hAnsi="Cambria" w:cs="Times New Roman"/>
          <w:noProof/>
          <w:sz w:val="20"/>
          <w:szCs w:val="24"/>
          <w:lang w:val="en-AU" w:eastAsia="en-ID"/>
        </w:rPr>
        <w:t xml:space="preserve">, 102290. </w:t>
      </w:r>
      <w:hyperlink r:id="rId153" w:history="1">
        <w:r w:rsidRPr="0002425C">
          <w:rPr>
            <w:rFonts w:ascii="Cambria" w:eastAsia="MS Mincho" w:hAnsi="Cambria" w:cs="Times New Roman"/>
            <w:noProof/>
            <w:color w:val="0000FF"/>
            <w:sz w:val="20"/>
            <w:szCs w:val="24"/>
            <w:u w:val="single"/>
            <w:lang w:val="en-AU" w:eastAsia="en-ID"/>
          </w:rPr>
          <w:t>https://doi.org/10.1016/j.lindif.2023.102290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Wu, Y. J., &amp; Chen, J.-C. (2021). Stimulating innovation with an innovative curriculum: A curriculum design for a course on new product development. </w:t>
      </w:r>
      <w:r w:rsidRPr="0002425C">
        <w:rPr>
          <w:rFonts w:ascii="Cambria" w:eastAsia="MS Mincho" w:hAnsi="Cambria" w:cs="Times New Roman"/>
          <w:i/>
          <w:iCs/>
          <w:noProof/>
          <w:sz w:val="20"/>
          <w:szCs w:val="24"/>
          <w:lang w:val="en-AU" w:eastAsia="en-ID"/>
        </w:rPr>
        <w:t>The International Journal of Management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19</w:t>
      </w:r>
      <w:r w:rsidRPr="0002425C">
        <w:rPr>
          <w:rFonts w:ascii="Cambria" w:eastAsia="MS Mincho" w:hAnsi="Cambria" w:cs="Times New Roman"/>
          <w:noProof/>
          <w:sz w:val="20"/>
          <w:szCs w:val="24"/>
          <w:lang w:val="en-AU" w:eastAsia="en-ID"/>
        </w:rPr>
        <w:t xml:space="preserve">(3), 100561. </w:t>
      </w:r>
      <w:hyperlink r:id="rId154" w:history="1">
        <w:r w:rsidRPr="0002425C">
          <w:rPr>
            <w:rFonts w:ascii="Cambria" w:eastAsia="MS Mincho" w:hAnsi="Cambria" w:cs="Times New Roman"/>
            <w:noProof/>
            <w:color w:val="0000FF"/>
            <w:sz w:val="20"/>
            <w:szCs w:val="24"/>
            <w:u w:val="single"/>
            <w:lang w:val="en-AU" w:eastAsia="en-ID"/>
          </w:rPr>
          <w:t>https://doi.org/10.1016/j.ijme.2021.100561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Yu, S.-J., Hsueh, Y.-L., Sun, J. C.-Y., &amp; Liu, H.-Z. (2021). Developing an intelligent virtual reality interactive system based on the ADDIE model for learning pour-over coffee brewing. </w:t>
      </w:r>
      <w:r w:rsidRPr="0002425C">
        <w:rPr>
          <w:rFonts w:ascii="Cambria" w:eastAsia="MS Mincho" w:hAnsi="Cambria" w:cs="Times New Roman"/>
          <w:i/>
          <w:iCs/>
          <w:noProof/>
          <w:sz w:val="20"/>
          <w:szCs w:val="24"/>
          <w:lang w:val="en-AU" w:eastAsia="en-ID"/>
        </w:rPr>
        <w:t>Computers and Education: Artificial Intelligence</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w:t>
      </w:r>
      <w:r w:rsidRPr="0002425C">
        <w:rPr>
          <w:rFonts w:ascii="Cambria" w:eastAsia="MS Mincho" w:hAnsi="Cambria" w:cs="Times New Roman"/>
          <w:noProof/>
          <w:sz w:val="20"/>
          <w:szCs w:val="24"/>
          <w:lang w:val="en-AU" w:eastAsia="en-ID"/>
        </w:rPr>
        <w:t>, 100030.</w:t>
      </w:r>
      <w:hyperlink r:id="rId155" w:history="1">
        <w:r w:rsidRPr="0002425C">
          <w:rPr>
            <w:rFonts w:ascii="Cambria" w:eastAsia="MS Mincho" w:hAnsi="Cambria" w:cs="Times New Roman"/>
            <w:noProof/>
            <w:color w:val="0000FF"/>
            <w:sz w:val="20"/>
            <w:szCs w:val="24"/>
            <w:u w:val="single"/>
            <w:lang w:val="en-AU" w:eastAsia="en-ID"/>
          </w:rPr>
          <w:t xml:space="preserve"> https://doi.org/10.1016/j.caeai.2021.100030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Yulihendri, C., &amp; Evanita, S. (2023). Pengembangan Bahan Ajar Digital Pada Mata Pelajaran Projek Kreatif. </w:t>
      </w:r>
      <w:r w:rsidRPr="0002425C">
        <w:rPr>
          <w:rFonts w:ascii="Cambria" w:eastAsia="MS Mincho" w:hAnsi="Cambria" w:cs="Times New Roman"/>
          <w:i/>
          <w:iCs/>
          <w:noProof/>
          <w:sz w:val="20"/>
          <w:szCs w:val="24"/>
          <w:lang w:val="en-AU" w:eastAsia="en-ID"/>
        </w:rPr>
        <w:lastRenderedPageBreak/>
        <w:t>Jurnal Penelitian Pendidikan IPA</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9</w:t>
      </w:r>
      <w:r w:rsidRPr="0002425C">
        <w:rPr>
          <w:rFonts w:ascii="Cambria" w:eastAsia="MS Mincho" w:hAnsi="Cambria" w:cs="Times New Roman"/>
          <w:noProof/>
          <w:sz w:val="20"/>
          <w:szCs w:val="24"/>
          <w:lang w:val="en-AU" w:eastAsia="en-ID"/>
        </w:rPr>
        <w:t xml:space="preserve">(12), 12049–12055. </w:t>
      </w:r>
      <w:hyperlink r:id="rId156" w:history="1">
        <w:r w:rsidRPr="0002425C">
          <w:rPr>
            <w:rFonts w:ascii="Cambria" w:eastAsia="MS Mincho" w:hAnsi="Cambria" w:cs="Times New Roman"/>
            <w:noProof/>
            <w:color w:val="0000FF"/>
            <w:sz w:val="20"/>
            <w:szCs w:val="24"/>
            <w:u w:val="single"/>
            <w:lang w:val="en-AU" w:eastAsia="en-ID"/>
          </w:rPr>
          <w:t>https://doi.org/10.29303/jppipa.v9i12.5267</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Zhang, D., &amp; Pérez-Paredes, P. (2024). Chinese EFL learners’ use of mobile dictionaries in reading comprehension tasks. </w:t>
      </w:r>
      <w:r w:rsidRPr="0002425C">
        <w:rPr>
          <w:rFonts w:ascii="Cambria" w:eastAsia="MS Mincho" w:hAnsi="Cambria" w:cs="Times New Roman"/>
          <w:i/>
          <w:iCs/>
          <w:noProof/>
          <w:sz w:val="20"/>
          <w:szCs w:val="24"/>
          <w:lang w:val="en-AU" w:eastAsia="en-ID"/>
        </w:rPr>
        <w:t>System</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121</w:t>
      </w:r>
      <w:r w:rsidRPr="0002425C">
        <w:rPr>
          <w:rFonts w:ascii="Cambria" w:eastAsia="MS Mincho" w:hAnsi="Cambria" w:cs="Times New Roman"/>
          <w:noProof/>
          <w:sz w:val="20"/>
          <w:szCs w:val="24"/>
          <w:lang w:val="en-AU" w:eastAsia="en-ID"/>
        </w:rPr>
        <w:t xml:space="preserve">, 103221. </w:t>
      </w:r>
      <w:hyperlink r:id="rId157" w:history="1">
        <w:r w:rsidRPr="0002425C">
          <w:rPr>
            <w:rFonts w:ascii="Cambria" w:eastAsia="MS Mincho" w:hAnsi="Cambria" w:cs="Times New Roman"/>
            <w:noProof/>
            <w:color w:val="0000FF"/>
            <w:sz w:val="20"/>
            <w:szCs w:val="24"/>
            <w:u w:val="single"/>
            <w:lang w:val="en-AU" w:eastAsia="en-ID"/>
          </w:rPr>
          <w:t>https://doi.org/10.1016/j.system.2024.103221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Zhang, Z.-J., Yang, J.-B., &amp; Xu, D.-L. (1989). A Hierarchical Analysis Model for Multiobjective Decisionmaking. </w:t>
      </w:r>
      <w:r w:rsidRPr="0002425C">
        <w:rPr>
          <w:rFonts w:ascii="Cambria" w:eastAsia="MS Mincho" w:hAnsi="Cambria" w:cs="Times New Roman"/>
          <w:i/>
          <w:iCs/>
          <w:noProof/>
          <w:sz w:val="20"/>
          <w:szCs w:val="24"/>
          <w:lang w:val="en-AU" w:eastAsia="en-ID"/>
        </w:rPr>
        <w:t>IFAC Proceedings Volumes</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22</w:t>
      </w:r>
      <w:r w:rsidRPr="0002425C">
        <w:rPr>
          <w:rFonts w:ascii="Cambria" w:eastAsia="MS Mincho" w:hAnsi="Cambria" w:cs="Times New Roman"/>
          <w:noProof/>
          <w:sz w:val="20"/>
          <w:szCs w:val="24"/>
          <w:lang w:val="en-AU" w:eastAsia="en-ID"/>
        </w:rPr>
        <w:t>(12), 13–18.</w:t>
      </w:r>
      <w:hyperlink r:id="rId158" w:history="1">
        <w:r w:rsidRPr="0002425C">
          <w:rPr>
            <w:rFonts w:ascii="Cambria" w:eastAsia="MS Mincho" w:hAnsi="Cambria" w:cs="Times New Roman"/>
            <w:noProof/>
            <w:color w:val="0000FF"/>
            <w:sz w:val="20"/>
            <w:szCs w:val="24"/>
            <w:u w:val="single"/>
            <w:lang w:val="en-AU" w:eastAsia="en-ID"/>
          </w:rPr>
          <w:t xml:space="preserve"> https://doi.org/10.1016/S1474-6670(17)53048-7</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Zhong, Y., Guo, K., Su, J., &amp; Chu, S. K. W. (2022). The impact of esports participation on the development of 21st century skills in youth: A systematic review. </w:t>
      </w:r>
      <w:r w:rsidRPr="0002425C">
        <w:rPr>
          <w:rFonts w:ascii="Cambria" w:eastAsia="MS Mincho" w:hAnsi="Cambria" w:cs="Times New Roman"/>
          <w:i/>
          <w:iCs/>
          <w:noProof/>
          <w:sz w:val="20"/>
          <w:szCs w:val="24"/>
          <w:lang w:val="en-AU" w:eastAsia="en-ID"/>
        </w:rPr>
        <w:t>Computers &amp;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191</w:t>
      </w:r>
      <w:r w:rsidRPr="0002425C">
        <w:rPr>
          <w:rFonts w:ascii="Cambria" w:eastAsia="MS Mincho" w:hAnsi="Cambria" w:cs="Times New Roman"/>
          <w:noProof/>
          <w:sz w:val="20"/>
          <w:szCs w:val="24"/>
          <w:lang w:val="en-AU" w:eastAsia="en-ID"/>
        </w:rPr>
        <w:t xml:space="preserve">, 104640. </w:t>
      </w:r>
      <w:hyperlink r:id="rId159" w:history="1">
        <w:r w:rsidRPr="0002425C">
          <w:rPr>
            <w:rFonts w:ascii="Cambria" w:eastAsia="MS Mincho" w:hAnsi="Cambria" w:cs="Times New Roman"/>
            <w:noProof/>
            <w:color w:val="0000FF"/>
            <w:sz w:val="20"/>
            <w:szCs w:val="24"/>
            <w:u w:val="single"/>
            <w:lang w:val="en-AU" w:eastAsia="en-ID"/>
          </w:rPr>
          <w:t>https://doi.org/10.1016/j.compedu.2022.104640</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Zhou, Y., Feinman, R., &amp; Lake, B. M. (2024). Compositional diversity in visual concept learning. </w:t>
      </w:r>
      <w:r w:rsidRPr="0002425C">
        <w:rPr>
          <w:rFonts w:ascii="Cambria" w:eastAsia="MS Mincho" w:hAnsi="Cambria" w:cs="Times New Roman"/>
          <w:i/>
          <w:iCs/>
          <w:noProof/>
          <w:sz w:val="20"/>
          <w:szCs w:val="24"/>
          <w:lang w:val="en-AU" w:eastAsia="en-ID"/>
        </w:rPr>
        <w:t>Cognition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244</w:t>
      </w:r>
      <w:r w:rsidRPr="0002425C">
        <w:rPr>
          <w:rFonts w:ascii="Cambria" w:eastAsia="MS Mincho" w:hAnsi="Cambria" w:cs="Times New Roman"/>
          <w:noProof/>
          <w:sz w:val="20"/>
          <w:szCs w:val="24"/>
          <w:lang w:val="en-AU" w:eastAsia="en-ID"/>
        </w:rPr>
        <w:t xml:space="preserve">, 105711. </w:t>
      </w:r>
      <w:hyperlink r:id="rId160" w:history="1">
        <w:r w:rsidRPr="0002425C">
          <w:rPr>
            <w:rFonts w:ascii="Cambria" w:eastAsia="MS Mincho" w:hAnsi="Cambria" w:cs="Times New Roman"/>
            <w:noProof/>
            <w:color w:val="0000FF"/>
            <w:sz w:val="20"/>
            <w:szCs w:val="24"/>
            <w:u w:val="single"/>
            <w:lang w:val="en-AU" w:eastAsia="en-ID"/>
          </w:rPr>
          <w:t>https://doi.org/10.1016/j.cognition.2023.105711</w:t>
        </w:r>
      </w:hyperlink>
    </w:p>
    <w:p w:rsidR="0002425C" w:rsidRPr="0002425C" w:rsidRDefault="0002425C" w:rsidP="0002425C">
      <w:pPr>
        <w:widowControl w:val="0"/>
        <w:autoSpaceDE w:val="0"/>
        <w:autoSpaceDN w:val="0"/>
        <w:adjustRightInd w:val="0"/>
        <w:spacing w:after="0" w:line="240" w:lineRule="auto"/>
        <w:ind w:left="480" w:hanging="480"/>
        <w:jc w:val="both"/>
        <w:rPr>
          <w:rFonts w:ascii="Cambria" w:eastAsia="MS Mincho" w:hAnsi="Cambria" w:cs="Times New Roman"/>
          <w:noProof/>
          <w:sz w:val="20"/>
          <w:szCs w:val="24"/>
          <w:lang w:val="en-AU" w:eastAsia="en-ID"/>
        </w:rPr>
      </w:pPr>
      <w:r w:rsidRPr="0002425C">
        <w:rPr>
          <w:rFonts w:ascii="Cambria" w:eastAsia="MS Mincho" w:hAnsi="Cambria" w:cs="Times New Roman"/>
          <w:noProof/>
          <w:sz w:val="20"/>
          <w:szCs w:val="24"/>
          <w:lang w:val="en-AU" w:eastAsia="en-ID"/>
        </w:rPr>
        <w:t xml:space="preserve">Zhu, X., Shui, H., &amp; Chen, B. (2023). Beyond reading together: Facilitating knowledge construction through participation roles and social annotation in college classrooms. </w:t>
      </w:r>
      <w:r w:rsidRPr="0002425C">
        <w:rPr>
          <w:rFonts w:ascii="Cambria" w:eastAsia="MS Mincho" w:hAnsi="Cambria" w:cs="Times New Roman"/>
          <w:i/>
          <w:iCs/>
          <w:noProof/>
          <w:sz w:val="20"/>
          <w:szCs w:val="24"/>
          <w:lang w:val="en-AU" w:eastAsia="en-ID"/>
        </w:rPr>
        <w:t>The Internet and Higher Education</w:t>
      </w:r>
      <w:r w:rsidRPr="0002425C">
        <w:rPr>
          <w:rFonts w:ascii="Cambria" w:eastAsia="MS Mincho" w:hAnsi="Cambria" w:cs="Times New Roman"/>
          <w:noProof/>
          <w:sz w:val="20"/>
          <w:szCs w:val="24"/>
          <w:lang w:val="en-AU" w:eastAsia="en-ID"/>
        </w:rPr>
        <w:t xml:space="preserve">, </w:t>
      </w:r>
      <w:r w:rsidRPr="0002425C">
        <w:rPr>
          <w:rFonts w:ascii="Cambria" w:eastAsia="MS Mincho" w:hAnsi="Cambria" w:cs="Times New Roman"/>
          <w:i/>
          <w:iCs/>
          <w:noProof/>
          <w:sz w:val="20"/>
          <w:szCs w:val="24"/>
          <w:lang w:val="en-AU" w:eastAsia="en-ID"/>
        </w:rPr>
        <w:t>59</w:t>
      </w:r>
      <w:r w:rsidRPr="0002425C">
        <w:rPr>
          <w:rFonts w:ascii="Cambria" w:eastAsia="MS Mincho" w:hAnsi="Cambria" w:cs="Times New Roman"/>
          <w:noProof/>
          <w:sz w:val="20"/>
          <w:szCs w:val="24"/>
          <w:lang w:val="en-AU" w:eastAsia="en-ID"/>
        </w:rPr>
        <w:t xml:space="preserve">, 100919. </w:t>
      </w:r>
      <w:hyperlink r:id="rId161" w:history="1">
        <w:r w:rsidRPr="0002425C">
          <w:rPr>
            <w:rFonts w:ascii="Cambria" w:eastAsia="MS Mincho" w:hAnsi="Cambria" w:cs="Times New Roman"/>
            <w:noProof/>
            <w:color w:val="0000FF"/>
            <w:sz w:val="20"/>
            <w:szCs w:val="24"/>
            <w:u w:val="single"/>
            <w:lang w:val="en-AU" w:eastAsia="en-ID"/>
          </w:rPr>
          <w:t>https://doi.org/10.1016/j.iheduc.2023.100919</w:t>
        </w:r>
      </w:hyperlink>
    </w:p>
    <w:p w:rsidR="00143989" w:rsidRPr="00723B12" w:rsidRDefault="002B31FD" w:rsidP="0002425C">
      <w:pPr>
        <w:pStyle w:val="Alishlah71References"/>
      </w:pPr>
      <w:r>
        <w:fldChar w:fldCharType="end"/>
      </w:r>
    </w:p>
    <w:sectPr w:rsidR="00143989" w:rsidRPr="00723B12" w:rsidSect="001914CF">
      <w:headerReference w:type="default" r:id="rId162"/>
      <w:footerReference w:type="default" r:id="rId163"/>
      <w:headerReference w:type="first" r:id="rId164"/>
      <w:footerReference w:type="first" r:id="rId16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51E" w:rsidRDefault="0081651E" w:rsidP="008E64A2">
      <w:pPr>
        <w:spacing w:after="0" w:line="240" w:lineRule="auto"/>
      </w:pPr>
      <w:r>
        <w:separator/>
      </w:r>
    </w:p>
    <w:p w:rsidR="0081651E" w:rsidRDefault="0081651E"/>
  </w:endnote>
  <w:endnote w:type="continuationSeparator" w:id="0">
    <w:p w:rsidR="0081651E" w:rsidRDefault="0081651E" w:rsidP="008E64A2">
      <w:pPr>
        <w:spacing w:after="0" w:line="240" w:lineRule="auto"/>
      </w:pPr>
      <w:r>
        <w:continuationSeparator/>
      </w:r>
    </w:p>
    <w:p w:rsidR="0081651E" w:rsidRDefault="00816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E2E" w:rsidRPr="00727D5A" w:rsidRDefault="00294E2E"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E2E" w:rsidRPr="00EE35A7" w:rsidRDefault="00294E2E"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51E" w:rsidRDefault="0081651E" w:rsidP="008E64A2">
      <w:pPr>
        <w:spacing w:after="0" w:line="240" w:lineRule="auto"/>
      </w:pPr>
      <w:r>
        <w:separator/>
      </w:r>
    </w:p>
    <w:p w:rsidR="0081651E" w:rsidRDefault="0081651E"/>
  </w:footnote>
  <w:footnote w:type="continuationSeparator" w:id="0">
    <w:p w:rsidR="0081651E" w:rsidRDefault="0081651E" w:rsidP="008E64A2">
      <w:pPr>
        <w:spacing w:after="0" w:line="240" w:lineRule="auto"/>
      </w:pPr>
      <w:r>
        <w:continuationSeparator/>
      </w:r>
    </w:p>
    <w:p w:rsidR="0081651E" w:rsidRDefault="008165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E2E" w:rsidRPr="00EE35A7" w:rsidRDefault="00294E2E"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316357"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70</w:t>
    </w:r>
  </w:p>
  <w:p w:rsidR="00294E2E" w:rsidRDefault="00294E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E2E" w:rsidRPr="0048254D" w:rsidRDefault="00294E2E" w:rsidP="0048254D">
    <w:pPr>
      <w:pStyle w:val="Header"/>
      <w:ind w:right="45"/>
      <w:rPr>
        <w:rFonts w:ascii="Palatino Linotype" w:hAnsi="Palatino Linotype"/>
        <w:b/>
        <w:sz w:val="20"/>
      </w:rPr>
    </w:pPr>
    <w:bookmarkStart w:id="7"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rsidR="00294E2E" w:rsidRPr="0048254D" w:rsidRDefault="00294E2E"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rsidR="00294E2E" w:rsidRPr="0048254D" w:rsidRDefault="00294E2E"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7"/>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874BF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A191393"/>
    <w:multiLevelType w:val="hybridMultilevel"/>
    <w:tmpl w:val="4F5AB6B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FB56E1"/>
    <w:multiLevelType w:val="multilevel"/>
    <w:tmpl w:val="562074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2735665A"/>
    <w:multiLevelType w:val="multilevel"/>
    <w:tmpl w:val="EF88ED92"/>
    <w:lvl w:ilvl="0">
      <w:start w:val="1"/>
      <w:numFmt w:val="decimal"/>
      <w:lvlText w:val="%1."/>
      <w:lvlJc w:val="left"/>
      <w:pPr>
        <w:ind w:left="1636"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3"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4"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0B14D3"/>
    <w:multiLevelType w:val="multilevel"/>
    <w:tmpl w:val="414A1FCC"/>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595348"/>
    <w:multiLevelType w:val="hybridMultilevel"/>
    <w:tmpl w:val="40D00118"/>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A1C6001"/>
    <w:multiLevelType w:val="hybridMultilevel"/>
    <w:tmpl w:val="A86814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2" w15:restartNumberingAfterBreak="0">
    <w:nsid w:val="691055A3"/>
    <w:multiLevelType w:val="hybridMultilevel"/>
    <w:tmpl w:val="B3D44706"/>
    <w:lvl w:ilvl="0" w:tplc="0AEAEEEE">
      <w:start w:val="1"/>
      <w:numFmt w:val="upperLetter"/>
      <w:lvlText w:val="%1."/>
      <w:lvlJc w:val="left"/>
      <w:pPr>
        <w:ind w:left="408" w:hanging="360"/>
      </w:pPr>
      <w:rPr>
        <w:rFonts w:hint="default"/>
      </w:rPr>
    </w:lvl>
    <w:lvl w:ilvl="1" w:tplc="38090019" w:tentative="1">
      <w:start w:val="1"/>
      <w:numFmt w:val="lowerLetter"/>
      <w:lvlText w:val="%2."/>
      <w:lvlJc w:val="left"/>
      <w:pPr>
        <w:ind w:left="1128" w:hanging="360"/>
      </w:pPr>
    </w:lvl>
    <w:lvl w:ilvl="2" w:tplc="3809001B" w:tentative="1">
      <w:start w:val="1"/>
      <w:numFmt w:val="lowerRoman"/>
      <w:lvlText w:val="%3."/>
      <w:lvlJc w:val="right"/>
      <w:pPr>
        <w:ind w:left="1848" w:hanging="180"/>
      </w:pPr>
    </w:lvl>
    <w:lvl w:ilvl="3" w:tplc="3809000F" w:tentative="1">
      <w:start w:val="1"/>
      <w:numFmt w:val="decimal"/>
      <w:lvlText w:val="%4."/>
      <w:lvlJc w:val="left"/>
      <w:pPr>
        <w:ind w:left="2568" w:hanging="360"/>
      </w:pPr>
    </w:lvl>
    <w:lvl w:ilvl="4" w:tplc="38090019" w:tentative="1">
      <w:start w:val="1"/>
      <w:numFmt w:val="lowerLetter"/>
      <w:lvlText w:val="%5."/>
      <w:lvlJc w:val="left"/>
      <w:pPr>
        <w:ind w:left="3288" w:hanging="360"/>
      </w:pPr>
    </w:lvl>
    <w:lvl w:ilvl="5" w:tplc="3809001B" w:tentative="1">
      <w:start w:val="1"/>
      <w:numFmt w:val="lowerRoman"/>
      <w:lvlText w:val="%6."/>
      <w:lvlJc w:val="right"/>
      <w:pPr>
        <w:ind w:left="4008" w:hanging="180"/>
      </w:pPr>
    </w:lvl>
    <w:lvl w:ilvl="6" w:tplc="3809000F" w:tentative="1">
      <w:start w:val="1"/>
      <w:numFmt w:val="decimal"/>
      <w:lvlText w:val="%7."/>
      <w:lvlJc w:val="left"/>
      <w:pPr>
        <w:ind w:left="4728" w:hanging="360"/>
      </w:pPr>
    </w:lvl>
    <w:lvl w:ilvl="7" w:tplc="38090019" w:tentative="1">
      <w:start w:val="1"/>
      <w:numFmt w:val="lowerLetter"/>
      <w:lvlText w:val="%8."/>
      <w:lvlJc w:val="left"/>
      <w:pPr>
        <w:ind w:left="5448" w:hanging="360"/>
      </w:pPr>
    </w:lvl>
    <w:lvl w:ilvl="8" w:tplc="3809001B" w:tentative="1">
      <w:start w:val="1"/>
      <w:numFmt w:val="lowerRoman"/>
      <w:lvlText w:val="%9."/>
      <w:lvlJc w:val="right"/>
      <w:pPr>
        <w:ind w:left="6168" w:hanging="180"/>
      </w:pPr>
    </w:lvl>
  </w:abstractNum>
  <w:abstractNum w:abstractNumId="23"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0D7956"/>
    <w:multiLevelType w:val="hybridMultilevel"/>
    <w:tmpl w:val="47E0B78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3"/>
  </w:num>
  <w:num w:numId="3">
    <w:abstractNumId w:val="8"/>
  </w:num>
  <w:num w:numId="4">
    <w:abstractNumId w:val="7"/>
  </w:num>
  <w:num w:numId="5">
    <w:abstractNumId w:val="19"/>
  </w:num>
  <w:num w:numId="6">
    <w:abstractNumId w:val="23"/>
  </w:num>
  <w:num w:numId="7">
    <w:abstractNumId w:val="1"/>
  </w:num>
  <w:num w:numId="8">
    <w:abstractNumId w:val="21"/>
  </w:num>
  <w:num w:numId="9">
    <w:abstractNumId w:val="10"/>
  </w:num>
  <w:num w:numId="10">
    <w:abstractNumId w:val="2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3"/>
  </w:num>
  <w:num w:numId="14">
    <w:abstractNumId w:val="14"/>
  </w:num>
  <w:num w:numId="15">
    <w:abstractNumId w:val="17"/>
  </w:num>
  <w:num w:numId="16">
    <w:abstractNumId w:val="0"/>
  </w:num>
  <w:num w:numId="17">
    <w:abstractNumId w:val="5"/>
  </w:num>
  <w:num w:numId="18">
    <w:abstractNumId w:val="9"/>
  </w:num>
  <w:num w:numId="19">
    <w:abstractNumId w:val="18"/>
  </w:num>
  <w:num w:numId="20">
    <w:abstractNumId w:val="15"/>
  </w:num>
  <w:num w:numId="21">
    <w:abstractNumId w:val="6"/>
  </w:num>
  <w:num w:numId="22">
    <w:abstractNumId w:val="24"/>
  </w:num>
  <w:num w:numId="23">
    <w:abstractNumId w:val="11"/>
  </w:num>
  <w:num w:numId="24">
    <w:abstractNumId w:val="16"/>
  </w:num>
  <w:num w:numId="25">
    <w:abstractNumId w:val="2"/>
  </w:num>
  <w:num w:numId="26">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78554D"/>
    <w:rsid w:val="000061CE"/>
    <w:rsid w:val="0002425C"/>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94E2E"/>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98B"/>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54E25"/>
    <w:rsid w:val="00763D48"/>
    <w:rsid w:val="007706D1"/>
    <w:rsid w:val="00776DFE"/>
    <w:rsid w:val="00784B9B"/>
    <w:rsid w:val="0078554D"/>
    <w:rsid w:val="00787398"/>
    <w:rsid w:val="007A2C38"/>
    <w:rsid w:val="007B2B7A"/>
    <w:rsid w:val="007B716C"/>
    <w:rsid w:val="007E0F04"/>
    <w:rsid w:val="007E5CEF"/>
    <w:rsid w:val="007E6AA6"/>
    <w:rsid w:val="007E6E1C"/>
    <w:rsid w:val="007F0542"/>
    <w:rsid w:val="007F2733"/>
    <w:rsid w:val="00802C6D"/>
    <w:rsid w:val="008036D9"/>
    <w:rsid w:val="0081651E"/>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2FC3"/>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356C"/>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F6654"/>
  <w15:chartTrackingRefBased/>
  <w15:docId w15:val="{E7BD55E8-8773-4474-A116-C2C2B359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table" w:customStyle="1" w:styleId="TableGrid2">
    <w:name w:val="Table Grid2"/>
    <w:basedOn w:val="TableNormal"/>
    <w:next w:val="TableGrid"/>
    <w:uiPriority w:val="39"/>
    <w:qFormat/>
    <w:rsid w:val="00294E2E"/>
    <w:pPr>
      <w:spacing w:after="0" w:line="240" w:lineRule="auto"/>
    </w:pPr>
    <w:rPr>
      <w:rFonts w:ascii="Calibri" w:eastAsia="Calibri" w:hAnsi="Calibri" w:cs="Times New Roman"/>
      <w:lang w:val="en-AU"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1603/cakrawala.v11i1.107" TargetMode="External"/><Relationship Id="rId21" Type="http://schemas.openxmlformats.org/officeDocument/2006/relationships/hyperlink" Target="(Kimhi%20et%20al.,%202022%20;%20Zhang%20&amp;%20P&#233;rez-Paredes,%202024)" TargetMode="External"/><Relationship Id="rId42" Type="http://schemas.openxmlformats.org/officeDocument/2006/relationships/hyperlink" Target="(Retnasari%20et%20al.,%202021" TargetMode="External"/><Relationship Id="rId63" Type="http://schemas.openxmlformats.org/officeDocument/2006/relationships/hyperlink" Target="(Tong%20et%20al.,%202021%20;%20Heo,%202022)" TargetMode="External"/><Relationship Id="rId84" Type="http://schemas.openxmlformats.org/officeDocument/2006/relationships/hyperlink" Target="https://doi.org/10.1016/j.stueduc.2012.08.001" TargetMode="External"/><Relationship Id="rId138" Type="http://schemas.openxmlformats.org/officeDocument/2006/relationships/hyperlink" Target="https://doi.org/10.1016/j.cola.2024.101269" TargetMode="External"/><Relationship Id="rId159" Type="http://schemas.openxmlformats.org/officeDocument/2006/relationships/hyperlink" Target="https://doi.org/10.1016/j.compedu.2022.104640" TargetMode="External"/><Relationship Id="rId107" Type="http://schemas.openxmlformats.org/officeDocument/2006/relationships/hyperlink" Target="https://doi.org/10.1016/j.compedu.2024.105016" TargetMode="External"/><Relationship Id="rId11" Type="http://schemas.openxmlformats.org/officeDocument/2006/relationships/hyperlink" Target="(Wu%20et%20al.,%202023%20;%20Latini%20et%20al.,%202020)" TargetMode="External"/><Relationship Id="rId32" Type="http://schemas.openxmlformats.org/officeDocument/2006/relationships/hyperlink" Target="(Rahimi%20et%20al.,%202022%20;%20Inoue,%202023)" TargetMode="External"/><Relationship Id="rId53" Type="http://schemas.openxmlformats.org/officeDocument/2006/relationships/hyperlink" Target="(Ali%20et%20al.,%202024%20;%20Lin,%202023)" TargetMode="External"/><Relationship Id="rId74" Type="http://schemas.openxmlformats.org/officeDocument/2006/relationships/hyperlink" Target="https://doi.org/10.1016/j.ridd.2022.104198" TargetMode="External"/><Relationship Id="rId128" Type="http://schemas.openxmlformats.org/officeDocument/2006/relationships/hyperlink" Target="https://doi.org/10.23887/mi.v28i2.63523" TargetMode="External"/><Relationship Id="rId149" Type="http://schemas.openxmlformats.org/officeDocument/2006/relationships/hyperlink" Target="https://doi.org/10.1016/j.jeap.2022.101182" TargetMode="External"/><Relationship Id="rId5" Type="http://schemas.openxmlformats.org/officeDocument/2006/relationships/webSettings" Target="webSettings.xml"/><Relationship Id="rId95" Type="http://schemas.openxmlformats.org/officeDocument/2006/relationships/hyperlink" Target="https://doi.org/10.1016/j.tsc.2024.101502" TargetMode="External"/><Relationship Id="rId160" Type="http://schemas.openxmlformats.org/officeDocument/2006/relationships/hyperlink" Target="https://doi.org/10.1016/j.cognition.2023.105711" TargetMode="External"/><Relationship Id="rId22" Type="http://schemas.openxmlformats.org/officeDocument/2006/relationships/hyperlink" Target="(Singh%20et%20al.,%202024)" TargetMode="External"/><Relationship Id="rId43" Type="http://schemas.openxmlformats.org/officeDocument/2006/relationships/hyperlink" Target="(Yu%20et%20al.,%202021)" TargetMode="External"/><Relationship Id="rId64" Type="http://schemas.openxmlformats.org/officeDocument/2006/relationships/hyperlink" Target="(J.%20Lin%20&amp;%20Wang,%202024)" TargetMode="External"/><Relationship Id="rId118" Type="http://schemas.openxmlformats.org/officeDocument/2006/relationships/hyperlink" Target="https://doi.org/10.1016/j.cortex.2023.01.014" TargetMode="External"/><Relationship Id="rId139" Type="http://schemas.openxmlformats.org/officeDocument/2006/relationships/hyperlink" Target="https://doi.org/10.24071/ijels.v8i2.4713" TargetMode="External"/><Relationship Id="rId85" Type="http://schemas.openxmlformats.org/officeDocument/2006/relationships/hyperlink" Target="%20https:/doi.org/10.1016/j.heliyon.2024.e25776" TargetMode="External"/><Relationship Id="rId150" Type="http://schemas.openxmlformats.org/officeDocument/2006/relationships/hyperlink" Target="https://doi.org/10.1016/j.caeo.2022.100082" TargetMode="External"/><Relationship Id="rId12" Type="http://schemas.openxmlformats.org/officeDocument/2006/relationships/hyperlink" Target="(Gonzalez%20et%20al.,%202024%20;%20Pollard-Durodola%20et%20al.,%202016)" TargetMode="External"/><Relationship Id="rId17" Type="http://schemas.openxmlformats.org/officeDocument/2006/relationships/hyperlink" Target="(Rasna,%202019%20;%20%20Wati%20&amp;%20Anggraini,%202019)" TargetMode="External"/><Relationship Id="rId33" Type="http://schemas.openxmlformats.org/officeDocument/2006/relationships/hyperlink" Target="(Kumbure%20et%20al.,%202024%20;%20Zhou%20et%20al.,%202024)." TargetMode="External"/><Relationship Id="rId38" Type="http://schemas.openxmlformats.org/officeDocument/2006/relationships/hyperlink" Target="(Bailey%20et%20al.,%202022%20;%20Rojas-Drummond%20et%20al.,%202017)" TargetMode="External"/><Relationship Id="rId59" Type="http://schemas.openxmlformats.org/officeDocument/2006/relationships/hyperlink" Target="(Fernandes%20et%20al.,%202024%20;%20Crosthwaite%20et%20al.,%202021)" TargetMode="External"/><Relationship Id="rId103" Type="http://schemas.openxmlformats.org/officeDocument/2006/relationships/hyperlink" Target="%20https:/doi.org/10.1016/j.langsci.2023.101582" TargetMode="External"/><Relationship Id="rId108" Type="http://schemas.openxmlformats.org/officeDocument/2006/relationships/hyperlink" Target="%20https:/doi.org/10.1016/j.pbiomolbio.2023.12.003" TargetMode="External"/><Relationship Id="rId124" Type="http://schemas.openxmlformats.org/officeDocument/2006/relationships/hyperlink" Target="https://doi.org/10.1016/j.heliyon.2024.e27588" TargetMode="External"/><Relationship Id="rId129" Type="http://schemas.openxmlformats.org/officeDocument/2006/relationships/hyperlink" Target="https://doi.org/10.1016/j.neuropsychologia.2022.108427" TargetMode="External"/><Relationship Id="rId54" Type="http://schemas.openxmlformats.org/officeDocument/2006/relationships/hyperlink" Target="(Malik%20et%20al.,%202023%20;%20Formatting%20Citation)" TargetMode="External"/><Relationship Id="rId70" Type="http://schemas.openxmlformats.org/officeDocument/2006/relationships/hyperlink" Target="https://doi.org/10.1016/j.ijedudev.2012.09.006" TargetMode="External"/><Relationship Id="rId75" Type="http://schemas.openxmlformats.org/officeDocument/2006/relationships/hyperlink" Target="https://doi.org/10.1016/j.langcom.2023.12.001" TargetMode="External"/><Relationship Id="rId91" Type="http://schemas.openxmlformats.org/officeDocument/2006/relationships/hyperlink" Target="https://doi.org/10.1016/j.tsc.2024.101513" TargetMode="External"/><Relationship Id="rId96" Type="http://schemas.openxmlformats.org/officeDocument/2006/relationships/hyperlink" Target="https://doi.org/10.1016/j.ecresq.2023.08.011" TargetMode="External"/><Relationship Id="rId140" Type="http://schemas.openxmlformats.org/officeDocument/2006/relationships/hyperlink" Target="https://doi.org/10.1016/j.jeap.2020.100906" TargetMode="External"/><Relationship Id="rId145" Type="http://schemas.openxmlformats.org/officeDocument/2006/relationships/hyperlink" Target="https://doi.org/10.1016/j.compedu.2008.06.008" TargetMode="External"/><Relationship Id="rId161" Type="http://schemas.openxmlformats.org/officeDocument/2006/relationships/hyperlink" Target="https://doi.org/10.1016/j.iheduc.2023.100919"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hmudah,%202016%20;%20M&#228;kip&#228;&#228;,%202024)" TargetMode="External"/><Relationship Id="rId28" Type="http://schemas.openxmlformats.org/officeDocument/2006/relationships/hyperlink" Target="(Woods%20&amp;%20Copur-Gencturk,%202024%20;%20Hwang%20et%20al.,%202024)" TargetMode="External"/><Relationship Id="rId49" Type="http://schemas.openxmlformats.org/officeDocument/2006/relationships/hyperlink" Target="(Dong%20et%20al.,%202024%20;%20Gorham%20et%20al.,%202024)" TargetMode="External"/><Relationship Id="rId114" Type="http://schemas.openxmlformats.org/officeDocument/2006/relationships/hyperlink" Target="https://doi.org/10.1016/j.actpsy.2024.104233" TargetMode="External"/><Relationship Id="rId119" Type="http://schemas.openxmlformats.org/officeDocument/2006/relationships/hyperlink" Target="https://doi.org/10.1016/j.tate.2024.104554" TargetMode="External"/><Relationship Id="rId44" Type="http://schemas.openxmlformats.org/officeDocument/2006/relationships/hyperlink" Target="(Wu%20et%20al.,%202023%20;%20Serrano-Mendiz&#225;bal%20et%20al.,%202023)" TargetMode="External"/><Relationship Id="rId60" Type="http://schemas.openxmlformats.org/officeDocument/2006/relationships/hyperlink" Target="(Roberts%20&amp;%20Stankov,%201999%20;%20Formatting%20Citation)" TargetMode="External"/><Relationship Id="rId65" Type="http://schemas.openxmlformats.org/officeDocument/2006/relationships/hyperlink" Target="(Bui%20et%20al.,%202023%20;%20D.%20Wang%20et%20al.,%202024)" TargetMode="External"/><Relationship Id="rId81" Type="http://schemas.openxmlformats.org/officeDocument/2006/relationships/hyperlink" Target="%20https:/doi.org/10.1016/B978-0-12-818630-5.07046-9" TargetMode="External"/><Relationship Id="rId86" Type="http://schemas.openxmlformats.org/officeDocument/2006/relationships/hyperlink" Target="https://doi.org/10.1016/j.cexr.2024.100053" TargetMode="External"/><Relationship Id="rId130" Type="http://schemas.openxmlformats.org/officeDocument/2006/relationships/hyperlink" Target="https://doi.org/10.2991/icoie-18.2019.60" TargetMode="External"/><Relationship Id="rId135" Type="http://schemas.openxmlformats.org/officeDocument/2006/relationships/hyperlink" Target="https://doi.org/10.1016/j.tsc.2020.100663" TargetMode="External"/><Relationship Id="rId151" Type="http://schemas.openxmlformats.org/officeDocument/2006/relationships/hyperlink" Target="https://doi.org/10.1016/j.heliyon.2021.e05928" TargetMode="External"/><Relationship Id="rId156" Type="http://schemas.openxmlformats.org/officeDocument/2006/relationships/hyperlink" Target="https://doi.org/10.29303/jppipa.v9i12.5267" TargetMode="External"/><Relationship Id="rId13" Type="http://schemas.openxmlformats.org/officeDocument/2006/relationships/hyperlink" Target="(Iglesias%20Rodr&#237;guez%20et%20al.,%202017)" TargetMode="External"/><Relationship Id="rId18" Type="http://schemas.openxmlformats.org/officeDocument/2006/relationships/hyperlink" Target="(Lim%20et%20al.,%202021)" TargetMode="External"/><Relationship Id="rId39" Type="http://schemas.openxmlformats.org/officeDocument/2006/relationships/hyperlink" Target="(Yulihendri%20&amp;%20Evanita,%202023%20;%20Rahayu%20&amp;%20I%20Gusti%20Ayu%20Tri%20Agustiana,%202023)" TargetMode="External"/><Relationship Id="rId109" Type="http://schemas.openxmlformats.org/officeDocument/2006/relationships/hyperlink" Target="https://doi.org/10.1016/j.eswa.2023.121232" TargetMode="External"/><Relationship Id="rId34" Type="http://schemas.openxmlformats.org/officeDocument/2006/relationships/hyperlink" Target="(Kong%20&amp;%20Wang,%202024%20;%20Shayan%20et%20al.,%202018)" TargetMode="External"/><Relationship Id="rId50" Type="http://schemas.openxmlformats.org/officeDocument/2006/relationships/hyperlink" Target="(Zhong%20et%20al.,%202022%20;%20%20%20Akyeampong%20et%20al.,%202013)" TargetMode="External"/><Relationship Id="rId55" Type="http://schemas.openxmlformats.org/officeDocument/2006/relationships/hyperlink" Target="(Gaertner%20et%20al.,%202023%20;%20Gao%20et%20al.,%202024)" TargetMode="External"/><Relationship Id="rId76" Type="http://schemas.openxmlformats.org/officeDocument/2006/relationships/hyperlink" Target="https://doi.org/10.1016/j.socscimed.2023.116076" TargetMode="External"/><Relationship Id="rId97" Type="http://schemas.openxmlformats.org/officeDocument/2006/relationships/hyperlink" Target="https://doi.org/10.1016/j.stueduc.2024.101352" TargetMode="External"/><Relationship Id="rId104" Type="http://schemas.openxmlformats.org/officeDocument/2006/relationships/hyperlink" Target="%20https:/doi.org/10.1016/j.tate.2021.103600" TargetMode="External"/><Relationship Id="rId120" Type="http://schemas.openxmlformats.org/officeDocument/2006/relationships/hyperlink" Target="https://doi.org/10.1016/j.iot.2023.100860" TargetMode="External"/><Relationship Id="rId125" Type="http://schemas.openxmlformats.org/officeDocument/2006/relationships/hyperlink" Target="https://doi.org/10.21831/elinvo.v7i1.44425" TargetMode="External"/><Relationship Id="rId141" Type="http://schemas.openxmlformats.org/officeDocument/2006/relationships/hyperlink" Target="https://doi.org/10.1016/j.psychsport.2021.101902" TargetMode="External"/><Relationship Id="rId146" Type="http://schemas.openxmlformats.org/officeDocument/2006/relationships/hyperlink" Target="https://doi.org/10.1016/j.poetic.2023.101828" TargetMode="Externa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21009/jtp.v24i1.24242" TargetMode="External"/><Relationship Id="rId92" Type="http://schemas.openxmlformats.org/officeDocument/2006/relationships/hyperlink" Target="https://doi.org/10.1108/JME-03-2021-0027" TargetMode="External"/><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Wen%20&amp;%20Walters,%202022%20;%20Liu%20et%20al.,%202021)" TargetMode="External"/><Relationship Id="rId24" Type="http://schemas.openxmlformats.org/officeDocument/2006/relationships/hyperlink" Target="(Adams%20et%20al.,%202023%20;%20Attig%20et%20al.,%202024)" TargetMode="External"/><Relationship Id="rId40" Type="http://schemas.openxmlformats.org/officeDocument/2006/relationships/hyperlink" Target="(Nurdianah%20&amp;%20Sudira,%202022%20;%20Alam%20et%20al.,%202022)" TargetMode="External"/><Relationship Id="rId45" Type="http://schemas.openxmlformats.org/officeDocument/2006/relationships/hyperlink" Target="(Hagan%20&amp;%20Barron,%202019)" TargetMode="External"/><Relationship Id="rId66" Type="http://schemas.openxmlformats.org/officeDocument/2006/relationships/hyperlink" Target="(Kong%20&amp;%20Wang,%202024)" TargetMode="External"/><Relationship Id="rId87" Type="http://schemas.openxmlformats.org/officeDocument/2006/relationships/hyperlink" Target="https://doi.org/10.1016/j.acorp.2021.100003" TargetMode="External"/><Relationship Id="rId110" Type="http://schemas.openxmlformats.org/officeDocument/2006/relationships/hyperlink" Target="https://doi.org/10.1016/j.chb.2020.106274" TargetMode="External"/><Relationship Id="rId115" Type="http://schemas.openxmlformats.org/officeDocument/2006/relationships/hyperlink" Target="https://doi.org/10.1016/j.compedu.2022.104710" TargetMode="External"/><Relationship Id="rId131" Type="http://schemas.openxmlformats.org/officeDocument/2006/relationships/hyperlink" Target="https://doi.org/10.1016/j.fsisyn.2022.100313" TargetMode="External"/><Relationship Id="rId136" Type="http://schemas.openxmlformats.org/officeDocument/2006/relationships/hyperlink" Target="https://doi.org/10.1016/j.compedu.2023.104727" TargetMode="External"/><Relationship Id="rId157" Type="http://schemas.openxmlformats.org/officeDocument/2006/relationships/hyperlink" Target="https://doi.org/10.1016/j.system.2024.103221" TargetMode="External"/><Relationship Id="rId61" Type="http://schemas.openxmlformats.org/officeDocument/2006/relationships/hyperlink" Target="(Jones,%202022%20;%20Patterson%20et%20al.,%202022)" TargetMode="External"/><Relationship Id="rId82" Type="http://schemas.openxmlformats.org/officeDocument/2006/relationships/hyperlink" Target="%20https:/doi.org/10.1016/j.tate.2022.103825" TargetMode="External"/><Relationship Id="rId152" Type="http://schemas.openxmlformats.org/officeDocument/2006/relationships/hyperlink" Target="https://doi.org/10.1016/j.tate.2023.104415" TargetMode="External"/><Relationship Id="rId19" Type="http://schemas.openxmlformats.org/officeDocument/2006/relationships/hyperlink" Target="(Bangeni,%202024)" TargetMode="External"/><Relationship Id="rId14" Type="http://schemas.openxmlformats.org/officeDocument/2006/relationships/hyperlink" Target="(Wati%20&amp;%20Anggraini,%202019%20;%20Segundo%20Marcos%20et%20al.,%202020%20;%20Marwan,%20Firdaus%20&amp;%20Handayani,%202023)" TargetMode="External"/><Relationship Id="rId30" Type="http://schemas.openxmlformats.org/officeDocument/2006/relationships/hyperlink" Target="Charalambous%20et%20al.,%20(2012)" TargetMode="External"/><Relationship Id="rId35" Type="http://schemas.openxmlformats.org/officeDocument/2006/relationships/hyperlink" Target="(Carvalho,%202023)." TargetMode="External"/><Relationship Id="rId56" Type="http://schemas.openxmlformats.org/officeDocument/2006/relationships/hyperlink" Target="(Erawanto%20&amp;%20Santoso,%202016;%20Vong%20&amp;%20Kaewurai,%202017)" TargetMode="External"/><Relationship Id="rId77" Type="http://schemas.openxmlformats.org/officeDocument/2006/relationships/hyperlink" Target="https://doi.org/10.18860/jpips.v3i2.6859" TargetMode="External"/><Relationship Id="rId100" Type="http://schemas.openxmlformats.org/officeDocument/2006/relationships/hyperlink" Target="https://doi.org/10.1016/j.linged.2022.101055" TargetMode="External"/><Relationship Id="rId105" Type="http://schemas.openxmlformats.org/officeDocument/2006/relationships/hyperlink" Target="https://doi.org/10.1016/j.nurpra.2021.11.009" TargetMode="External"/><Relationship Id="rId126" Type="http://schemas.openxmlformats.org/officeDocument/2006/relationships/hyperlink" Target="https://doi.org/10.1016/j.tate.2022.103899" TargetMode="External"/><Relationship Id="rId147" Type="http://schemas.openxmlformats.org/officeDocument/2006/relationships/hyperlink" Target="https://doi.org/10.1016/j.kjss.2016.05.002" TargetMode="External"/><Relationship Id="rId8" Type="http://schemas.openxmlformats.org/officeDocument/2006/relationships/hyperlink" Target="https://creativecommons.org/licenses/by-nc-sa/4.0/" TargetMode="External"/><Relationship Id="rId51" Type="http://schemas.openxmlformats.org/officeDocument/2006/relationships/hyperlink" Target="(Gomez%20Gomez,%202024%20;%20Zhu%20et%20al.,%202023)" TargetMode="External"/><Relationship Id="rId72" Type="http://schemas.openxmlformats.org/officeDocument/2006/relationships/hyperlink" Target="https://doi.org/10.1016/j.techfore.2023.123076" TargetMode="External"/><Relationship Id="rId93" Type="http://schemas.openxmlformats.org/officeDocument/2006/relationships/hyperlink" Target="https://doi.org/10.1016/j.ctim.2023.102999" TargetMode="External"/><Relationship Id="rId98" Type="http://schemas.openxmlformats.org/officeDocument/2006/relationships/hyperlink" Target="%20https:/doi.org/10.1016/j.heliyon.2024.e24281" TargetMode="External"/><Relationship Id="rId121" Type="http://schemas.openxmlformats.org/officeDocument/2006/relationships/hyperlink" Target="%20https:/doi.org/10.1016/j.rineng.2023.101356" TargetMode="External"/><Relationship Id="rId142" Type="http://schemas.openxmlformats.org/officeDocument/2006/relationships/hyperlink" Target="https://doi.org/10.1016/j.nedt.2023.105872" TargetMode="External"/><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Li%20&amp;%20Yan,%202023%20;%20Mutoni%20Griffiths%20et%20al.,%202023)" TargetMode="External"/><Relationship Id="rId46" Type="http://schemas.openxmlformats.org/officeDocument/2006/relationships/hyperlink" Target="(Hab&#243;k%20et%20al.,%202024%20;%20Cervetti%20&amp;%20Pearson,%202023)." TargetMode="External"/><Relationship Id="rId67" Type="http://schemas.openxmlformats.org/officeDocument/2006/relationships/hyperlink" Target="(Y.%20J.%20Wu%20&amp;%20Chen,%202021)" TargetMode="External"/><Relationship Id="rId116" Type="http://schemas.openxmlformats.org/officeDocument/2006/relationships/hyperlink" Target="https://doi.org/10.1016/j.chb.2021.106733" TargetMode="External"/><Relationship Id="rId137" Type="http://schemas.openxmlformats.org/officeDocument/2006/relationships/hyperlink" Target="https://doi.org/10.1016/j.cie.2018.04.027" TargetMode="External"/><Relationship Id="rId158" Type="http://schemas.openxmlformats.org/officeDocument/2006/relationships/hyperlink" Target="%20https:/doi.org/10.1016/S1474-6670(17)53048-7" TargetMode="External"/><Relationship Id="rId20" Type="http://schemas.openxmlformats.org/officeDocument/2006/relationships/hyperlink" Target="(Stoller%20&amp;%20Nguyen,%202020;%20Damaianti,%202021)" TargetMode="External"/><Relationship Id="rId41" Type="http://schemas.openxmlformats.org/officeDocument/2006/relationships/image" Target="media/image2.jpeg"/><Relationship Id="rId62" Type="http://schemas.openxmlformats.org/officeDocument/2006/relationships/hyperlink" Target="(Keating%20et%20al.,%202022%20;%20Tegzes%20et%20al.,%202023)" TargetMode="External"/><Relationship Id="rId83" Type="http://schemas.openxmlformats.org/officeDocument/2006/relationships/hyperlink" Target="https://doi.org/10.1016/j.teln.2023.09.015" TargetMode="External"/><Relationship Id="rId88" Type="http://schemas.openxmlformats.org/officeDocument/2006/relationships/hyperlink" Target="https://doi.org/10.33603/dj.v8i1.4613" TargetMode="External"/><Relationship Id="rId111" Type="http://schemas.openxmlformats.org/officeDocument/2006/relationships/hyperlink" Target="https://doi.org/10.1016/j.cedpsych.2020.101870" TargetMode="External"/><Relationship Id="rId132" Type="http://schemas.openxmlformats.org/officeDocument/2006/relationships/hyperlink" Target="%20https:/doi.org/10.23887/jisd.v5i2.38072" TargetMode="External"/><Relationship Id="rId153" Type="http://schemas.openxmlformats.org/officeDocument/2006/relationships/hyperlink" Target="https://doi.org/10.1016/j.lindif.2023.102290" TargetMode="External"/><Relationship Id="rId15" Type="http://schemas.openxmlformats.org/officeDocument/2006/relationships/hyperlink" Target="(Francois%20&amp;%20Hood,%202021%20;%20Mak%20et%20al.,%202023)" TargetMode="External"/><Relationship Id="rId36" Type="http://schemas.openxmlformats.org/officeDocument/2006/relationships/hyperlink" Target="van%20Hek%20&amp;%20Kraaykamp,%20(2023)" TargetMode="External"/><Relationship Id="rId57" Type="http://schemas.openxmlformats.org/officeDocument/2006/relationships/hyperlink" Target="(Z.-J.%20Zhang%20et%20al.,%201989)" TargetMode="External"/><Relationship Id="rId106" Type="http://schemas.openxmlformats.org/officeDocument/2006/relationships/hyperlink" Target="https://doi.org/10.1016/j.tate.2022.103829" TargetMode="External"/><Relationship Id="rId127" Type="http://schemas.openxmlformats.org/officeDocument/2006/relationships/hyperlink" Target="https://doi.org/10.1016/j.ecresq.2015.12.004" TargetMode="External"/><Relationship Id="rId10" Type="http://schemas.openxmlformats.org/officeDocument/2006/relationships/hyperlink" Target="mailto:paulinarete.2022@student.uny.ac.id" TargetMode="External"/><Relationship Id="rId31" Type="http://schemas.openxmlformats.org/officeDocument/2006/relationships/hyperlink" Target="(Chan%20et%20al.,%202024%20;%20Tanimura%20et%20al.,%202023)" TargetMode="External"/><Relationship Id="rId52" Type="http://schemas.openxmlformats.org/officeDocument/2006/relationships/hyperlink" Target="(Chen%20et%20al.,%202024%20;%20Mallik,%202023)" TargetMode="External"/><Relationship Id="rId73" Type="http://schemas.openxmlformats.org/officeDocument/2006/relationships/hyperlink" Target="https://doi.org/10.1016/j.stueduc.2024.101347" TargetMode="External"/><Relationship Id="rId78" Type="http://schemas.openxmlformats.org/officeDocument/2006/relationships/hyperlink" Target="https://doi.org/10.1016/j.tate.2023.104041" TargetMode="External"/><Relationship Id="rId94" Type="http://schemas.openxmlformats.org/officeDocument/2006/relationships/hyperlink" Target="https://doi.org/10.1016/j.caeai.2024.100206" TargetMode="External"/><Relationship Id="rId99" Type="http://schemas.openxmlformats.org/officeDocument/2006/relationships/hyperlink" Target="https://doi.org/10.1016/j.sheji.2018.12.001" TargetMode="External"/><Relationship Id="rId101" Type="http://schemas.openxmlformats.org/officeDocument/2006/relationships/hyperlink" Target="https://doi.org/10.1016/j.jmathb.2023.101120" TargetMode="External"/><Relationship Id="rId122" Type="http://schemas.openxmlformats.org/officeDocument/2006/relationships/hyperlink" Target="https://doi.org/10.1016/j.jml.2018.05.005" TargetMode="External"/><Relationship Id="rId143" Type="http://schemas.openxmlformats.org/officeDocument/2006/relationships/hyperlink" Target="https://doi.org/10.1016/j.xjep.2023.100626" TargetMode="External"/><Relationship Id="rId148" Type="http://schemas.openxmlformats.org/officeDocument/2006/relationships/hyperlink" Target="https://doi.org/10.1016/j.jbusres.2024.114645" TargetMode="External"/><Relationship Id="rId16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hyperlink" Target="(Bashith,%202017;Wiziack%20&amp;%20dos%20Santos,%202021)" TargetMode="External"/><Relationship Id="rId47" Type="http://schemas.openxmlformats.org/officeDocument/2006/relationships/hyperlink" Target="(Sinha,%202022%20;%20Vistari,%202023)" TargetMode="External"/><Relationship Id="rId68" Type="http://schemas.openxmlformats.org/officeDocument/2006/relationships/hyperlink" Target="(Yu%20et%20al.,%202021)" TargetMode="External"/><Relationship Id="rId89" Type="http://schemas.openxmlformats.org/officeDocument/2006/relationships/hyperlink" Target="https://doi.org/10.1016/j.nedt.2023.106071" TargetMode="External"/><Relationship Id="rId112" Type="http://schemas.openxmlformats.org/officeDocument/2006/relationships/hyperlink" Target="https://doi.org/10.1016/j.lmot.2023.101913" TargetMode="External"/><Relationship Id="rId133" Type="http://schemas.openxmlformats.org/officeDocument/2006/relationships/hyperlink" Target="https://doi.org/10.1016/S1041-6080(00)80007-2" TargetMode="External"/><Relationship Id="rId154" Type="http://schemas.openxmlformats.org/officeDocument/2006/relationships/hyperlink" Target="https://doi.org/10.1016/j.ijme.2021.100561" TargetMode="External"/><Relationship Id="rId16" Type="http://schemas.openxmlformats.org/officeDocument/2006/relationships/hyperlink" Target="(Y.%20Wang%20et%20al.,%202022)." TargetMode="External"/><Relationship Id="rId37" Type="http://schemas.openxmlformats.org/officeDocument/2006/relationships/hyperlink" Target="(Chalkley%20et%20al.,%202022%20;%20Berg%20et%20al.,%202023)" TargetMode="External"/><Relationship Id="rId58" Type="http://schemas.openxmlformats.org/officeDocument/2006/relationships/hyperlink" Target="(Sturm%20et%20al.,%202021)" TargetMode="External"/><Relationship Id="rId79" Type="http://schemas.openxmlformats.org/officeDocument/2006/relationships/hyperlink" Target="https://doi.org/10.1016/j.edurev.2023.100554" TargetMode="External"/><Relationship Id="rId102" Type="http://schemas.openxmlformats.org/officeDocument/2006/relationships/hyperlink" Target="https://doi.org/10.1016/j.chb.2016.07.019" TargetMode="External"/><Relationship Id="rId123" Type="http://schemas.openxmlformats.org/officeDocument/2006/relationships/hyperlink" Target="https://doi.org/10.1016/j.cedpsych.2022.102145" TargetMode="External"/><Relationship Id="rId144" Type="http://schemas.openxmlformats.org/officeDocument/2006/relationships/hyperlink" Target="https://doi.org/10.1016/j.heliyon.2021.e08282" TargetMode="External"/><Relationship Id="rId90" Type="http://schemas.openxmlformats.org/officeDocument/2006/relationships/hyperlink" Target="https://doi.org/10.22219/jinop.v2i2.2629" TargetMode="External"/><Relationship Id="rId165" Type="http://schemas.openxmlformats.org/officeDocument/2006/relationships/footer" Target="footer2.xml"/><Relationship Id="rId27" Type="http://schemas.openxmlformats.org/officeDocument/2006/relationships/hyperlink" Target="(Nasar%20et%20al.,%202024%20;%20Bardosh%20et%20al.,%202023)" TargetMode="External"/><Relationship Id="rId48" Type="http://schemas.openxmlformats.org/officeDocument/2006/relationships/hyperlink" Target="(T&#252;z&#252;n%20et%20al.,%202009%20;%20Kurilovas%20&amp;%20Kubilinskiene,%202020)" TargetMode="External"/><Relationship Id="rId69" Type="http://schemas.openxmlformats.org/officeDocument/2006/relationships/hyperlink" Target="https://doi.org/10.1016/j.stueduc.2023.101260" TargetMode="External"/><Relationship Id="rId113" Type="http://schemas.openxmlformats.org/officeDocument/2006/relationships/hyperlink" Target="https://doi.org/10.1016/j.system.2020.102434" TargetMode="External"/><Relationship Id="rId134" Type="http://schemas.openxmlformats.org/officeDocument/2006/relationships/hyperlink" Target="https://doi.org/10.1016/j.lcsi.2016.09.005" TargetMode="External"/><Relationship Id="rId80" Type="http://schemas.openxmlformats.org/officeDocument/2006/relationships/hyperlink" Target="https://doi.org/10.1016/j.xjep.2023.100649" TargetMode="External"/><Relationship Id="rId155" Type="http://schemas.openxmlformats.org/officeDocument/2006/relationships/hyperlink" Target="%20https:/doi.org/10.1016/j.caeai.2021.1000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wan\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58D4A-6E61-447C-A93E-EADD15166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12</TotalTime>
  <Pages>16</Pages>
  <Words>33018</Words>
  <Characters>188206</Characters>
  <Application>Microsoft Office Word</Application>
  <DocSecurity>0</DocSecurity>
  <Lines>1568</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Marwan</dc:creator>
  <cp:keywords/>
  <dc:description/>
  <cp:lastModifiedBy>Marwan Marwan</cp:lastModifiedBy>
  <cp:revision>5</cp:revision>
  <cp:lastPrinted>2022-03-12T14:54:00Z</cp:lastPrinted>
  <dcterms:created xsi:type="dcterms:W3CDTF">2024-05-26T12:57:00Z</dcterms:created>
  <dcterms:modified xsi:type="dcterms:W3CDTF">2024-05-26T13:16:00Z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