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54D" w:rsidRDefault="0078554D" w:rsidP="002C57D4">
      <w:pPr>
        <w:pStyle w:val="Alishlah13authornames"/>
        <w:rPr>
          <w:snapToGrid w:val="0"/>
          <w:sz w:val="28"/>
          <w:szCs w:val="28"/>
          <w:lang w:val="en-GB"/>
        </w:rPr>
      </w:pPr>
      <w:r w:rsidRPr="0078554D">
        <w:rPr>
          <w:snapToGrid w:val="0"/>
          <w:sz w:val="28"/>
          <w:szCs w:val="28"/>
          <w:lang w:val="en-GB"/>
        </w:rPr>
        <w:t xml:space="preserve">Development of Local Wisdom Teaching Materials to Improve Reading Skills of Fifth Grade Students of </w:t>
      </w:r>
      <w:proofErr w:type="spellStart"/>
      <w:r w:rsidRPr="0078554D">
        <w:rPr>
          <w:snapToGrid w:val="0"/>
          <w:sz w:val="28"/>
          <w:szCs w:val="28"/>
          <w:lang w:val="en-GB"/>
        </w:rPr>
        <w:t>Sdn</w:t>
      </w:r>
      <w:proofErr w:type="spellEnd"/>
      <w:r w:rsidRPr="0078554D">
        <w:rPr>
          <w:snapToGrid w:val="0"/>
          <w:sz w:val="28"/>
          <w:szCs w:val="28"/>
          <w:lang w:val="en-GB"/>
        </w:rPr>
        <w:t xml:space="preserve"> 15 </w:t>
      </w:r>
      <w:proofErr w:type="spellStart"/>
      <w:r>
        <w:rPr>
          <w:snapToGrid w:val="0"/>
          <w:sz w:val="28"/>
          <w:szCs w:val="28"/>
          <w:lang w:val="en-GB"/>
        </w:rPr>
        <w:t>Bengkayang</w:t>
      </w:r>
      <w:proofErr w:type="spellEnd"/>
    </w:p>
    <w:p w:rsidR="0064298B" w:rsidRDefault="0064298B" w:rsidP="00A32FC3">
      <w:pPr>
        <w:pStyle w:val="Alishlah16affiliation"/>
        <w:ind w:left="142" w:hanging="29"/>
        <w:rPr>
          <w:color w:val="auto"/>
          <w:lang w:val="en-GB"/>
        </w:rPr>
      </w:pPr>
      <w:r w:rsidRPr="0064298B">
        <w:rPr>
          <w:b/>
          <w:sz w:val="20"/>
          <w:szCs w:val="22"/>
          <w:lang w:val="en-GB"/>
        </w:rPr>
        <w:t>Paulina Rete</w:t>
      </w:r>
      <w:r>
        <w:rPr>
          <w:b/>
          <w:sz w:val="20"/>
          <w:szCs w:val="22"/>
          <w:vertAlign w:val="superscript"/>
          <w:lang w:val="en-GB"/>
        </w:rPr>
        <w:t>1</w:t>
      </w:r>
      <w:r w:rsidRPr="0064298B">
        <w:rPr>
          <w:b/>
          <w:sz w:val="20"/>
          <w:szCs w:val="22"/>
          <w:lang w:val="en-GB"/>
        </w:rPr>
        <w:t xml:space="preserve">*, </w:t>
      </w:r>
      <w:proofErr w:type="spellStart"/>
      <w:r w:rsidRPr="0064298B">
        <w:rPr>
          <w:b/>
          <w:sz w:val="20"/>
          <w:szCs w:val="22"/>
          <w:lang w:val="en-GB"/>
        </w:rPr>
        <w:t>Unik</w:t>
      </w:r>
      <w:proofErr w:type="spellEnd"/>
      <w:r w:rsidRPr="0064298B">
        <w:rPr>
          <w:b/>
          <w:sz w:val="20"/>
          <w:szCs w:val="22"/>
          <w:lang w:val="en-GB"/>
        </w:rPr>
        <w:t xml:space="preserve"> Ambar Wati</w:t>
      </w:r>
      <w:r>
        <w:rPr>
          <w:b/>
          <w:sz w:val="20"/>
          <w:szCs w:val="22"/>
          <w:vertAlign w:val="superscript"/>
          <w:lang w:val="en-GB"/>
        </w:rPr>
        <w:t>2</w:t>
      </w:r>
      <w:r w:rsidRPr="0064298B">
        <w:rPr>
          <w:b/>
          <w:sz w:val="20"/>
          <w:szCs w:val="22"/>
          <w:lang w:val="en-GB"/>
        </w:rPr>
        <w:t>, Marwan</w:t>
      </w:r>
      <w:r>
        <w:rPr>
          <w:b/>
          <w:sz w:val="20"/>
          <w:szCs w:val="22"/>
          <w:vertAlign w:val="superscript"/>
          <w:lang w:val="en-GB"/>
        </w:rPr>
        <w:t>3</w:t>
      </w:r>
      <w:r w:rsidRPr="0064298B">
        <w:rPr>
          <w:b/>
          <w:sz w:val="20"/>
          <w:szCs w:val="22"/>
          <w:lang w:val="en-GB"/>
        </w:rPr>
        <w:t xml:space="preserve">, </w:t>
      </w:r>
      <w:proofErr w:type="spellStart"/>
      <w:r w:rsidRPr="0064298B">
        <w:rPr>
          <w:b/>
          <w:sz w:val="20"/>
          <w:szCs w:val="22"/>
          <w:lang w:val="en-GB"/>
        </w:rPr>
        <w:t>Agus</w:t>
      </w:r>
      <w:proofErr w:type="spellEnd"/>
      <w:r w:rsidRPr="0064298B">
        <w:rPr>
          <w:b/>
          <w:sz w:val="20"/>
          <w:szCs w:val="22"/>
          <w:lang w:val="en-GB"/>
        </w:rPr>
        <w:t xml:space="preserve"> Herwanto</w:t>
      </w:r>
      <w:r>
        <w:rPr>
          <w:b/>
          <w:sz w:val="20"/>
          <w:szCs w:val="22"/>
          <w:vertAlign w:val="superscript"/>
          <w:lang w:val="en-GB"/>
        </w:rPr>
        <w:t>4</w:t>
      </w:r>
      <w:r w:rsidRPr="0064298B">
        <w:rPr>
          <w:b/>
          <w:sz w:val="20"/>
          <w:szCs w:val="22"/>
          <w:lang w:val="en-GB"/>
        </w:rPr>
        <w:t>,</w:t>
      </w:r>
      <w:r w:rsidRPr="0064298B">
        <w:t xml:space="preserve"> </w:t>
      </w:r>
      <w:proofErr w:type="spellStart"/>
      <w:r w:rsidRPr="0064298B">
        <w:rPr>
          <w:b/>
          <w:sz w:val="20"/>
          <w:szCs w:val="22"/>
          <w:lang w:val="en-GB"/>
        </w:rPr>
        <w:t>Irvan</w:t>
      </w:r>
      <w:proofErr w:type="spellEnd"/>
      <w:r w:rsidRPr="0064298B">
        <w:rPr>
          <w:b/>
          <w:sz w:val="20"/>
          <w:szCs w:val="22"/>
          <w:lang w:val="en-GB"/>
        </w:rPr>
        <w:t xml:space="preserve"> Syahrizal</w:t>
      </w:r>
      <w:r>
        <w:rPr>
          <w:b/>
          <w:sz w:val="20"/>
          <w:szCs w:val="22"/>
          <w:vertAlign w:val="superscript"/>
          <w:lang w:val="en-GB"/>
        </w:rPr>
        <w:t>5</w:t>
      </w:r>
      <w:r w:rsidRPr="0064298B">
        <w:rPr>
          <w:b/>
          <w:sz w:val="20"/>
          <w:szCs w:val="22"/>
          <w:lang w:val="en-GB"/>
        </w:rPr>
        <w:t xml:space="preserve">, </w:t>
      </w:r>
      <w:proofErr w:type="spellStart"/>
      <w:r w:rsidRPr="0064298B">
        <w:rPr>
          <w:b/>
          <w:sz w:val="20"/>
          <w:szCs w:val="22"/>
          <w:lang w:val="en-GB"/>
        </w:rPr>
        <w:t>Wayan</w:t>
      </w:r>
      <w:proofErr w:type="spellEnd"/>
      <w:r w:rsidRPr="0064298B">
        <w:rPr>
          <w:b/>
          <w:sz w:val="20"/>
          <w:szCs w:val="22"/>
          <w:lang w:val="en-GB"/>
        </w:rPr>
        <w:t xml:space="preserve"> </w:t>
      </w:r>
      <w:proofErr w:type="spellStart"/>
      <w:r w:rsidRPr="0064298B">
        <w:rPr>
          <w:b/>
          <w:sz w:val="20"/>
          <w:szCs w:val="22"/>
          <w:lang w:val="en-GB"/>
        </w:rPr>
        <w:t>Pudma</w:t>
      </w:r>
      <w:proofErr w:type="spellEnd"/>
      <w:r w:rsidR="00A32FC3">
        <w:rPr>
          <w:b/>
          <w:sz w:val="20"/>
          <w:szCs w:val="22"/>
          <w:lang w:val="en-GB"/>
        </w:rPr>
        <w:t xml:space="preserve"> </w:t>
      </w:r>
      <w:proofErr w:type="spellStart"/>
      <w:r w:rsidRPr="0064298B">
        <w:rPr>
          <w:b/>
          <w:sz w:val="20"/>
          <w:szCs w:val="22"/>
          <w:lang w:val="en-GB"/>
        </w:rPr>
        <w:t>Febby</w:t>
      </w:r>
      <w:proofErr w:type="spellEnd"/>
      <w:r w:rsidRPr="0064298B">
        <w:rPr>
          <w:b/>
          <w:sz w:val="20"/>
          <w:szCs w:val="22"/>
          <w:lang w:val="en-GB"/>
        </w:rPr>
        <w:t xml:space="preserve"> Mandalika</w:t>
      </w:r>
      <w:r>
        <w:rPr>
          <w:b/>
          <w:sz w:val="20"/>
          <w:szCs w:val="22"/>
          <w:vertAlign w:val="superscript"/>
          <w:lang w:val="en-GB"/>
        </w:rPr>
        <w:t>6</w:t>
      </w:r>
      <w:r w:rsidR="00BE398A" w:rsidRPr="00A75CB1">
        <w:rPr>
          <w:color w:val="auto"/>
          <w:lang w:val="en-GB"/>
        </w:rPr>
        <w:tab/>
      </w:r>
    </w:p>
    <w:p w:rsidR="00784B9B" w:rsidRPr="00A75CB1" w:rsidRDefault="0064298B" w:rsidP="0064298B">
      <w:pPr>
        <w:pStyle w:val="Alishlah16affiliation"/>
        <w:rPr>
          <w:color w:val="auto"/>
          <w:lang w:val="en-GB"/>
        </w:rPr>
      </w:pPr>
      <w:proofErr w:type="spellStart"/>
      <w:r>
        <w:rPr>
          <w:color w:val="auto"/>
          <w:lang w:val="en-GB"/>
        </w:rPr>
        <w:t>Universitas</w:t>
      </w:r>
      <w:proofErr w:type="spellEnd"/>
      <w:r>
        <w:rPr>
          <w:color w:val="auto"/>
          <w:lang w:val="en-GB"/>
        </w:rPr>
        <w:t xml:space="preserve"> Negeri Yogyakarta</w:t>
      </w:r>
      <w:r>
        <w:rPr>
          <w:color w:val="auto"/>
          <w:vertAlign w:val="superscript"/>
          <w:lang w:val="en-GB"/>
        </w:rPr>
        <w:t>1</w:t>
      </w:r>
      <w:r w:rsidR="002B31FD" w:rsidRPr="002B31FD">
        <w:rPr>
          <w:color w:val="auto"/>
          <w:lang w:val="en-GB"/>
        </w:rPr>
        <w:t xml:space="preserve">; </w:t>
      </w:r>
      <w:r w:rsidRPr="0064298B">
        <w:rPr>
          <w:color w:val="auto"/>
          <w:lang w:val="en-GB"/>
        </w:rPr>
        <w:t xml:space="preserve">paulinarete.2022@student.uny.ac.id, </w:t>
      </w:r>
      <w:proofErr w:type="gramStart"/>
      <w:r w:rsidRPr="0064298B">
        <w:rPr>
          <w:color w:val="auto"/>
          <w:lang w:val="en-GB"/>
        </w:rPr>
        <w:t>unikpgsd@gmail.com .</w:t>
      </w:r>
      <w:proofErr w:type="gramEnd"/>
      <w:r w:rsidRPr="0064298B">
        <w:rPr>
          <w:color w:val="auto"/>
          <w:lang w:val="en-GB"/>
        </w:rPr>
        <w:t xml:space="preserve"> </w:t>
      </w:r>
      <w:proofErr w:type="gramStart"/>
      <w:r w:rsidRPr="0064298B">
        <w:rPr>
          <w:color w:val="auto"/>
          <w:lang w:val="en-GB"/>
        </w:rPr>
        <w:t>markim02mm10@gmail.com ,</w:t>
      </w:r>
      <w:proofErr w:type="gramEnd"/>
      <w:r w:rsidRPr="0064298B">
        <w:rPr>
          <w:color w:val="auto"/>
          <w:lang w:val="en-GB"/>
        </w:rPr>
        <w:t xml:space="preserve"> agusherwanto91@gmail.com , irvansyahrizal.2023@student.uny.ac.id</w:t>
      </w: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A32FC3" w:rsidP="00290481">
            <w:pPr>
              <w:pStyle w:val="Alishlah18keywords"/>
            </w:pPr>
            <w:r w:rsidRPr="00A32FC3">
              <w:t>Local</w:t>
            </w:r>
            <w:r>
              <w:t xml:space="preserve"> </w:t>
            </w:r>
            <w:r w:rsidRPr="00A32FC3">
              <w:t>Wisdom, Teaching Materials, Reading Skills</w:t>
            </w:r>
          </w:p>
          <w:p w:rsidR="00A32FC3" w:rsidRPr="00A32FC3" w:rsidRDefault="00A32FC3" w:rsidP="00A32FC3">
            <w:pPr>
              <w:rPr>
                <w:lang w:eastAsia="de-DE" w:bidi="en-US"/>
              </w:rPr>
            </w:pPr>
          </w:p>
          <w:p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A32FC3" w:rsidP="00E45249">
            <w:pPr>
              <w:pStyle w:val="Alishlah17abstract"/>
            </w:pPr>
            <w:r w:rsidRPr="00A32FC3">
              <w:t>Indonesia is facing a serious literacy crisis. Factors that cause low literacy levels in Indonesia include the uneven availability of reading materials, especially in the 3T (Disadvantaged, Frontier and Outermost) areas, suboptimal library management, and decreased interest in literacy activities. The purpose of the study was to develop a teaching module in developing reading skills from the basic school of fifth grade students. This research was conducted with a descriptive methodology with a combination of development and research (R&amp;D) approaches using the ADDIE design. In carrying out this research, data collection techniques were used which included defining the initial stages of module development and designing prototypes, as well as preparing module drafts. Data collection through interviews, observations, documentation, and literature studies. The data analysis techniques used were descriptive statistical analysis and inferential statistical analysis. The research findings showed significant improvement in various areas among 5th grade students with a total of 21 students. In particular, there was a significant improvement in their ability to read by applying learning media. Thus, learning media can improve reading comprehension skills</w:t>
            </w:r>
            <w:r>
              <w:t>.</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A32FC3" w:rsidP="00E45249">
            <w:pPr>
              <w:pStyle w:val="Alishlah2authorcorrespondence"/>
            </w:pPr>
            <w:r w:rsidRPr="00A32FC3">
              <w:t>Paulina Rete</w:t>
            </w:r>
          </w:p>
          <w:p w:rsidR="0048254D" w:rsidRPr="0048254D" w:rsidRDefault="00A32FC3" w:rsidP="00E45249">
            <w:pPr>
              <w:pStyle w:val="Alishlah2authorcorrespondence"/>
            </w:pPr>
            <w:proofErr w:type="spellStart"/>
            <w:r>
              <w:rPr>
                <w:color w:val="auto"/>
                <w:lang w:val="en-GB"/>
              </w:rPr>
              <w:t>Universitas</w:t>
            </w:r>
            <w:proofErr w:type="spellEnd"/>
            <w:r>
              <w:rPr>
                <w:color w:val="auto"/>
                <w:lang w:val="en-GB"/>
              </w:rPr>
              <w:t xml:space="preserve"> Negeri Yogyakarta; </w:t>
            </w:r>
            <w:hyperlink r:id="rId10" w:history="1">
              <w:r w:rsidRPr="008D1FFA">
                <w:rPr>
                  <w:rStyle w:val="Hyperlink"/>
                  <w:lang w:val="en-GB"/>
                </w:rPr>
                <w:t>paulinarete.2022@student.uny.ac.id</w:t>
              </w:r>
            </w:hyperlink>
            <w:r>
              <w:rPr>
                <w:color w:val="auto"/>
                <w:lang w:val="en-GB"/>
              </w:rPr>
              <w:t xml:space="preserve"> </w:t>
            </w:r>
          </w:p>
        </w:tc>
      </w:tr>
    </w:tbl>
    <w:p w:rsidR="008E64A2" w:rsidRPr="00A75CB1" w:rsidRDefault="0048254D" w:rsidP="00A10E86">
      <w:pPr>
        <w:pStyle w:val="Alishlah21heading1"/>
        <w:rPr>
          <w:lang w:val="en-GB"/>
        </w:rPr>
      </w:pPr>
      <w:r w:rsidRPr="00A75CB1">
        <w:rPr>
          <w:lang w:val="en-GB"/>
        </w:rPr>
        <w:t>INTRODUCTION</w:t>
      </w:r>
    </w:p>
    <w:p w:rsidR="00A32FC3" w:rsidRPr="00D93E35" w:rsidRDefault="00A32FC3" w:rsidP="00A32FC3">
      <w:pPr>
        <w:ind w:firstLine="720"/>
        <w:jc w:val="both"/>
        <w:rPr>
          <w:rFonts w:ascii="Cambria" w:eastAsia="Cambria" w:hAnsi="Cambria" w:cs="Cambria"/>
          <w:sz w:val="20"/>
          <w:szCs w:val="20"/>
        </w:rPr>
      </w:pPr>
      <w:r w:rsidRPr="00D93E35">
        <w:rPr>
          <w:rFonts w:ascii="Cambria" w:eastAsia="Cambria" w:hAnsi="Cambria" w:cs="Cambria"/>
          <w:sz w:val="20"/>
          <w:szCs w:val="20"/>
        </w:rPr>
        <w:t xml:space="preserve">In principle, the reading process involves understanding and interpreting the meaning contained in a written text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lindif.2023.102290","ISSN":"10416080","author":[{"dropping-particle":"","family":"Wu","given":"Lin","non-dropping-particle":"","parse-names":false,"suffix":""},{"dropping-particle":"","family":"Valcke","given":"Martin","non-dropping-particle":"","parse-names":false,"suffix":""},{"dropping-particle":"","family":"Keer","given":"Hilde","non-dropping-particle":"Van","parse-names":false,"suffix":""}],"container-title":"Learning and Individual Differences","id":"ITEM-1","issued":{"date-parts":[["2023","5"]]},"page":"102290","title":"Differential effects of reading strategy intervention for three levels of comprehenders: Focus on text comprehension and autonomous reading motivation","type":"article-journal","volume":"104"},"uris":["http://www.mendeley.com/documents/?uuid=c7d9b63e-1d38-4559-b352-6b6f27b6a435"]}],"mendeley":{"formattedCitation":"(L. Wu et al., 2023)","manualFormatting":"(Wu et al., 2023 ; Latini et al., 2020)","plainTextFormattedCitation":"(L. Wu et al., 2023)","previouslyFormattedCitation":"(L. Wu et al., 2023)"},"properties":{"noteIndex":0},"schema":"https://github.com/citation-style-language/schema/raw/master/csl-citation.json"}</w:instrText>
      </w:r>
      <w:r w:rsidRPr="00D93E35">
        <w:rPr>
          <w:rFonts w:ascii="Cambria" w:eastAsia="Cambria" w:hAnsi="Cambria" w:cs="Cambria"/>
          <w:sz w:val="20"/>
          <w:szCs w:val="20"/>
        </w:rPr>
        <w:fldChar w:fldCharType="separate"/>
      </w:r>
      <w:hyperlink r:id="rId11" w:history="1">
        <w:r w:rsidRPr="00D93E35">
          <w:rPr>
            <w:rStyle w:val="Hyperlink"/>
            <w:rFonts w:ascii="Cambria" w:eastAsia="Cambria" w:hAnsi="Cambria" w:cs="Cambria"/>
            <w:noProof/>
            <w:sz w:val="20"/>
            <w:szCs w:val="20"/>
          </w:rPr>
          <w:t xml:space="preserve">(Wu et al., 2023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cedpsych.2020.101870","ISSN":"0361476X","author":[{"dropping-particle":"","family":"Latini","given":"Natalia","non-dropping-particle":"","parse-names":false,"suffix":""},{"dropping-particle":"","family":"Bråten","given":"Ivar","non-dropping-particle":"","parse-names":false,"suffix":""},{"dropping-particle":"","family":"Salmerón","given":"Ladislao","non-dropping-particle":"","parse-names":false,"suffix":""}],"container-title":"Contemporary Educational Psychology","id":"ITEM-1","issued":{"date-parts":[["2020","7"]]},"page":"101870","title":"Does reading medium affect processing and integration of textual and pictorial information? A multimedia eye-tracking study","type":"article-journal","volume":"62"},"uris":["http://www.mendeley.com/documents/?uuid=4047c686-6b62-4807-ad03-cd688d8ae917"]}],"mendeley":{"formattedCitation":"(Latini et al., 2020)","manualFormatting":"Latini et al., 2020)","plainTextFormattedCitation":"(Latini et al., 2020)","previouslyFormattedCitation":"(Latini et al., 2020)"},"properties":{"noteIndex":0},"schema":"https://github.com/citation-style-language/schema/raw/master/csl-citation.json"}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Latini et al., 2020)</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To understand the message implied in the reading material, one must first understand the meaning of the words in the given context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jml.2018.05.005","ISSN":"0749596X","author":[{"dropping-particle":"","family":"McKoon","given":"Gail","non-dropping-particle":"","parse-names":false,"suffix":""},{"dropping-particle":"","family":"Ratcliff","given":"Roger","non-dropping-particle":"","parse-names":false,"suffix":""}],"container-title":"Journal of Memory and Language","id":"ITEM-1","issued":{"date-parts":[["2018","10"]]},"page":"115-129","title":"Adults with poor reading skills, older adults, and college students: The meanings they understand during reading using a diffusion model analysis","type":"article-journal","volume":"102"},"uris":["http://www.mendeley.com/documents/?uuid=fe2f1847-b706-415c-964d-10f1135973e4"]}],"mendeley":{"formattedCitation":"(McKoon &amp; Ratcliff, 2018)","plainTextFormattedCitation":"(McKoon &amp; Ratcliff, 2018)","previouslyFormattedCitation":"(McKoon &amp; Ratcliff, 2018)"},"properties":{"noteIndex":0},"schema":"https://github.com/citation-style-language/schema/raw/master/csl-citation.json"}</w:instrText>
      </w:r>
      <w:r w:rsidRPr="00D93E35">
        <w:rPr>
          <w:rFonts w:ascii="Cambria" w:eastAsia="Cambria" w:hAnsi="Cambria" w:cs="Cambria"/>
          <w:sz w:val="20"/>
          <w:szCs w:val="20"/>
        </w:rPr>
        <w:fldChar w:fldCharType="separate"/>
      </w:r>
      <w:r w:rsidRPr="00D93E35">
        <w:rPr>
          <w:rFonts w:ascii="Cambria" w:eastAsia="Cambria" w:hAnsi="Cambria" w:cs="Cambria"/>
          <w:noProof/>
          <w:sz w:val="20"/>
          <w:szCs w:val="20"/>
        </w:rPr>
        <w:t>(McKoon &amp; Ratcliff, 2018)</w:t>
      </w:r>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Reading is also considered a receptive ability as it allows individuals to receive information, increase knowledge, and experience new things through reading activities </w:t>
      </w:r>
      <w:hyperlink r:id="rId12"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{"citationItems":[{"id":"ITEM-1","itemData":{"DOI":"10.1016/j.ecresq.2023.08.011","ISSN":"08852006","author":[{"dropping-particle":"","family":"Gonzalez","given":"Jorge E.","non-dropping-particle":"","parse-names":false,"suffix":""},{"dropping-particle":"","family":"Kim","given":"Hanjoe","non-dropping-particle":"","parse-names":false,"suffix":""},{"dropping-particle":"","family":"Anderson","given":"Jacqueline","non-dropping-particle":"","parse-names":false,"suffix":""},{"dropping-particle":"","family":"Pollard-Durodola","given":"Sharolyn","non-dropping-particle":"","parse-names":false,"suffix":""}],"container-title":"Early Childhood Research Quarterly","id":"ITEM-1","issued":{"date-parts":[["2024"]]},"page":"34-47","title":"The Effects of a Science and Social Studies Content Rich Shared Reading Intervention on the Vocabulary Learning of Preschool Dual Language Learners","type":"article-journal","volume":"66"},"uris":["http://www.mendeley.com/documents/?uuid=c7435a9b-657f-46e7-9cd5-c3a02572dc9f"]}],"mendeley":{"formattedCitation":"(Gonzalez et al., 2024)","manualFormatting":"(Gonzalez et al., 2024 ; Pollard-Durodola et al., 2016)","plainTextFormattedCitation":"(Gonzalez et al., 2024)","previouslyFormattedCitation":"(Gonzalez et al.,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(Gonzalez et al., 2024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{"citationItems":[{"id":"ITEM-1","itemData":{"DOI":"10.1016/j.ecresq.2015.12.004","ISSN":"08852006","author":[{"dropping-particle":"","family":"Pollard-Durodola","given":"Sharolyn D.","non-dropping-particle":"","parse-names":false,"suffix":""},{"dropping-particle":"","family":"Gonzalez","given":"Jorge E.","non-dropping-particle":"","parse-names":false,"suffix":""},{"dropping-particle":"","family":"Saenz","given":"Laura","non-dropping-particle":"","parse-names":false,"suffix":""},{"dropping-particle":"","family":"Soares","given":"Denise","non-dropping-particle":"","parse-names":false,"suffix":""},{"dropping-particle":"","family":"Resendez","given":"Nora","non-dropping-particle":"","parse-names":false,"suffix":""},{"dropping-particle":"","family":"Kwok","given":"Oiman","non-dropping-particle":"","parse-names":false,"suffix":""},{"dropping-particle":"","family":"Davis","given":"Heather","non-dropping-particle":"","parse-names":false,"suffix":""},{"dropping-particle":"","family":"Zhu","given":"Leina","non-dropping-particle":"","parse-names":false,"suffix":""}],"container-title":"Early Childhood Research Quarterly","id":"ITEM-1","issued":{"date-parts":[["2016"]]},"page":"106-121","title":"The effects of content-related shared book reading on the language development of preschool dual language learners","type":"article-journal","volume":"36"},"uris":["http://www.mendeley.com/documents/?uuid=b2d7b17c-4739-45b7-ac72-983f6fb88a4f"]}],"mendeley":{"formattedCitation":"(Pollard-Durodola et al., 2016)","manualFormatting":"Pollard-Durodola et al., 2016)","plainTextFormattedCitation":"(Pollard-Durodola et al., 2016)","previouslyFormattedCitation":"(Pollard-Durodola et al., 2016)"},"properties":{"noteIndex":0},"schema":"https://github.com/citation-style-language/schema/raw/master/csl-citation.json"}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Pollard-Durodola et al., 2016)</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The classroom has a significant role as an environment for daily structured learning through a variety of different methodologies. One of the main pedagogical approaches that is considered to be able to improve creative thinking skills in students is Cooperative Learning (CL)  </w:t>
      </w:r>
      <w:hyperlink r:id="rId13"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{"citationItems":[{"id":"ITEM-1","itemData":{"DOI":"10.1016/j.chb.2016.07.019","ISSN":"07475632","author":[{"dropping-particle":"","family":"Iglesias Rodríguez","given":"Ana","non-dropping-particle":"","parse-names":false,"suffix":""},{"dropping-particle":"","family":"García Riaza","given":"Blanca","non-dropping-particle":"","parse-names":false,"suffix":""},{"dropping-particle":"","family":"Sánchez Gómez","given":"María Cruz","non-dropping-particle":"","parse-names":false,"suffix":""}],"container-title":"Computers in Human Behavior","id":"ITEM-1","issued":{"date-parts":[["2017","7"]]},"page":"664-677","title":"Collaborative learning and mobile devices: An educational experience in Primary Education","type":"article-journal","volume":"72"},"uris":["http://www.mendeley.com/documents/?uuid=3c1a567c-ea60-4582-88a5-b2e1f6f4411f"]}],"mendeley":{"formattedCitation":"(Iglesias Rodríguez et al., 2017)","plainTextFormattedCitation":"(Iglesias Rodríguez et al., 2017)","previouslyFormattedCitation":"(Iglesias Rodríguez et al., 2017)"},"properties":{"noteIndex":0},"schema":"https://github.com/citation-style-language/schema/raw/master/csl-citation.json"}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(Iglesias Rodríguez et al., 2017)</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The basic premise of CL is to provide a method of cooperation that involves direct interaction between students simultaneously </w:t>
      </w:r>
      <w:hyperlink r:id="rId14"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{"citationItems":[{"id":"ITEM-1","itemData":{"DOI":"10.24042/ijsme.v2i1.3976","ISSN":"2615-8639","abstract":"Abstract:This study aims to look at the critical thinking skills of learners. One way to improve learning outcomes is to use learning strategies Jigsaw. Jigsaw learning strategy designed to enhance the sense of responsibility of students towards their own learning and the learning of others.This type of research has been done in this study is quasy experiment with non equivalent control group design. The population numbered 97 students of class IX SMP Negeri 2 Penengahan. With a sample class D as an experimental class IX and IX B as the control class. The sampling technique is done with randoom sampling technique. To measure students' critical thinking skills bepeserta conducted tests with essay questions about the material amounted to 10 static electricity.The results showed that, when analyzed using t-test obtained thitung&gt; t table (0.05) with a value 5.593&gt; 2.011. This shows that learning strategies Jigsaw affect the critical thinking skills of learners.Abstrak: Penelitian ini bertujuan untuk melihat kemampuan berpikir kritis peserta didik. Salah satu cara yang dapat melihat kemampuan berpikir kritis peserta didik adalah dengan menggunakan strategi pembelajaran Jigsaw. Strategi pembelajaran Jigsaw dirancang untuk meningkatkan rasa tanggung jawab peserta didik terhadap pembelajarannya sendiri dan pembelajaran orang lain.Jenis penelitian yang telah dilakukan dalam penelitian ini adalah quasy experiment dengan desain non equivalent control group.Populasi pada penelitian berjumlah 97 peserta didik kelas IX SMP Negeri 2 Penengahan.Dengan sempel kelas IXD sebagai kelas eksperimen dan IXB sebagai kelas kontrol.Teknik pengambilan sempel dilakukan dengan teknik randoom sampling.Untuk mengukur kemampuan berpikir kritis bepeserta didik dilakukan tes dengan soal esayberjumlah 10 soal dengan materi listrik statis.Hasil penelitian diperoleh bahwa, setelah dianalisis dengan menggunakan uji-t didapat thitung&gt;ttabel(0,05) yaitu dengan nilai 5,593&gt;2,011. Hal ini menunjukkan bahwa strategi pembelajaran Jigsaw berpengaruh terhadap kemampuan berpikir kritis peserta didik.","author":[{"dropping-particle":"","family":"Wati","given":"Mailinda","non-dropping-particle":"","parse-names":false,"suffix":""},{"dropping-particle":"","family":"Anggraini","given":"Welly","non-dropping-particle":"","parse-names":false,"suffix":""}],"container-title":"Indonesian Journal of Science and Mathematics Education","id":"ITEM-1","issue":"1","issued":{"date-parts":[["2019","4","8"]]},"page":"98-106","title":"Strategi Pembelajaran Kooperatif Tipe Jigsaw: Pengaruhnya Terhadap Kemampuan Berpikir Kritis Siswa","type":"article-journal","volume":"2"},"uris":["http://www.mendeley.com/documents/?uuid=929298f1-3871-460b-9d2b-231e31971e12"]}],"mendeley":{"formattedCitation":"(Wati &amp; Anggraini, 2019)","manualFormatting":"(Wati &amp; Anggraini, 2019 ;","plainTextFormattedCitation":"(Wati &amp; Anggraini, 2019)","previouslyFormattedCitation":"(Wati &amp; Anggraini, 2019)"},"properties":{"noteIndex":0},"schema":"https://github.com/citation-style-language/schema/raw/master/csl-citation.json"}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(Wati &amp; Anggraini, 2019 ;</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 xml:space="preserve"> </w:t>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{"citationItems":[{"id":"ITEM-1","itemData":{"DOI":"10.1016/j.tsc.2020.100663","ISSN":"18711871","abstract":"The objectives of the present study were to investigate whether students' creative thinking can be enhanced through a structured program of reading and writing activities in the context of a cooperative learning classroom, and to test for a possible correlation between improvements in creative thinking and improvements in academic performance. Sixty fifth-grade students from a primary school in the south of Spain participated over two months: half received reading and writing activities in a cooperative learning classroom (experimental group, n=30), and half received the standard fifth-grade reading and writing program (control group, n=30). Creative thinking was assessed through a divergent thinking task (CREA Test; Corbalán et al., 2003), and Grade Point Average (GPA) was used as index of academic achievement. The results revealed a significant increase in creativity scores in the experimental group as compared with the control, and a moderate positive correlation between creative thinking and academic achievement. The present findings are consistent with the idea that creative thinking (divergent thinking) can be enhanced with reading and writing activities implemented through cooperative learning in school-age children.","author":[{"dropping-particle":"","family":"Segundo Marcos","given":"Rafael Ibán","non-dropping-particle":"","parse-names":false,"suffix":""},{"dropping-particle":"","family":"López Ferández","given":"Verónica","non-dropping-particle":"","parse-names":false,"suffix":""},{"dropping-particle":"","family":"Daza González","given":"María Teresa","non-dropping-particle":"","parse-names":false,"suffix":""},{"dropping-particle":"","family":"Phillips-Silver","given":"Jessica","non-dropping-particle":"","parse-names":false,"suffix":""}],"container-title":"Thinking Skills and Creativity","id":"ITEM-1","issue":"April","issued":{"date-parts":[["2020"]]},"page":"100663","publisher":"Elsevier","title":"Promoting children's creative thinking through reading and writing in a cooperative learning classroom","type":"article-journal","volume":"36"},"uris":["http://www.mendeley.com/documents/?uuid=e7aff7d5-f630-40f8-8aa6-2f80a60d45b7"]}],"mendeley":{"formattedCitation":"(Segundo Marcos et al., 2020)","manualFormatting":"Segundo Marcos et al., 2020 ; Marwan, Firdaus &amp; Handayani, 2023)","plainTextFormattedCitation":"(Segundo Marcos et al., 2020)","previouslyFormattedCitation":"(Segundo Marcos et al., 2020)"},"properties":{"noteIndex":0},"schema":"https://github.com/citation-style-language/schema/raw/master/csl-citation.json"}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Segundo Marcos et al., 2020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{"citationItems":[{"id":"ITEM-1","itemData":{"author":[{"dropping-particle":"","family":"Marwan, Firdaus","given":"Fery Muhamad","non-dropping-particle":"","parse-names":false,"suffix":""},{"dropping-particle":"","family":"Handayani","given":"Ida Wuri","non-dropping-particle":"","parse-names":false,"suffix":""}],"id":"ITEM-1","issue":"1","issued":{"date-parts":[["2023"]]},"page":"1-14","title":"Increase reading comprehension and critical thinking through reading stories","type":"article-journal","volume":"7"},"uris":["http://www.mendeley.com/documents/?uuid=e60d276f-ade0-46f4-8ff0-b5733583441a"]}],"mendeley":{"formattedCitation":"(Marwan, Firdaus &amp; Handayani, 2023)","manualFormatting":"Marwan, Firdaus &amp; Handayani, 2023)","plainTextFormattedCitation":"(Marwan, Firdaus &amp; Handayani, 2023)","previouslyFormattedCitation":"(Marwan, Firdaus &amp; Handayani,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Marwan, Firdaus &amp; Handayani, 2023)</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w:t>
      </w:r>
    </w:p>
    <w:p w:rsidR="00A32FC3" w:rsidRPr="00D93E35" w:rsidRDefault="00A32FC3" w:rsidP="00A32FC3">
      <w:pPr>
        <w:ind w:firstLine="720"/>
        <w:jc w:val="both"/>
      </w:pPr>
      <w:r w:rsidRPr="00D93E35">
        <w:rPr>
          <w:rFonts w:ascii="Cambria" w:eastAsia="Cambria" w:hAnsi="Cambria" w:cs="Cambria"/>
          <w:sz w:val="20"/>
          <w:szCs w:val="20"/>
        </w:rPr>
        <w:lastRenderedPageBreak/>
        <w:t xml:space="preserve">Reading involves a complex set of activities that include various components, more than just literal parsing of text  </w:t>
      </w:r>
      <w:hyperlink r:id="rId15"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10.1108/JME-03-2021-0027","ISSN":"2053-535X","author":[{"dropping-particle":"","family":"Francois","given":"Chantal","non-dropping-particle":"","parse-names":false,"suffix":""},{"dropping-particle":"","family":"Hood","given":"Mia","non-dropping-particle":"","parse-names":false,"suffix":""}],"container-title":"Journal for Multicultural Education","id":"ITEM-1","issue":"3","issued":{"date-parts":[["2021","10","11"]]},"page":"299-312","title":"Rethinking the role of reading assessments for real learning","type":"article-journal","volume":"15"},"uris":["http://www.mendeley.com/documents/?uuid=97693629-7f56-433f-a3f8-c0e24650184d"]}],"mendeley":{"formattedCitation":"(Francois &amp; Hood, 2021)","manualFormatting":"(Francois &amp; Hood, 2021 ; ","plainTextFormattedCitation":"(Francois &amp; Hood, 2021)","previouslyFormattedCitation":"(Francois &amp; Hood, 2021)"},"properties":{"noteIndex":0},"schema":"https://github.com/citation-style-language/schema/raw/master/csl-citation.json"}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(Francois &amp; Hood, 2021 ; </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ortex.2023.01.014","ISSN":"00109452","author":[{"dropping-particle":"","family":"Mak","given":"Marloes","non-dropping-particle":"","parse-names":false,"suffix":""},{"dropping-particle":"","family":"Faber","given":"Myrthe","non-dropping-particle":"","parse-names":false,"suffix":""},{"dropping-particle":"","family":"Willems","given":"Roel M.","non-dropping-particle":"","parse-names":false,"suffix":""}],"container-title":"Cortex","id":"ITEM-1","issued":{"date-parts":[["2023","5"]]},"page":"115-135","title":"Different kinds of simulation during literary reading: Insights from a combined fMRI and eye-tracking study","type":"article-journal","volume":"162"},"uris":["http://www.mendeley.com/documents/?uuid=440e7519-7c6b-4454-bc32-31b79b04b6d1"]}],"mendeley":{"formattedCitation":"(Mak et al., 2023)","manualFormatting":"Mak et al., 2023)","plainTextFormattedCitation":"(Mak et al., 2023)","previouslyFormattedCitation":"(Mak et al., 2023)"},"properties":{"noteIndex":0},"schema":"https://github.com/citation-style-language/schema/raw/master/csl-citation.json"}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Mak et al., 2023)</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It includes aspects of visual perception, cognitive processes, psycholinguistic comprehension, and metacognitive activities  </w:t>
      </w:r>
      <w:hyperlink r:id="rId16"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jeap.2022.101182","ISSN":"14751585","author":[{"dropping-particle":"","family":"Wang","given":"Yang","non-dropping-particle":"","parse-names":false,"suffix":""},{"dropping-particle":"","family":"Arslan-Ari","given":"Ismahan","non-dropping-particle":"","parse-names":false,"suffix":""},{"dropping-particle":"","family":"Hao","given":"Ling","non-dropping-particle":"","parse-names":false,"suffix":""}],"container-title":"Journal of English for Academic Purposes","id":"ITEM-1","issued":{"date-parts":[["2022","11"]]},"page":"101182","title":"“Strategies are more important than words:” A case study of adult English Learners’ disciplinary reading","type":"article-journal","volume":"60"},"uris":["http://www.mendeley.com/documents/?uuid=7b0c1525-f477-45f8-a834-61668a7b722e"]}],"mendeley":{"formattedCitation":"(Y. Wang et al., 2022)","plainTextFormattedCitation":"(Y. Wang et al., 2022)","previouslyFormattedCitation":"(Y. Wang et al., 2022)"},"properties":{"noteIndex":0},"schema":"https://github.com/citation-style-language/schema/raw/master/csl-citation.json"}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(Y. Wang et al., 2022)</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w:t>
        </w:r>
      </w:hyperlink>
      <w:r w:rsidRPr="00D93E35">
        <w:rPr>
          <w:rFonts w:ascii="Cambria" w:eastAsia="Cambria" w:hAnsi="Cambria" w:cs="Cambria"/>
          <w:sz w:val="20"/>
          <w:szCs w:val="20"/>
        </w:rPr>
        <w:t xml:space="preserve"> Basically, reading involves the process of transforming written symbols into words that are understood orally  </w:t>
      </w:r>
      <w:hyperlink r:id="rId17"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{"citationItems":[{"id":"ITEM-1","itemData":{"DOI":"10.2991/icoie-18.2019.60","abstract":"… That is why we need a creative construction model in lingustic politeness for elementary school children character education. We need … is not only taught at school, but is also taught in the family environment in order to shape good character in the child [24]. The development …","author":[{"dropping-particle":"","family":"Rasna","given":"I Wayan","non-dropping-particle":"","parse-names":false,"suffix":""}],"id":"ITEM-1","issue":"ICoIE 2018","issued":{"date-parts":[["2019"]]},"page":"267-270","title":"A Creative Construction Model of Language Acquisition in Linguistic Politeness for Elementary School Children Character Education","type":"article-journal","volume":"178"},"uris":["http://www.mendeley.com/documents/?uuid=2c7b4c92-9de6-4ff8-9f18-2c0bc9068a7c"]}],"mendeley":{"formattedCitation":"(Rasna, 2019)","manualFormatting":"(Rasna, 2019 ; ","plainTextFormattedCitation":"(Rasna, 2019)","previouslyFormattedCitation":"(Rasna, 2019)"},"properties":{"noteIndex":0},"schema":"https://github.com/citation-style-language/schema/raw/master/csl-citation.json"}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(Rasna, 2019 ; </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 xml:space="preserve"> </w:t>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{"citationItems":[{"id":"ITEM-1","itemData":{"DOI":"10.24042/ijsme.v2i1.3976","ISSN":"2615-8639","abstract":"Abstract:This study aims to look at the critical thinking skills of learners. One way to improve learning outcomes is to use learning strategies Jigsaw. Jigsaw learning strategy designed to enhance the sense of responsibility of students towards their own learning and the learning of others.This type of research has been done in this study is quasy experiment with non equivalent control group design. The population numbered 97 students of class IX SMP Negeri 2 Penengahan. With a sample class D as an experimental class IX and IX B as the control class. The sampling technique is done with randoom sampling technique. To measure students' critical thinking skills bepeserta conducted tests with essay questions about the material amounted to 10 static electricity.The results showed that, when analyzed using t-test obtained thitung&gt; t table (0.05) with a value 5.593&gt; 2.011. This shows that learning strategies Jigsaw affect the critical thinking skills of learners.Abstrak: Penelitian ini bertujuan untuk melihat kemampuan berpikir kritis peserta didik. Salah satu cara yang dapat melihat kemampuan berpikir kritis peserta didik adalah dengan menggunakan strategi pembelajaran Jigsaw. Strategi pembelajaran Jigsaw dirancang untuk meningkatkan rasa tanggung jawab peserta didik terhadap pembelajarannya sendiri dan pembelajaran orang lain.Jenis penelitian yang telah dilakukan dalam penelitian ini adalah quasy experiment dengan desain non equivalent control group.Populasi pada penelitian berjumlah 97 peserta didik kelas IX SMP Negeri 2 Penengahan.Dengan sempel kelas IXD sebagai kelas eksperimen dan IXB sebagai kelas kontrol.Teknik pengambilan sempel dilakukan dengan teknik randoom sampling.Untuk mengukur kemampuan berpikir kritis bepeserta didik dilakukan tes dengan soal esayberjumlah 10 soal dengan materi listrik statis.Hasil penelitian diperoleh bahwa, setelah dianalisis dengan menggunakan uji-t didapat thitung&gt;ttabel(0,05) yaitu dengan nilai 5,593&gt;2,011. Hal ini menunjukkan bahwa strategi pembelajaran Jigsaw berpengaruh terhadap kemampuan berpikir kritis peserta didik.","author":[{"dropping-particle":"","family":"Wati","given":"Mailinda","non-dropping-particle":"","parse-names":false,"suffix":""},{"dropping-particle":"","family":"Anggraini","given":"Welly","non-dropping-particle":"","parse-names":false,"suffix":""}],"container-title":"Indonesian Journal of Science and Mathematics Education","id":"ITEM-1","issue":"1","issued":{"date-parts":[["2019","4","8"]]},"page":"98-106","title":"Strategi Pembelajaran Kooperatif Tipe Jigsaw: Pengaruhnya Terhadap Kemampuan Berpikir Kritis Siswa","type":"article-journal","volume":"2"},"uris":["http://www.mendeley.com/documents/?uuid=f27ecb79-7535-49a6-bd10-0ea57c3b5686"]}],"mendeley":{"formattedCitation":"(Wati &amp; Anggraini, 2019)","manualFormatting":"Wati &amp; Anggraini, 2019)","plainTextFormattedCitation":"(Wati &amp; Anggraini, 2019)","previouslyFormattedCitation":"(Wati &amp; Anggraini, 2019)"},"properties":{"noteIndex":0},"schema":"https://github.com/citation-style-language/schema/raw/master/csl-citation.json"}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Wati &amp; Anggraini, 2019)</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As a cognitive process, reading consists of a series of activities, from word recognition to literal understanding of meaning, interpretation, critical analysis, and more creative understanding  </w:t>
      </w:r>
      <w:hyperlink r:id="rId18"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system.2020.102434","ISSN":"0346251X","author":[{"dropping-particle":"","family":"Lim","given":"Jongyun","non-dropping-particle":"","parse-names":false,"suffix":""},{"dropping-particle":"","family":"Whitehead","given":"George E.K.","non-dropping-particle":"","parse-names":false,"suffix":""},{"dropping-particle":"","family":"Choi","given":"YunDeok","non-dropping-particle":"","parse-names":false,"suffix":""}],"container-title":"System","id":"ITEM-1","issued":{"date-parts":[["2021","4"]]},"page":"102434","title":"Interactive e-book reading vs. paper-based reading: Comparing the effects of different mediums on middle school students’ reading comprehension","type":"article-journal","volume":"97"},"uris":["http://www.mendeley.com/documents/?uuid=a59c5fa0-e07f-400e-8eb0-b3abb45e3008"]}],"mendeley":{"formattedCitation":"(Lim et al., 2021)","plainTextFormattedCitation":"(Lim et al., 2021)","previouslyFormattedCitation":"(Lim et al., 2021)"},"properties":{"noteIndex":0},"schema":"https://github.com/citation-style-language/schema/raw/master/csl-citation.json"}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(Lim et al., 2021)</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Reading comprehension skills are critical to academic success, where reading serves as the primary tool for conveying subject matter and increasing students' awareness of the importance of reading skills in academic achievement  </w:t>
      </w:r>
      <w:hyperlink r:id="rId19"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{"citationItems":[{"id":"ITEM-1","itemData":{"DOI":"10.1016/j.langcom.2023.12.001","ISSN":"02715309","author":[{"dropping-particle":"","family":"Bangeni","given":"Bongi","non-dropping-particle":"","parse-names":false,"suffix":""}],"container-title":"Language &amp; Communication","id":"ITEM-1","issued":{"date-parts":[["2024","1"]]},"page":"69-84","title":"Reading (in) law: A critical appraisal of the impact of language on disciplinary novices’ cognitive reading strategies","type":"article-journal","volume":"94"},"uris":["http://www.mendeley.com/documents/?uuid=8fb70c21-7e7c-4315-ae3d-2edec4f8f849"]}],"mendeley":{"formattedCitation":"(Bangeni, 2024)","plainTextFormattedCitation":"(Bangeni, 2024)","previouslyFormattedCitation":"(Bangeni,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(Bangeni, 2024)</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Recognizing the importance of reading skills for success in the academic environment, sufficient reading practice is needed to develop skilled reading abilities, as well as an understanding of the demands of reading tasks in the context of writing  </w:t>
      </w:r>
      <w:hyperlink r:id="rId20"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{"citationItems":[{"id":"ITEM-1","itemData":{"DOI":"10.1016/j.jeap.2020.100906","ISSN":"14751585","abstract":"Reading-comprehension abilities are inextricably linked to student success in academic contexts where reading serves as a primary means for conveying course content and displaying content learning (Anderson, 2015). The scarcity of studies on reading English for academic purposes in Vietnam, generally, and the reading habits of Vietnamese university students, more specifically, created the impetus for the research reported here. The study focused on the reading habits of Vietnamese university students in English-related majors, with particular attention paid to text medium (print/digital) and text language (Vietnamese/English) preferences. Data were collected with an online survey sent to a representative sampling of public universities across Vietnam. A total of 836 students, at 17 public universities, completed the survey. Findings provide an initial snapshot of Vietnamese university English majors’ reading habits. Of particular interest are how often students consult the Web to complete university assignments, despite their preference for print materials when reading for academic purposes; what challenges students encounter when reading on the Web; how much reading is assigned for university classes; and how reading habits change across years of study. Findings suggest numerous steps that can be taken to improve EAP reading instruction in Vietnam (and elsewhere).","author":[{"dropping-particle":"","family":"Stoller","given":"Fredricka L.","non-dropping-particle":"","parse-names":false,"suffix":""},{"dropping-particle":"","family":"Nguyen","given":"Loc Thi Huynh","non-dropping-particle":"","parse-names":false,"suffix":""}],"container-title":"Journal of English for Academic Purposes","id":"ITEM-1","issued":{"date-parts":[["2020"]]},"page":"100906","publisher":"Elsevier Ltd","title":"Reading habits of Vietnamese University English majors","type":"article-journal","volume":"48"},"uris":["http://www.mendeley.com/documents/?uuid=865ccade-2d07-46b0-8534-d2c78f76d20e"]}],"mendeley":{"formattedCitation":"(Stoller &amp; Nguyen, 2020)","manualFormatting":"(Stoller &amp; Nguyen, 2020","plainTextFormattedCitation":"(Stoller &amp; Nguyen, 2020)","previouslyFormattedCitation":"(Stoller &amp; Nguyen, 2020)"},"properties":{"noteIndex":0},"schema":"https://github.com/citation-style-language/schema/raw/master/csl-citation.json"}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(Stoller &amp; Nguyen, 2020</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 xml:space="preserve">; </w:t>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{"citationItems":[{"id":"ITEM-1","itemData":{"DOI":"10.33603/dj.v8i1.4613","ISSN":"2548-5490","author":[{"dropping-particle":"","family":"Damaianti","given":"Vismaia Sabariah","non-dropping-particle":"","parse-names":false,"suffix":""}],"container-title":"Deiksis: Jurnal Pendidikan Bahasa dan Sastra Indonesia","id":"ITEM-1","issue":"1","issued":{"date-parts":[["2021","2","20"]]},"page":"52","title":"Strategi Regulasi Diri dalam Peningkatan Motivasi Membaca","type":"article-journal","volume":"8"},"uris":["http://www.mendeley.com/documents/?uuid=ff014a05-aa12-4288-826a-9342eb018415"]}],"mendeley":{"formattedCitation":"(Damaianti, 2021)","manualFormatting":"Damaianti, 2021)","plainTextFormattedCitation":"(Damaianti, 2021)","previouslyFormattedCitation":"(Damaianti, 2021)"},"properties":{"noteIndex":0},"schema":"https://github.com/citation-style-language/schema/raw/master/csl-citation.json"}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Damaianti, 2021)</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w:t>
      </w:r>
      <w:r w:rsidRPr="00D93E35">
        <w:t xml:space="preserve"> </w:t>
      </w:r>
    </w:p>
    <w:p w:rsidR="00A32FC3" w:rsidRPr="00D93E35" w:rsidRDefault="00A32FC3" w:rsidP="00A32FC3">
      <w:pPr>
        <w:ind w:firstLine="720"/>
        <w:jc w:val="both"/>
      </w:pPr>
      <w:r w:rsidRPr="00D93E35">
        <w:rPr>
          <w:rFonts w:ascii="Cambria" w:eastAsia="Cambria" w:hAnsi="Cambria" w:cs="Cambria"/>
          <w:sz w:val="20"/>
          <w:szCs w:val="20"/>
        </w:rPr>
        <w:t xml:space="preserve">Experts have diverse views on the level of reading comprehension </w:t>
      </w:r>
      <w:hyperlink r:id="rId21"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tate.2022.103829","ISSN":"0742051X","author":[{"dropping-particle":"","family":"Kimhi","given":"Yael","non-dropping-particle":"","parse-names":false,"suffix":""},{"dropping-particle":"","family":"Sokol","given":"Orit","non-dropping-particle":"","parse-names":false,"suffix":""},{"dropping-particle":"","family":"Lavian","given":"Rivka Hillel","non-dropping-particle":"","parse-names":false,"suffix":""}],"container-title":"Teaching and Teacher Education","id":"ITEM-1","issued":{"date-parts":[["2022","10"]]},"page":"103829","title":"Professional competence of teachers: Improving reading comprehension in classes for children with autism spectrum disorder (ASD)","type":"article-journal","volume":"118"},"uris":["http://www.mendeley.com/documents/?uuid=b94c44af-7b91-4fc0-8280-90bb24fde2fd"]}],"mendeley":{"formattedCitation":"(Kimhi et al., 2022)","manualFormatting":"(Kimhi et al., 2022 ; Zhang &amp; Pérez-Paredes, 2024)","plainTextFormattedCitation":"(Kimhi et al., 2022)","previouslyFormattedCitation":"(Kimhi et al., 2022)"},"properties":{"noteIndex":0},"schema":"https://github.com/citation-style-language/schema/raw/master/csl-citation.json"}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(Kimhi et al., 2022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system.2024.103221","ISSN":"0346251X","author":[{"dropping-particle":"","family":"Zhang","given":"Danyang","non-dropping-particle":"","parse-names":false,"suffix":""},{"dropping-particle":"","family":"Pérez-Paredes","given":"Pascual","non-dropping-particle":"","parse-names":false,"suffix":""}],"container-title":"System","id":"ITEM-1","issued":{"date-parts":[["2024","4"]]},"page":"103221","title":"Chinese EFL learners’ use of mobile dictionaries in reading comprehension tasks","type":"article-journal","volume":"121"},"uris":["http://www.mendeley.com/documents/?uuid=eee60cc8-c6e2-4a34-9840-f2e0c697def7"]}],"mendeley":{"formattedCitation":"(D. Zhang &amp; Pérez-Paredes, 2024)","manualFormatting":"Zhang &amp; Pérez-Paredes, 2024)","plainTextFormattedCitation":"(D. Zhang &amp; Pérez-Paredes, 2024)","previouslyFormattedCitation":"(D. Zhang &amp; Pérez-Paredes, 2024)"},"properties":{"noteIndex":0},"schema":"https://github.com/citation-style-language/schema/raw/master/csl-citation.json"}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Zhang &amp; Pérez-Paredes, 2024)</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This comprehension can be categorized into four types  </w:t>
      </w:r>
      <w:hyperlink r:id="rId22"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ola.2024.101269","ISSN":"25901184","author":[{"dropping-particle":"","family":"Singh","given":"Divjot","non-dropping-particle":"","parse-names":false,"suffix":""},{"dropping-particle":"","family":"Mishra","given":"Ashutosh","non-dropping-particle":"","parse-names":false,"suffix":""},{"dropping-particle":"","family":"Aggarwal","given":"Ashutosh","non-dropping-particle":"","parse-names":false,"suffix":""}],"container-title":"Journal of Computer Languages","id":"ITEM-1","issued":{"date-parts":[["2024","6"]]},"page":"101269","title":"An empirical approach to understand the role of emotions in code comprehension","type":"article-journal","volume":"79"},"uris":["http://www.mendeley.com/documents/?uuid=45d872f5-7c84-458f-972c-73d36a2860b1"]}],"mendeley":{"formattedCitation":"(Singh et al., 2024)","plainTextFormattedCitation":"(Singh et al., 2024)","previouslyFormattedCitation":"(Singh et al.,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(Singh et al., 2024)</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The first level is literal comprehension, which involves a basic understanding of the text. The second level, inferential comprehension, involves understanding information that is not directly stated or implied in the text. Next, the third level is critical comprehension, and finally, the fourth level is creative comprehension. Listening comprehension is a skill that is often overlooked in Second Language achievement. Listening activities make an important contribution to language learning and communication, as it is considered an active process, although it is often perceived as a passive activity by students  </w:t>
      </w:r>
      <w:hyperlink r:id="rId23"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{"citationItems":[{"id":"ITEM-1","itemData":{"DOI":"10.31603/cakrawala.v11i1.107","ISSN":"2550-0880","abstract":"Dalam perkembangan dunia pendidikan berpengaruh pada proses pembelajaran dan hasil belajar khususnya untuk siswa SD/MI. Berbicara tentang proses pembelajaran sering disebutkan bahwa seorang gurulah yang bertanggung jawab atas keberhasilan suatu kegiatan belajar mengajar. Oleh karena itu ujung tombak keberhasilan sebuah pembelajaran terletak pada guru. Pembelajaran dikatakan berhasil apabila prestasi belajar siswa atau nilai siswa banyak yang diatas KKM. Kreatifitas seorang guru sering dianggap tidak kreatif dan inovatif ketika guru hanya menggunakan metode ceramah, karena banyak kalangan yang mengatakan bahwa metode ceramah adalah metode konvensional dan monoton sehingga saat ini metode ceramah sudah mulai dikesampingkan. Dari banyaknya persepsi yang mengatakan hal itu membuat penulis ingin mengkaji tentang urgensi dan dualisme metode ceramah dalam pembelajaran untuk siswa SD/MI. Menurut penulis metode ceramah adalah sebuah metode yang istimewa yang tidak bisa berdiri sendiri tapi sudah include di setiap model dan metode pembelajaran. Terlebih khususnya untuk siswa SD/MI, Jadi metode ceramah tidak lagi menjadi metode monoton tetapi metode yang istimewa karena menjadi power full transferred informasi materi terhadap siswa dan jalannya proses pembelajaran. Sehingga ceramah bukan lagi metode monoton atupun konvensional tetapi sebuah metode multifungsi.","author":[{"dropping-particle":"","family":"Mahmudah","given":"Masruroh","non-dropping-particle":"","parse-names":false,"suffix":""}],"container-title":"Cakrawala: Jurnal Studi Islam","id":"ITEM-1","issue":"1","issued":{"date-parts":[["2016","6","27"]]},"page":"116-129","title":"Urgensi Diantara Dualisme Metode Pembelajaran Ceramah Dalam Kegiatan Belajar Mengajar Untuk Siswa MI/SD","type":"article-journal","volume":"11"},"uris":["http://www.mendeley.com/documents/?uuid=caafbce2-9762-466a-8f6b-d50a37a5177a"]}],"mendeley":{"formattedCitation":"(Mahmudah, 2016)","manualFormatting":"(Mahmudah, 2016 ","plainTextFormattedCitation":"(Mahmudah, 2016)","previouslyFormattedCitation":"(Mahmudah, 2016)"},"properties":{"noteIndex":0},"schema":"https://github.com/citation-style-language/schema/raw/master/csl-citation.json"}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(Mahmudah, 2016 </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 xml:space="preserve">; </w:t>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{"citationItems":[{"id":"ITEM-1","itemData":{"DOI":"10.1016/j.tate.2024.104554","ISSN":"0742051X","author":[{"dropping-particle":"","family":"Mäkipää","given":"Toni","non-dropping-particle":"","parse-names":false,"suffix":""}],"container-title":"Teaching and Teacher Education","id":"ITEM-1","issued":{"date-parts":[["2024","6"]]},"page":"104554","title":"Upper secondary students’ perceptions of feedback literacy in second language learning in Finland – A qualitative case study","type":"article-journal","volume":"143"},"uris":["http://www.mendeley.com/documents/?uuid=2e7674fe-011b-42fc-8872-5965da005228"]}],"mendeley":{"formattedCitation":"(Mäkipää, 2024)","manualFormatting":"Mäkipää, 2024)","plainTextFormattedCitation":"(Mäkipää, 2024)","previouslyFormattedCitation":"(Mäkipää,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Mäkipää, 2024)</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w:t>
      </w:r>
      <w:r w:rsidRPr="00D93E35">
        <w:t xml:space="preserve"> </w:t>
      </w:r>
    </w:p>
    <w:p w:rsidR="00A32FC3" w:rsidRPr="00D93E35" w:rsidRDefault="00A32FC3" w:rsidP="00A32FC3">
      <w:pPr>
        <w:ind w:firstLine="720"/>
        <w:jc w:val="both"/>
        <w:rPr>
          <w:rFonts w:ascii="Cambria" w:eastAsia="Cambria" w:hAnsi="Cambria" w:cs="Cambria"/>
          <w:sz w:val="20"/>
          <w:szCs w:val="20"/>
        </w:rPr>
      </w:pPr>
      <w:r w:rsidRPr="00D93E35">
        <w:rPr>
          <w:rFonts w:ascii="Cambria" w:eastAsia="Cambria" w:hAnsi="Cambria" w:cs="Cambria"/>
          <w:sz w:val="20"/>
          <w:szCs w:val="20"/>
        </w:rPr>
        <w:t xml:space="preserve">The quality of the teaching and learning process is measured based on the extent to which students master basic skills in the subject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stueduc.2023.101260","ISSN":"0191491X","author":[{"dropping-particle":"","family":"Adams","given":"Britt","non-dropping-particle":"","parse-names":false,"suffix":""},{"dropping-particle":"","family":"Thomas","given":"Laura","non-dropping-particle":"","parse-names":false,"suffix":""},{"dropping-particle":"","family":"Moens","given":"Maxime","non-dropping-particle":"","parse-names":false,"suffix":""},{"dropping-particle":"","family":"Valcke","given":"Martin","non-dropping-particle":"","parse-names":false,"suffix":""}],"container-title":"Studies in Educational Evaluation","id":"ITEM-1","issued":{"date-parts":[["2023","6"]]},"page":"101260","title":"University teachers as versatile masters: Evaluating the effectiveness of a professional development programme on student-centred teaching competencies","type":"article-journal","volume":"77"},"uris":["http://www.mendeley.com/documents/?uuid=b7c42392-f4ca-479a-9fef-10c3048ad3c7"]}],"mendeley":{"formattedCitation":"(Adams et al., 2023)","manualFormatting":"(Adams et al., 2023 ; Attig et al., 2024)","plainTextFormattedCitation":"(Adams et al., 2023)","previouslyFormattedCitation":"(Adams et al., 2023)"},"properties":{"noteIndex":0},"schema":"https://github.com/citation-style-language/schema/raw/master/csl-citation.json"}</w:instrText>
      </w:r>
      <w:r w:rsidRPr="00D93E35">
        <w:rPr>
          <w:rFonts w:ascii="Cambria" w:eastAsia="Cambria" w:hAnsi="Cambria" w:cs="Cambria"/>
          <w:sz w:val="20"/>
          <w:szCs w:val="20"/>
        </w:rPr>
        <w:fldChar w:fldCharType="separate"/>
      </w:r>
      <w:hyperlink r:id="rId24" w:history="1">
        <w:r w:rsidRPr="00D93E35">
          <w:rPr>
            <w:rStyle w:val="Hyperlink"/>
            <w:rFonts w:ascii="Cambria" w:eastAsia="Cambria" w:hAnsi="Cambria" w:cs="Cambria"/>
            <w:noProof/>
            <w:sz w:val="20"/>
            <w:szCs w:val="20"/>
          </w:rPr>
          <w:t xml:space="preserve">(Adams et al., 2023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stueduc.2024.101347","ISSN":"0191491X","author":[{"dropping-particle":"","family":"Attig","given":"Manja","non-dropping-particle":"","parse-names":false,"suffix":""},{"dropping-particle":"","family":"Hoferichter","given":"Frances","non-dropping-particle":"","parse-names":false,"suffix":""},{"dropping-particle":"","family":"Steinmann","given":"Isa","non-dropping-particle":"","parse-names":false,"suffix":""},{"dropping-particle":"","family":"Strietholt","given":"Rolf","non-dropping-particle":"","parse-names":false,"suffix":""}],"container-title":"Studies in Educational Evaluation","id":"ITEM-1","issued":{"date-parts":[["2024","6"]]},"page":"101347","title":"Teaching quality and student reading outcomes: Evidence from a longitudinal study from grade 5 to 7","type":"article-journal","volume":"81"},"uris":["http://www.mendeley.com/documents/?uuid=bae72a9d-6d30-4966-a217-cb00fd3b8479"]}],"mendeley":{"formattedCitation":"(Attig et al., 2024)","manualFormatting":"Attig et al., 2024)","plainTextFormattedCitation":"(Attig et al., 2024)","previouslyFormattedCitation":"(Attig et al., 2024)"},"properties":{"noteIndex":0},"schema":"https://github.com/citation-style-language/schema/raw/master/csl-citation.json"}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Attig et al., 2024)</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These skills include knowledge, abilities and attitudes. However, not all students reach the expected level of achievement. To improve learning outcomes, it is important for teachers to choose appropriate learning strategies, strengthen students' learning abilities, and ultimately, improve their academic performance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lmot.2023.101913","ISSN":"00239690","author":[{"dropping-particle":"","family":"Li","given":"Qian","non-dropping-particle":"","parse-names":false,"suffix":""},{"dropping-particle":"","family":"Yan","given":"Fei","non-dropping-particle":"","parse-names":false,"suffix":""}],"container-title":"Learning and Motivation","id":"ITEM-1","issued":{"date-parts":[["2023","11"]]},"page":"101913","title":"Community theory-based learning framework for Higher education","type":"article-journal","volume":"84"},"uris":["http://www.mendeley.com/documents/?uuid=a29e6016-3096-4f14-b2a5-236b481b2096"]}],"mendeley":{"formattedCitation":"(Li &amp; Yan, 2023)","manualFormatting":"(Li &amp; Yan, 2023 ; Mutoni Griffiths et al., 2023)","plainTextFormattedCitation":"(Li &amp; Yan, 2023)","previouslyFormattedCitation":"(Li &amp; Yan, 2023)"},"properties":{"noteIndex":0},"schema":"https://github.com/citation-style-language/schema/raw/master/csl-citation.json"}</w:instrText>
      </w:r>
      <w:r w:rsidRPr="00D93E35">
        <w:rPr>
          <w:rFonts w:ascii="Cambria" w:eastAsia="Cambria" w:hAnsi="Cambria" w:cs="Cambria"/>
          <w:sz w:val="20"/>
          <w:szCs w:val="20"/>
        </w:rPr>
        <w:fldChar w:fldCharType="separate"/>
      </w:r>
      <w:hyperlink r:id="rId25" w:history="1">
        <w:r w:rsidRPr="00D93E35">
          <w:rPr>
            <w:rStyle w:val="Hyperlink"/>
            <w:rFonts w:ascii="Cambria" w:eastAsia="Cambria" w:hAnsi="Cambria" w:cs="Cambria"/>
            <w:noProof/>
            <w:sz w:val="20"/>
            <w:szCs w:val="20"/>
          </w:rPr>
          <w:t xml:space="preserve">(Li &amp; Yan, 2023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{"citationItems":[{"id":"ITEM-1","itemData":{"DOI":"10.1016/j.cedpsych.2022.102145","ISSN":"0361476X","author":[{"dropping-particle":"","family":"Mutoni Griffiths","given":"Camilla","non-dropping-particle":"","parse-names":false,"suffix":""},{"dropping-particle":"","family":"Murdock-Perriera","given":"Lisel","non-dropping-particle":"","parse-names":false,"suffix":""},{"dropping-particle":"","family":"L Eberhardt","given":"Jennifer","non-dropping-particle":"","parse-names":false,"suffix":""}],"container-title":"Contemporary Educational Psychology","id":"ITEM-1","issued":{"date-parts":[["2023","4"]]},"page":"102145","title":"“Can you tell me more about this?”: Agentic written feedback, teacher expectations, and student learning","type":"article-journal","volume":"73"},"uris":["http://www.mendeley.com/documents/?uuid=be155ccc-9f44-4d9a-b609-dc1af52d0446"]}],"mendeley":{"formattedCitation":"(Mutoni Griffiths et al., 2023)","manualFormatting":"Mutoni Griffiths et al., 2023)","plainTextFormattedCitation":"(Mutoni Griffiths et al., 2023)","previouslyFormattedCitation":"(Mutoni Griffiths et al.,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Mutoni Griffiths et al., 2023)</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One of the key competencies of a teacher is his or her ability to manage the classroom during the learning process, which involves expertise in using various learning strategies, models and learning materials that can trigger students' interest in learning so that their learning achievement can be improved. Based on comparative studies of teacher education in developed countries with well-established systems, teacher education programs strive to link theory and practice through the design of high-quality work reflection and clinical work integration </w:t>
      </w:r>
      <w:hyperlink r:id="rId26"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{"citationItems":[{"id":"ITEM-1","itemData":{"DOI":"10.18860/jpips.v3i2.6859","ISSN":"2614-5480","abstract":"Department of Social Sciences Education Faculty of Tarbiyah and Teacher Training (FITK) conducts Field Work Practice (PKL) for students at leading schools / madrasahs in East Java. On an ongoing basis the activities are developed with an internship pattern following the provisions in the framework of Indonesian national qualification (KKNI). The purpose of this study focuses on the evaluation of the implementation of field work practices in applying internships to the curriculum of social science education based on KKNI. This research uses qualitative approach, especially using evaluation research. From the results of the discussion can be concluded: (1) The results of monitoring and supervision of the implementation of field work practices conducted by using standardized statement instrument sheet, (2) Responses and evaluations regarding the implementation of field work practices showed good results in terms of administration, This internship program is an integral part for students of IPS FITK UIN Maulana Malik Ibrahim Malang. Suggestions that can be recommended from the results of this study are: (1) Implementation of a good street vendors can be continuously improved and updated in technical implementation with electronic electronic systems based online, (2) Evaluation of the good about street vendors continue to be maintained and improved by establishing More intensive communication between the parties concerned, (3) Enrollment of apprenticeship in the curriculum of social science education based on KKNI that has been designed and set out to be a special marker character must be maintained and guarded in its implementation and constantly evaluated periodically and continuously in the improvement Keywords: Evaluation of PKL, Enforcement of Internship, Curriculum of Education of Social Sciences Based KKNI.","author":[{"dropping-particle":"","family":"Bashith","given":"Abdul","non-dropping-particle":"","parse-names":false,"suffix":""}],"container-title":"J-PIPS (Jurnal Pendidikan Ilmu Pengetahuan Sosial)","id":"ITEM-1","issue":"2","issued":{"date-parts":[["2017","6","30"]]},"page":"112","title":"Evaluasi Program Praktik Kerja Lapangan Dalam Pemberlakuan Magang Pada Kurikulum Jurusan Pendidikan Ilmu Pengetahuan Sosial Berbasis Kkni","type":"article-journal","volume":"3"},"uris":["http://www.mendeley.com/documents/?uuid=c42c5d3a-9b4b-4484-af8b-f607544dce66"]}],"mendeley":{"formattedCitation":"(Bashith, 2017)","manualFormatting":"(Bashith, 2017","plainTextFormattedCitation":"(Bashith, 2017)","previouslyFormattedCitation":"(Bashith, 2017)"},"properties":{"noteIndex":0},"schema":"https://github.com/citation-style-language/schema/raw/master/csl-citation.json"}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(Bashith, 2017</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w:t>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{"citationItems":[{"id":"ITEM-1","itemData":{"DOI":"10.1016/j.heliyon.2021.e05928","ISSN":"24058440","author":[{"dropping-particle":"","family":"Wiziack","given":"João Carlos","non-dropping-particle":"","parse-names":false,"suffix":""},{"dropping-particle":"","family":"Santos","given":"Vitor Manuel Pereira Duarte","non-dropping-particle":"dos","parse-names":false,"suffix":""}],"container-title":"Heliyon","id":"ITEM-1","issue":"1","issued":{"date-parts":[["2021","1"]]},"page":"e05928","title":"Evaluating an integrated cognitive competencies model to enhance teachers’ application of technology in large-scale educational contexts","type":"article-journal","volume":"7"},"uris":["http://www.mendeley.com/documents/?uuid=aa786599-2958-420d-a0d6-0dfe67e8729e"]}],"mendeley":{"formattedCitation":"(Wiziack &amp; dos Santos, 2021)","manualFormatting":"Wiziack &amp; dos Santos, 2021)","plainTextFormattedCitation":"(Wiziack &amp; dos Santos, 2021)","previouslyFormattedCitation":"(Wiziack &amp; dos Santos, 2021)"},"properties":{"noteIndex":0},"schema":"https://github.com/citation-style-language/schema/raw/master/csl-citation.json"}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Wiziack &amp; dos Santos, 2021)</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 </w:t>
      </w:r>
    </w:p>
    <w:p w:rsidR="00A32FC3" w:rsidRPr="00D93E35" w:rsidRDefault="00A32FC3" w:rsidP="00A32FC3">
      <w:pPr>
        <w:ind w:firstLine="720"/>
        <w:jc w:val="both"/>
        <w:rPr>
          <w:rFonts w:ascii="Cambria" w:eastAsia="Cambria" w:hAnsi="Cambria" w:cs="Cambria"/>
          <w:sz w:val="20"/>
          <w:szCs w:val="20"/>
        </w:rPr>
      </w:pPr>
      <w:r w:rsidRPr="00D93E35">
        <w:rPr>
          <w:rFonts w:ascii="Cambria" w:eastAsia="Cambria" w:hAnsi="Cambria" w:cs="Cambria"/>
          <w:sz w:val="20"/>
          <w:szCs w:val="20"/>
        </w:rPr>
        <w:t xml:space="preserve">Based on the results of an initial study conducted through a survey of teachers and students at SDN 15 </w:t>
      </w:r>
      <w:proofErr w:type="spellStart"/>
      <w:r w:rsidRPr="00D93E35">
        <w:rPr>
          <w:rFonts w:ascii="Cambria" w:eastAsia="Cambria" w:hAnsi="Cambria" w:cs="Cambria"/>
          <w:sz w:val="20"/>
          <w:szCs w:val="20"/>
        </w:rPr>
        <w:t>Melayang</w:t>
      </w:r>
      <w:proofErr w:type="spellEnd"/>
      <w:r w:rsidRPr="00D93E35">
        <w:rPr>
          <w:rFonts w:ascii="Cambria" w:eastAsia="Cambria" w:hAnsi="Cambria" w:cs="Cambria"/>
          <w:sz w:val="20"/>
          <w:szCs w:val="20"/>
        </w:rPr>
        <w:t xml:space="preserve">, </w:t>
      </w:r>
      <w:proofErr w:type="spellStart"/>
      <w:r w:rsidRPr="00D93E35">
        <w:rPr>
          <w:rFonts w:ascii="Cambria" w:eastAsia="Cambria" w:hAnsi="Cambria" w:cs="Cambria"/>
          <w:sz w:val="20"/>
          <w:szCs w:val="20"/>
        </w:rPr>
        <w:t>Sintang</w:t>
      </w:r>
      <w:proofErr w:type="spellEnd"/>
      <w:r w:rsidRPr="00D93E35">
        <w:rPr>
          <w:rFonts w:ascii="Cambria" w:eastAsia="Cambria" w:hAnsi="Cambria" w:cs="Cambria"/>
          <w:sz w:val="20"/>
          <w:szCs w:val="20"/>
        </w:rPr>
        <w:t xml:space="preserve"> district, some interesting findings were identified. Interviews with teachers showed that there was a low level of student engagement, and some of them experienced difficulties in reading during the learning process. Starting in March 2020, the COVID-19 pandemic and school closures followed by calls to stay at home, physical distancing, and government-mandated safety measures have resulted in substantial changes in students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heliyon.2024.e27588","ISSN":"24058440","author":[{"dropping-particle":"","family":"Nasar","given":"Sameen","non-dropping-particle":"","parse-names":false,"suffix":""},{"dropping-particle":"","family":"Shome","given":"Rituja","non-dropping-particle":"","parse-names":false,"suffix":""},{"dropping-particle":"","family":"Kabir","given":"Selima","non-dropping-particle":"","parse-names":false,"suffix":""},{"dropping-particle":"","family":"Gnani","given":"Shamini","non-dropping-particle":"","parse-names":false,"suffix":""},{"dropping-particle":"","family":"Rao","given":"Mala","non-dropping-particle":"","parse-names":false,"suffix":""},{"dropping-particle":"","family":"Rashid","given":"Sabina F.","non-dropping-particle":"","parse-names":false,"suffix":""}],"container-title":"Heliyon","id":"ITEM-1","issue":"6","issued":{"date-parts":[["2024","3"]]},"page":"e27588","title":"Understanding the impacts of COVID-19 pandemic on mental health and well-being among university students in Dhaka, Bangladesh: A nested mixed-methods study","type":"article-journal","volume":"10"},"uris":["http://www.mendeley.com/documents/?uuid=6379633e-cf24-49c9-8a48-272f9eb8c41f"]}],"mendeley":{"formattedCitation":"(Nasar et al., 2024)","manualFormatting":"(Nasar et al., 2024 ; Bardosh et al., 2023)","plainTextFormattedCitation":"(Nasar et al., 2024)","previouslyFormattedCitation":"(Nasar et al., 2024)"},"properties":{"noteIndex":0},"schema":"https://github.com/citation-style-language/schema/raw/master/csl-citation.json"}</w:instrText>
      </w:r>
      <w:r w:rsidRPr="00D93E35">
        <w:rPr>
          <w:rFonts w:ascii="Cambria" w:eastAsia="Cambria" w:hAnsi="Cambria" w:cs="Cambria"/>
          <w:sz w:val="20"/>
          <w:szCs w:val="20"/>
        </w:rPr>
        <w:fldChar w:fldCharType="separate"/>
      </w:r>
      <w:hyperlink r:id="rId27" w:history="1">
        <w:r w:rsidRPr="00D93E35">
          <w:rPr>
            <w:rStyle w:val="Hyperlink"/>
            <w:rFonts w:ascii="Cambria" w:eastAsia="Cambria" w:hAnsi="Cambria" w:cs="Cambria"/>
            <w:noProof/>
            <w:sz w:val="20"/>
            <w:szCs w:val="20"/>
          </w:rPr>
          <w:t xml:space="preserve">(Nasar et al., 2024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socscimed.2023.116076","ISSN":"02779536","author":[{"dropping-particle":"","family":"Bardosh","given":"Kevin","non-dropping-particle":"","parse-names":false,"suffix":""},{"dropping-particle":"","family":"Jean","given":"Lorence","non-dropping-particle":"","parse-names":false,"suffix":""},{"dropping-particle":"","family":"Desir","given":"Luccene","non-dropping-particle":"","parse-names":false,"suffix":""},{"dropping-particle":"","family":"Yoss","given":"Sarah","non-dropping-particle":"","parse-names":false,"suffix":""},{"dropping-particle":"","family":"Poovey","given":"Brianna","non-dropping-particle":"","parse-names":false,"suffix":""},{"dropping-particle":"","family":"Beau de Rochars","given":"Madsen Valerie","non-dropping-particle":"","parse-names":false,"suffix":""},{"dropping-particle":"","family":"Noland","given":"Gregory S.","non-dropping-particle":"","parse-names":false,"suffix":""}],"container-title":"Social Science &amp; Medicine","id":"ITEM-1","issued":{"date-parts":[["2023","8"]]},"page":"116076","title":"Was lockdown worth it? community perspectives and experiences of the Covid-19 pandemic in remote southwestern Haiti","type":"article-journal","volume":"331"},"uris":["http://www.mendeley.com/documents/?uuid=2779d67e-55e2-4bfe-b748-0ff0b52274c4"]}],"mendeley":{"formattedCitation":"(Bardosh et al., 2023)","manualFormatting":"Bardosh et al., 2023)","plainTextFormattedCitation":"(Bardosh et al., 2023)","previouslyFormattedCitation":"(Bardosh et al.,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Bardosh et al., 2023)</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This seems to be related to the more teacher-</w:t>
      </w:r>
      <w:proofErr w:type="spellStart"/>
      <w:r w:rsidRPr="00D93E35">
        <w:rPr>
          <w:rFonts w:ascii="Cambria" w:eastAsia="Cambria" w:hAnsi="Cambria" w:cs="Cambria"/>
          <w:sz w:val="20"/>
          <w:szCs w:val="20"/>
        </w:rPr>
        <w:t>centered</w:t>
      </w:r>
      <w:proofErr w:type="spellEnd"/>
      <w:r w:rsidRPr="00D93E35">
        <w:rPr>
          <w:rFonts w:ascii="Cambria" w:eastAsia="Cambria" w:hAnsi="Cambria" w:cs="Cambria"/>
          <w:sz w:val="20"/>
          <w:szCs w:val="20"/>
        </w:rPr>
        <w:t xml:space="preserve"> learning approach, which pays less attention to students' active involvement in the learning process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{"citationItems":[{"id":"ITEM-1","itemData":{"DOI":"10.1016/j.tate.2023.104415","ISSN":"0742051X","author":[{"dropping-particle":"","family":"Woods","given":"Peter J.","non-dropping-particle":"","parse-names":false,"suffix":""},{"dropping-particle":"","family":"Copur-Gencturk","given":"Y.","non-dropping-particle":"","parse-names":false,"suffix":""}],"container-title":"Teaching and Teacher Education","id":"ITEM-1","issued":{"date-parts":[["2024","2"]]},"page":"104415","title":"Examining the role of student-centered versus teacher-centered pedagogical approaches to self-directed learning through teaching","type":"article-journal","volume":"138"},"uris":["http://www.mendeley.com/documents/?uuid=7089d277-2cf2-4c48-b9aa-f1aefbce5b3b"]}],"mendeley":{"formattedCitation":"(Woods &amp; Copur-Gencturk, 2024)","manualFormatting":"(Woods &amp; Copur-Gencturk, 2024 ; Hwang et al., 2024)","plainTextFormattedCitation":"(Woods &amp; Copur-Gencturk, 2024)","previouslyFormattedCitation":"(Woods &amp; Copur-Gencturk, 2024)"},"properties":{"noteIndex":0},"schema":"https://github.com/citation-style-language/schema/raw/master/csl-citation.json"}</w:instrText>
      </w:r>
      <w:r w:rsidRPr="00D93E35">
        <w:rPr>
          <w:rFonts w:ascii="Cambria" w:eastAsia="Cambria" w:hAnsi="Cambria" w:cs="Cambria"/>
          <w:sz w:val="20"/>
          <w:szCs w:val="20"/>
        </w:rPr>
        <w:fldChar w:fldCharType="separate"/>
      </w:r>
      <w:hyperlink r:id="rId28" w:history="1">
        <w:r w:rsidRPr="00D93E35">
          <w:rPr>
            <w:rStyle w:val="Hyperlink"/>
            <w:rFonts w:ascii="Cambria" w:eastAsia="Cambria" w:hAnsi="Cambria" w:cs="Cambria"/>
            <w:noProof/>
            <w:sz w:val="20"/>
            <w:szCs w:val="20"/>
          </w:rPr>
          <w:t xml:space="preserve">(Woods &amp; Copur-Gencturk, 2024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jmathb.2023.101120","ISSN":"07323123","author":[{"dropping-particle":"","family":"Hwang","given":"Stephen","non-dropping-particle":"","parse-names":false,"suffix":""},{"dropping-particle":"","family":"Xu","given":"Ranran","non-dropping-particle":"","parse-names":false,"suffix":""},{"dropping-particle":"","family":"Yao","given":"Yiling","non-dropping-particle":"","parse-names":false,"suffix":""},{"dropping-particle":"","family":"Cai","given":"Jinfa","non-dropping-particle":"","parse-names":false,"suffix":""}],"container-title":"The Journal of Mathematical Behavior","id":"ITEM-1","issued":{"date-parts":[["2024","3"]]},"page":"101120","title":"Learning to teach through problem posing: A teacher’s journey in a networked teacher−researcher partnership","type":"article-journal","volume":"73"},"uris":["http://www.mendeley.com/documents/?uuid=dafcf36d-eb02-4633-993a-c96f52107d40"]}],"mendeley":{"formattedCitation":"(Hwang et al., 2024)","manualFormatting":"Hwang et al., 2024)","plainTextFormattedCitation":"(Hwang et al., 2024)","previouslyFormattedCitation":"(Hwang et al., 2024)"},"properties":{"noteIndex":0},"schema":"https://github.com/citation-style-language/schema/raw/master/csl-citation.json"}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Hwang et al., 2024)</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The results of the researcher's observations and interviews with grade V students at SDN 15 </w:t>
      </w:r>
      <w:proofErr w:type="spellStart"/>
      <w:r w:rsidRPr="00D93E35">
        <w:rPr>
          <w:rFonts w:ascii="Cambria" w:eastAsia="Cambria" w:hAnsi="Cambria" w:cs="Cambria"/>
          <w:sz w:val="20"/>
          <w:szCs w:val="20"/>
        </w:rPr>
        <w:t>Melayang</w:t>
      </w:r>
      <w:proofErr w:type="spellEnd"/>
      <w:r w:rsidRPr="00D93E35">
        <w:rPr>
          <w:rFonts w:ascii="Cambria" w:eastAsia="Cambria" w:hAnsi="Cambria" w:cs="Cambria"/>
          <w:sz w:val="20"/>
          <w:szCs w:val="20"/>
        </w:rPr>
        <w:t xml:space="preserve">, </w:t>
      </w:r>
      <w:proofErr w:type="spellStart"/>
      <w:r w:rsidRPr="00D93E35">
        <w:rPr>
          <w:rFonts w:ascii="Cambria" w:eastAsia="Cambria" w:hAnsi="Cambria" w:cs="Cambria"/>
          <w:sz w:val="20"/>
          <w:szCs w:val="20"/>
        </w:rPr>
        <w:t>Sintang</w:t>
      </w:r>
      <w:proofErr w:type="spellEnd"/>
      <w:r w:rsidRPr="00D93E35">
        <w:rPr>
          <w:rFonts w:ascii="Cambria" w:eastAsia="Cambria" w:hAnsi="Cambria" w:cs="Cambria"/>
          <w:sz w:val="20"/>
          <w:szCs w:val="20"/>
        </w:rPr>
        <w:t xml:space="preserve">, also support this finding. They highlighted difficulties in learning Indonesian, particularly in reading among grade V students. Educators tend to rarely incorporate writing assessment into the science curriculum, more often using writing as an evaluation tool to measure student understanding  </w:t>
      </w:r>
      <w:hyperlink r:id="rId29"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{"citationItems":[{"id":"ITEM-1","itemData":{"DOI":"10.1016/j.caeo.2022.100082","ISSN":"26665573","author":[{"dropping-particle":"","family":"Wen","given":"Xue","non-dropping-particle":"","parse-names":false,"suffix":""},{"dropping-particle":"","family":"Walters","given":"Shauna M.","non-dropping-particle":"","parse-names":false,"suffix":""}],"container-title":"Computers and Education Open","id":"ITEM-1","issued":{"date-parts":[["2022","12"]]},"page":"100082","title":"The Impact of Technology on Students’ Writing Performances in Elementary Classrooms: A Meta-Analysis","type":"article-journal","volume":"3"},"uris":["http://www.mendeley.com/documents/?uuid=3c67c758-ce41-4ccf-a5d3-be4a93c0febf"]}],"mendeley":{"formattedCitation":"(Wen &amp; Walters, 2022)","manualFormatting":"(Wen &amp; Walters, 2022 ; Liu et al., 2021)","plainTextFormattedCitation":"(Wen &amp; Walters, 2022)","previouslyFormattedCitation":"(Wen &amp; Walters, 2022)"},"properties":{"noteIndex":0},"schema":"https://github.com/citation-style-language/schema/raw/master/csl-citation.json"}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(Wen &amp; Walters, 2022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chb.2021.106733","ISSN":"07475632","author":[{"dropping-particle":"","family":"Liu","given":"Ming","non-dropping-particle":"","parse-names":false,"suffix":""},{"dropping-particle":"","family":"Kitto","given":"Kirsty","non-dropping-particle":"","parse-names":false,"suffix":""},{"dropping-particle":"","family":"Buckingham Shum","given":"Simon","non-dropping-particle":"","parse-names":false,"suffix":""}],"container-title":"Computers in Human Behavior","id":"ITEM-1","issued":{"date-parts":[["2021","7"]]},"page":"106733","title":"Combining factor analysis with writing analytics for the formative assessment of written reflection","type":"article-journal","volume":"120"},"uris":["http://www.mendeley.com/documents/?uuid=b1d793c7-ac41-4cd9-aa9d-64826e8e3339"]}],"mendeley":{"formattedCitation":"(Liu et al., 2021)","manualFormatting":"Liu et al., 2021)","plainTextFormattedCitation":"(Liu et al., 2021)","previouslyFormattedCitation":"(Liu et al., 2021)"},"properties":{"noteIndex":0},"schema":"https://github.com/citation-style-language/schema/raw/master/csl-citation.json"}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Liu et al., 2021)</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w:t>
      </w:r>
    </w:p>
    <w:p w:rsidR="00A32FC3" w:rsidRPr="00D93E35" w:rsidRDefault="00A32FC3" w:rsidP="00A32FC3">
      <w:pPr>
        <w:ind w:firstLine="720"/>
        <w:jc w:val="both"/>
        <w:rPr>
          <w:rFonts w:ascii="Cambria" w:eastAsia="Cambria" w:hAnsi="Cambria" w:cs="Cambria"/>
          <w:sz w:val="20"/>
          <w:szCs w:val="20"/>
        </w:rPr>
      </w:pPr>
      <w:r w:rsidRPr="00AA63BA">
        <w:rPr>
          <w:rFonts w:ascii="Cambria" w:eastAsia="Cambria" w:hAnsi="Cambria" w:cs="Cambria"/>
          <w:sz w:val="20"/>
          <w:szCs w:val="20"/>
        </w:rPr>
        <w:t>The aforementioned challenges encompass a number of difficulties that students face, including: (1) difficulty in understanding the content of the story, (2) difficulty in identifying the main idea in each paragraph of the story, (3) difficulty in expressing thoughts, and (4) difficulty in connecting words into cohesive sentences when summarizing the story</w:t>
      </w:r>
      <w:r>
        <w:rPr>
          <w:rFonts w:ascii="Cambria" w:eastAsia="Cambria" w:hAnsi="Cambria" w:cs="Cambria"/>
          <w:sz w:val="20"/>
          <w:szCs w:val="20"/>
        </w:rPr>
        <w:t xml:space="preserve"> </w:t>
      </w:r>
      <w:hyperlink r:id="rId30"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{"citationItems":[{"id":"ITEM-1","itemData":{"DOI":"10.1016/j.stueduc.2012.08.001","ISSN":"0191491X","author":[{"dropping-particle":"","family":"Charalambous","given":"Charalambos Y.","non-dropping-particle":"","parse-names":false,"suffix":""},{"dropping-particle":"","family":"Kyriakides","given":"Leonidas","non-dropping-particle":"","parse-names":false,"suffix":""},{"dropping-particle":"","family":"Philippou","given":"George N.","non-dropping-particle":"","parse-names":false,"suffix":""}],"container-title":"Studies in Educational Evaluation","id":"ITEM-1","issue":"3-4","issued":{"date-parts":[["2012","9"]]},"page":"93-106","title":"Developing a test for exploring student performance in a complex domain: Challenges faced, decisions made, and implications drawn","type":"article-journal","volume":"38"},"uris":["http://www.mendeley.com/documents/?uuid=2ce3e2e0-2530-4411-8d06-036da371a949"]}],"mendeley":{"formattedCitation":"(Charalambous et al., 2012)","manualFormatting":"Charalambous et al., (2012)","plainTextFormattedCitation":"(Charalambous et al., 2012)","previouslyFormattedCitation":"(Charalambous et al., 2012)"},"properties":{"noteIndex":0},"schema":"https://github.com/citation-style-language/schema/raw/master/csl-citation.json"}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Charalambous et al., (2012)</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These obstacles indicate that students often become passive in the learning process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{"citationItems":[{"id":"ITEM-1","itemData":{"DOI":"10.1016/j.teln.2023.09.015","ISSN":"15573087","author":[{"dropping-particle":"","family":"Chan","given":"Mei Ling Alice","non-dropping-particle":"","parse-names":false,"suffix":""},{"dropping-particle":"","family":"Lee","given":"Po-Man Natalie","non-dropping-particle":"","parse-names":false,"suffix":""},{"dropping-particle":"","family":"Wong","given":"Mei Fung Florence","non-dropping-particle":"","parse-names":false,"suffix":""}],"container-title":"Teaching and Learning in Nursing","id":"ITEM-1","issue":"1","issued":{"date-parts":[["2024","1"]]},"page":"e106-e112","title":"Impact of coronavirus pandemic to cultivate self-discipline and self-directed learning in junior nurse students through high-fidelity simulation: a descriptive qualitative study","type":"article-journal","volume":"19"},"uris":["http://www.mendeley.com/documents/?uuid=ee7c66d1-f0c2-41a7-838c-960db8c07d53"]}],"mendeley":{"formattedCitation":"(Chan et al., 2024)","manualFormatting":"(Chan et al., 2024 ; Tanimura et al., 2023)","plainTextFormattedCitation":"(Chan et al., 2024)","previouslyFormattedCitation":"(Chan et al., 2024)"},"properties":{"noteIndex":0},"schema":"https://github.com/citation-style-language/schema/raw/master/csl-citation.json"}</w:instrText>
      </w:r>
      <w:r w:rsidRPr="00D93E35">
        <w:rPr>
          <w:rFonts w:ascii="Cambria" w:eastAsia="Cambria" w:hAnsi="Cambria" w:cs="Cambria"/>
          <w:sz w:val="20"/>
          <w:szCs w:val="20"/>
        </w:rPr>
        <w:fldChar w:fldCharType="separate"/>
      </w:r>
      <w:hyperlink r:id="rId31" w:history="1">
        <w:r w:rsidRPr="00D93E35">
          <w:rPr>
            <w:rStyle w:val="Hyperlink"/>
            <w:rFonts w:ascii="Cambria" w:eastAsia="Cambria" w:hAnsi="Cambria" w:cs="Cambria"/>
            <w:noProof/>
            <w:sz w:val="20"/>
            <w:szCs w:val="20"/>
          </w:rPr>
          <w:t xml:space="preserve">(Chan et al., 2024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nedt.2023.105872","ISSN":"02606917","author":[{"dropping-particle":"","family":"Tanimura","given":"Chika","non-dropping-particle":"","parse-names":false,"suffix":""},{"dropping-particle":"","family":"Okuda","given":"Reiko","non-dropping-particle":"","parse-names":false,"suffix":""},{"dropping-particle":"","family":"Tokushima","given":"Yasuko","non-dropping-particle":"","parse-names":false,"suffix":""},{"dropping-particle":"","family":"Matsumoto","given":"Yuka","non-dropping-particle":"","parse-names":false,"suffix":""},{"dropping-particle":"","family":"Katou","given":"Sayaka","non-dropping-particle":"","parse-names":false,"suffix":""},{"dropping-particle":"","family":"Miyoshi","given":"Masayuki","non-dropping-particle":"","parse-names":false,"suffix":""},{"dropping-particle":"","family":"Oshima","given":"Asami","non-dropping-particle":"","parse-names":false,"suffix":""},{"dropping-particle":"","family":"Yoshimura","given":"Junko","non-dropping-particle":"","parse-names":false,"suffix":""},{"dropping-particle":"","family":"Fukada","given":"Mika","non-dropping-particle":"","parse-names":false,"suffix":""},{"dropping-particle":"","family":"Sasaki","given":"Kumiko","non-dropping-particle":"","parse-names":false,"suffix":""},{"dropping-particle":"","family":"Matsuura","given":"Haruyo","non-dropping-particle":"","parse-names":false,"suffix":""},{"dropping-particle":"","family":"Ueki","given":"Masaru","non-dropping-particle":"","parse-names":false,"suffix":""}],"container-title":"Nurse Education Today","id":"ITEM-1","issued":{"date-parts":[["2023","9"]]},"page":"105872","title":"Examining the reliability and validity of a self-regulated learning strategy scale for undergraduate nursing students and effective factors of self-regulated learning strategies","type":"article-journal","volume":"128"},"uris":["http://www.mendeley.com/documents/?uuid=091f8765-8e84-467d-a41e-33eea17d2840"]}],"mendeley":{"formattedCitation":"(Tanimura et al., 2023)","manualFormatting":"Tanimura et al., 2023)","plainTextFormattedCitation":"(Tanimura et al., 2023)","previouslyFormattedCitation":"(Tanimura et al.,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Tanimura et al., 2023)</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 Some of the factors identified as causing the problem include teachers' limited understanding of various Indonesian learning strategies, students' lack of interest in reading texts, inadequate school facilities, and lack of </w:t>
      </w:r>
      <w:r w:rsidRPr="00D93E35">
        <w:rPr>
          <w:rFonts w:ascii="Cambria" w:eastAsia="Cambria" w:hAnsi="Cambria" w:cs="Cambria"/>
          <w:sz w:val="20"/>
          <w:szCs w:val="20"/>
        </w:rPr>
        <w:lastRenderedPageBreak/>
        <w:t xml:space="preserve">encouragement from schools to promote reading activities. To evaluate the success of learning, a passing grade is set with a Minimum Completion Criteria (KKM) score limit, which usually stands at 65%. However, research conducted at SDN 15 </w:t>
      </w:r>
      <w:proofErr w:type="spellStart"/>
      <w:r w:rsidRPr="00D93E35">
        <w:rPr>
          <w:rFonts w:ascii="Cambria" w:eastAsia="Cambria" w:hAnsi="Cambria" w:cs="Cambria"/>
          <w:sz w:val="20"/>
          <w:szCs w:val="20"/>
        </w:rPr>
        <w:t>Melayang</w:t>
      </w:r>
      <w:proofErr w:type="spellEnd"/>
      <w:r w:rsidRPr="00D93E35">
        <w:rPr>
          <w:rFonts w:ascii="Cambria" w:eastAsia="Cambria" w:hAnsi="Cambria" w:cs="Cambria"/>
          <w:sz w:val="20"/>
          <w:szCs w:val="20"/>
        </w:rPr>
        <w:t xml:space="preserve">, </w:t>
      </w:r>
      <w:proofErr w:type="spellStart"/>
      <w:r w:rsidRPr="00D93E35">
        <w:rPr>
          <w:rFonts w:ascii="Cambria" w:eastAsia="Cambria" w:hAnsi="Cambria" w:cs="Cambria"/>
          <w:sz w:val="20"/>
          <w:szCs w:val="20"/>
        </w:rPr>
        <w:t>Sintang</w:t>
      </w:r>
      <w:proofErr w:type="spellEnd"/>
      <w:r w:rsidRPr="00D93E35">
        <w:rPr>
          <w:rFonts w:ascii="Cambria" w:eastAsia="Cambria" w:hAnsi="Cambria" w:cs="Cambria"/>
          <w:sz w:val="20"/>
          <w:szCs w:val="20"/>
        </w:rPr>
        <w:t xml:space="preserve"> district, showed that 60% of students scored below the KKM, indicating that 12 out of 21 students were below the expected standard, with only half of the students achieving or exceeding the KKM. Defining reading comprehension as a complex intellectual process that involves two main abilities, namely understanding the meaning of words and the ability to </w:t>
      </w:r>
      <w:proofErr w:type="spellStart"/>
      <w:r w:rsidRPr="00D93E35">
        <w:rPr>
          <w:rFonts w:ascii="Cambria" w:eastAsia="Cambria" w:hAnsi="Cambria" w:cs="Cambria"/>
          <w:sz w:val="20"/>
          <w:szCs w:val="20"/>
        </w:rPr>
        <w:t>analyze</w:t>
      </w:r>
      <w:proofErr w:type="spellEnd"/>
      <w:r w:rsidRPr="00D93E35">
        <w:rPr>
          <w:rFonts w:ascii="Cambria" w:eastAsia="Cambria" w:hAnsi="Cambria" w:cs="Cambria"/>
          <w:sz w:val="20"/>
          <w:szCs w:val="20"/>
        </w:rPr>
        <w:t xml:space="preserve"> verbal concepts, furthermore, </w:t>
      </w:r>
      <w:hyperlink r:id="rId32"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neuropsychologia.2022.108427","ISSN":"00283932","author":[{"dropping-particle":"","family":"Rahimi","given":"Vida","non-dropping-particle":"","parse-names":false,"suffix":""},{"dropping-particle":"","family":"Mohammadkhani","given":"Ghassem","non-dropping-particle":"","parse-names":false,"suffix":""},{"dropping-particle":"","family":"Alaghband Rad","given":"Javad","non-dropping-particle":"","parse-names":false,"suffix":""},{"dropping-particle":"","family":"Mousavi","given":"Seyyedeh Zohre","non-dropping-particle":"","parse-names":false,"suffix":""},{"dropping-particle":"","family":"Khalili","given":"Mohammad Ehsan","non-dropping-particle":"","parse-names":false,"suffix":""}],"container-title":"Neuropsychologia","id":"ITEM-1","issued":{"date-parts":[["2022","12"]]},"page":"108427","title":"Modulation of auditory temporal processing, speech in noise perception, auditory-verbal memory, and reading efficiency by anodal tDCS in children with dyslexia","type":"article-journal","volume":"177"},"uris":["http://www.mendeley.com/documents/?uuid=b754d526-fb45-420d-a845-003b0df5b041"]}],"mendeley":{"formattedCitation":"(Rahimi et al., 2022)","manualFormatting":"(Rahimi et al., 2022 ; Inoue, 2023)","plainTextFormattedCitation":"(Rahimi et al., 2022)","previouslyFormattedCitation":"(Rahimi et al., 2022)"},"properties":{"noteIndex":0},"schema":"https://github.com/citation-style-language/schema/raw/master/csl-citation.json"}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(Rahimi et al., 2022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{"citationItems":[{"id":"ITEM-1","itemData":{"DOI":"10.1016/j.langsci.2023.101582","ISSN":"03880001","author":[{"dropping-particle":"","family":"Inoue","given":"Takuya","non-dropping-particle":"","parse-names":false,"suffix":""}],"container-title":"Language Sciences","id":"ITEM-1","issued":{"date-parts":[["2023","11"]]},"page":"101582","title":"Toward an ecological model of language: from cognitive linguistics to ecological semantics","type":"article-journal","volume":"100"},"uris":["http://www.mendeley.com/documents/?uuid=45a175ee-4b73-4bd5-aeb8-2597a227d656"]}],"mendeley":{"formattedCitation":"(Inoue, 2023)","manualFormatting":"Inoue, 2023)","plainTextFormattedCitation":"(Inoue, 2023)","previouslyFormattedCitation":"(Inoue,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Inoue, 2023)</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states that reading comprehension involves various types of reading, including understanding literary standards or norms, providing critical reviews, interpreting printed drama, and </w:t>
      </w:r>
      <w:proofErr w:type="spellStart"/>
      <w:r w:rsidRPr="00D93E35">
        <w:rPr>
          <w:rFonts w:ascii="Cambria" w:eastAsia="Cambria" w:hAnsi="Cambria" w:cs="Cambria"/>
          <w:sz w:val="20"/>
          <w:szCs w:val="20"/>
        </w:rPr>
        <w:t>analyzing</w:t>
      </w:r>
      <w:proofErr w:type="spellEnd"/>
      <w:r w:rsidRPr="00D93E35">
        <w:rPr>
          <w:rFonts w:ascii="Cambria" w:eastAsia="Cambria" w:hAnsi="Cambria" w:cs="Cambria"/>
          <w:sz w:val="20"/>
          <w:szCs w:val="20"/>
        </w:rPr>
        <w:t xml:space="preserve"> fictional patterns.  </w:t>
      </w:r>
    </w:p>
    <w:p w:rsidR="00A32FC3" w:rsidRPr="00D93E35" w:rsidRDefault="00A32FC3" w:rsidP="00A32FC3">
      <w:pPr>
        <w:ind w:firstLine="720"/>
        <w:jc w:val="both"/>
      </w:pPr>
      <w:r w:rsidRPr="00D93E35">
        <w:rPr>
          <w:rFonts w:ascii="Cambria" w:eastAsia="Cambria" w:hAnsi="Cambria" w:cs="Cambria"/>
          <w:sz w:val="20"/>
          <w:szCs w:val="20"/>
        </w:rPr>
        <w:t xml:space="preserve">According to research conducted, concept maps are considered as visual representations of knowledge that have the potential to enhance individual understanding in a structured and meaningful way </w:t>
      </w:r>
      <w:hyperlink r:id="rId33"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{"citationItems":[{"id":"ITEM-1","itemData":{"DOI":"10.1016/j.eswa.2023.121232","ISSN":"09574174","author":[{"dropping-particle":"","family":"Kumbure","given":"Mahinda Mailagaha","non-dropping-particle":"","parse-names":false,"suffix":""},{"dropping-particle":"","family":"Tarkiainen","given":"Anssi","non-dropping-particle":"","parse-names":false,"suffix":""},{"dropping-particle":"","family":"Stoklasa","given":"Jan","non-dropping-particle":"","parse-names":false,"suffix":""},{"dropping-particle":"","family":"Luukka","given":"Pasi","non-dropping-particle":"","parse-names":false,"suffix":""},{"dropping-particle":"","family":"Jantunen","given":"Ari","non-dropping-particle":"","parse-names":false,"suffix":""}],"container-title":"Expert Systems with Applications","id":"ITEM-1","issued":{"date-parts":[["2024","2"]]},"page":"121232","title":"Causal maps in the analysis and unsupervised assessment of the development of expert knowledge: Quantification of the learning effects for knowledge management purposes","type":"article-journal","volume":"236"},"uris":["http://www.mendeley.com/documents/?uuid=1ca9247b-abb3-46ff-bbd9-3c0c70e1e928"]}],"mendeley":{"formattedCitation":"(Kumbure et al., 2024)","manualFormatting":"(Kumbure et al., 2024 ; Zhou et al., 2024)","plainTextFormattedCitation":"(Kumbure et al., 2024)","previouslyFormattedCitation":"(Kumbure et al.,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(Kumbure et al., 2024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cognition.2023.105711","ISSN":"00100277","author":[{"dropping-particle":"","family":"Zhou","given":"Yanli","non-dropping-particle":"","parse-names":false,"suffix":""},{"dropping-particle":"","family":"Feinman","given":"Reuben","non-dropping-particle":"","parse-names":false,"suffix":""},{"dropping-particle":"","family":"Lake","given":"Brenden M.","non-dropping-particle":"","parse-names":false,"suffix":""}],"container-title":"Cognition","id":"ITEM-1","issued":{"date-parts":[["2024","3"]]},"page":"105711","title":"Compositional diversity in visual concept learning","type":"article-journal","volume":"244"},"uris":["http://www.mendeley.com/documents/?uuid=4c79cfd4-b049-4f89-9769-0b7b57fe357e"]}],"mendeley":{"formattedCitation":"(Zhou et al., 2024)","manualFormatting":"Zhou et al., 2024)","plainTextFormattedCitation":"(Zhou et al., 2024)","previouslyFormattedCitation":"(Zhou et al., 2024)"},"properties":{"noteIndex":0},"schema":"https://github.com/citation-style-language/schema/raw/master/csl-citation.json"}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Zhou et al., 2024)</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w:t>
        </w:r>
      </w:hyperlink>
      <w:r w:rsidRPr="00D93E35">
        <w:rPr>
          <w:rFonts w:ascii="Cambria" w:eastAsia="Cambria" w:hAnsi="Cambria" w:cs="Cambria"/>
          <w:sz w:val="20"/>
          <w:szCs w:val="20"/>
        </w:rPr>
        <w:t xml:space="preserve"> Through meaningful learning, new information can be integrated into an individual's cognitive structure, which in turn results in more organized learning  </w:t>
      </w:r>
      <w:hyperlink r:id="rId34"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ompedu.2024.105016","ISSN":"03601315","author":[{"dropping-particle":"","family":"Kong","given":"Siu-Cheung","non-dropping-particle":"","parse-names":false,"suffix":""},{"dropping-particle":"","family":"Wang","given":"Yi-Qing","non-dropping-particle":"","parse-names":false,"suffix":""}],"container-title":"Computers &amp; Education","id":"ITEM-1","issued":{"date-parts":[["2024","7"]]},"page":"105016","title":"The impact of school support for professional development on teachers' adoption of student-centered pedagogy, students’ cognitive learning and abilities: A three-level analysis","type":"article-journal","volume":"215"},"uris":["http://www.mendeley.com/documents/?uuid=6a85805f-2e37-4272-81b2-235a8d3e852d"]}],"mendeley":{"formattedCitation":"(Kong &amp; Wang, 2024)","manualFormatting":"(Kong &amp; Wang, 2024 ; ","plainTextFormattedCitation":"(Kong &amp; Wang, 2024)","previouslyFormattedCitation":"(Kong &amp; Wang, 2024)"},"properties":{"noteIndex":0},"schema":"https://github.com/citation-style-language/schema/raw/master/csl-citation.json"}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(Kong &amp; Wang, 2024 ; </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cie.2018.04.027","ISSN":"03608352","author":[{"dropping-particle":"","family":"Shayan","given":"Ali","non-dropping-particle":"","parse-names":false,"suffix":""},{"dropping-particle":"","family":"Elahi","given":"Shaban","non-dropping-particle":"","parse-names":false,"suffix":""},{"dropping-particle":"","family":"Ghazinoory","given":"Sepehr","non-dropping-particle":"","parse-names":false,"suffix":""},{"dropping-particle":"","family":"Hoseini","given":"Seyed Hamid Khodadad","non-dropping-particle":"","parse-names":false,"suffix":""}],"container-title":"Computers &amp; Industrial Engineering","id":"ITEM-1","issued":{"date-parts":[["2018","9"]]},"page":"314-324","title":"Designing a model for learning self-organized innovation network: Using embedded case studies","type":"article-journal","volume":"123"},"uris":["http://www.mendeley.com/documents/?uuid=772d7af7-2701-4f88-98d1-cb46d9af42d2"]}],"mendeley":{"formattedCitation":"(Shayan et al., 2018)","manualFormatting":"Shayan et al., 2018)","plainTextFormattedCitation":"(Shayan et al., 2018)","previouslyFormattedCitation":"(Shayan et al., 2018)"},"properties":{"noteIndex":0},"schema":"https://github.com/citation-style-language/schema/raw/master/csl-citation.json"}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Shayan et al., 2018)</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Based on this concept, the researcher aims to develop grammar teaching materials that aim to improve reading comprehension in grade five elementary school students. Significant research highlights that to promote progress in reading comprehension for all students, more than just the provision of rich texts is needed. A purposeful, strategic and diligent approach to reading instruction is required  </w:t>
      </w:r>
      <w:hyperlink r:id="rId35"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{"citationItems":[{"id":"ITEM-1","itemData":{"DOI":"10.1016/j.xjep.2023.100649","ISSN":"24054526","author":[{"dropping-particle":"","family":"Carvalho","given":"Katherine","non-dropping-particle":"","parse-names":false,"suffix":""}],"container-title":"Journal of Interprofessional Education &amp; Practice","id":"ITEM-1","issued":{"date-parts":[["2023","9"]]},"page":"100649","title":"Exploring a social pragmatic approach to overcoming barriers to interprofessional communication and across functional boundaries: A qualitative case study","type":"article-journal","volume":"32"},"uris":["http://www.mendeley.com/documents/?uuid=1f035cbf-dd9c-4da3-a423-12f18dfc7dec"]}],"mendeley":{"formattedCitation":"(Carvalho, 2023)","plainTextFormattedCitation":"(Carvalho, 2023)","previouslyFormattedCitation":"(Carvalho, 2023)"},"properties":{"noteIndex":0},"schema":"https://github.com/citation-style-language/schema/raw/master/csl-citation.json"}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(Carvalho, 2023)</w:t>
        </w:r>
        <w:r w:rsidRPr="00D93E35">
          <w:rPr>
            <w:rStyle w:val="Hyperlink"/>
            <w:rFonts w:ascii="Cambria" w:eastAsia="Cambria" w:hAnsi="Cambria" w:cs="Cambria"/>
            <w:sz w:val="20"/>
            <w:szCs w:val="20"/>
          </w:rPr>
          <w:fldChar w:fldCharType="end"/>
        </w:r>
        <w:r w:rsidRPr="00D93E35">
          <w:rPr>
            <w:rStyle w:val="Hyperlink"/>
            <w:rFonts w:ascii="Cambria" w:eastAsia="Cambria" w:hAnsi="Cambria" w:cs="Cambria"/>
            <w:sz w:val="20"/>
            <w:szCs w:val="20"/>
          </w:rPr>
          <w:t>.</w:t>
        </w:r>
      </w:hyperlink>
      <w:r w:rsidRPr="00D93E35">
        <w:t xml:space="preserve"> </w:t>
      </w:r>
    </w:p>
    <w:p w:rsidR="00A32FC3" w:rsidRDefault="00A32FC3" w:rsidP="00A32FC3">
      <w:pPr>
        <w:ind w:firstLine="720"/>
        <w:jc w:val="both"/>
        <w:rPr>
          <w:rFonts w:ascii="Cambria" w:eastAsia="Cambria" w:hAnsi="Cambria" w:cs="Cambria"/>
          <w:sz w:val="20"/>
          <w:szCs w:val="20"/>
        </w:rPr>
      </w:pPr>
      <w:r w:rsidRPr="00942952">
        <w:rPr>
          <w:rFonts w:ascii="Cambria" w:eastAsia="Cambria" w:hAnsi="Cambria" w:cs="Cambria"/>
          <w:sz w:val="20"/>
          <w:szCs w:val="20"/>
        </w:rPr>
        <w:t xml:space="preserve">Reading motivation is a key factor that greatly influences reading success in children </w:t>
      </w:r>
      <w:hyperlink r:id="rId36"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poetic.2023.101828","ISSN":"0304422X","author":[{"dropping-particle":"","family":"Hek","given":"Margriet","non-dropping-particle":"van","parse-names":false,"suffix":""},{"dropping-particle":"","family":"Kraaykamp","given":"Gerbert","non-dropping-particle":"","parse-names":false,"suffix":""}],"container-title":"Poetics","id":"ITEM-1","issued":{"date-parts":[["2023","12"]]},"page":"101828","title":"Why Jane likes to read and John does not. How parents and schools stimulate girls’ and boys’ intrinsic reading motivation","type":"article-journal","volume":"101"},"uris":["http://www.mendeley.com/documents/?uuid=611ef19e-5fe0-48dd-9365-ac7ac3a0ce60"]}],"mendeley":{"formattedCitation":"(van Hek &amp; Kraaykamp, 2023)","manualFormatting":"van Hek &amp; Kraaykamp, (2023)","plainTextFormattedCitation":"(van Hek &amp; Kraaykamp, 2023)","previouslyFormattedCitation":"(van Hek &amp; Kraaykamp, 2023)"},"properties":{"noteIndex":0},"schema":"https://github.com/citation-style-language/schema/raw/master/csl-citation.json"}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van Hek &amp; Kraaykamp, (2023)</w:t>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This has been proven in the context of countries such as Norway, where cultural and educational factors, as reflected in the establishment of SELM (Self-Directed Learning Model), play a significant role  </w:t>
      </w:r>
      <w:r w:rsidRPr="00D93E35">
        <w:rPr>
          <w:rFonts w:ascii="Cambria" w:eastAsia="Cambria" w:hAnsi="Cambria" w:cs="Cambria"/>
          <w:sz w:val="20"/>
          <w:szCs w:val="20"/>
        </w:rPr>
        <w:fldChar w:fldCharType="begin" w:fldLock="1"/>
      </w:r>
      <w:r w:rsidRPr="00D93E35">
        <w:rPr>
          <w:rFonts w:ascii="Cambria" w:eastAsia="Cambria" w:hAnsi="Cambria" w:cs="Cambria"/>
          <w:sz w:val="20"/>
          <w:szCs w:val="20"/>
        </w:rPr>
        <w:instrText>ADDIN CSL_CITATION {"citationItems":[{"id":"ITEM-1","itemData":{"DOI":"10.1016/j.tate.2022.103825","ISSN":"0742051X","author":[{"dropping-particle":"","family":"Chalkley","given":"Anna E.","non-dropping-particle":"","parse-names":false,"suffix":""},{"dropping-particle":"","family":"Mandelid","given":"Mathias B.","non-dropping-particle":"","parse-names":false,"suffix":""},{"dropping-particle":"","family":"Thurston","given":"Miranda","non-dropping-particle":"","parse-names":false,"suffix":""},{"dropping-particle":"","family":"Daly-Smith","given":"Andrew","non-dropping-particle":"","parse-names":false,"suffix":""},{"dropping-particle":"","family":"Singh","given":"Amika","non-dropping-particle":"","parse-names":false,"suffix":""},{"dropping-particle":"","family":"Huiberts","given":"Irma","non-dropping-particle":"","parse-names":false,"suffix":""},{"dropping-particle":"","family":"Archbold","given":"Victoria S.J.","non-dropping-particle":"","parse-names":false,"suffix":""},{"dropping-particle":"","family":"Resaland","given":"Geir K.","non-dropping-particle":"","parse-names":false,"suffix":""},{"dropping-particle":"","family":"Tjomsland","given":"Hege E.","non-dropping-particle":"","parse-names":false,"suffix":""}],"container-title":"Teaching and Teacher Education","id":"ITEM-1","issued":{"date-parts":[["2022","10"]]},"page":"103825","title":"“Go beyond your own comfort zone and challenge yourself”: A comparison on the use of physically active learning in Norway, the Netherlands and the UK","type":"article-journal","volume":"118"},"uris":["http://www.mendeley.com/documents/?uuid=780831fb-e7da-4917-8c74-51ebbbc18519"]}],"mendeley":{"formattedCitation":"(Chalkley et al., 2022)","manualFormatting":"(Chalkley et al., 2022 ; Berg et al., 2023)","plainTextFormattedCitation":"(Chalkley et al., 2022)","previouslyFormattedCitation":"(Chalkley et al., 2022)"},"properties":{"noteIndex":0},"schema":"https://github.com/citation-style-language/schema/raw/master/csl-citation.json"}</w:instrText>
      </w:r>
      <w:r w:rsidRPr="00D93E35">
        <w:rPr>
          <w:rFonts w:ascii="Cambria" w:eastAsia="Cambria" w:hAnsi="Cambria" w:cs="Cambria"/>
          <w:sz w:val="20"/>
          <w:szCs w:val="20"/>
        </w:rPr>
        <w:fldChar w:fldCharType="separate"/>
      </w:r>
      <w:hyperlink r:id="rId37" w:history="1">
        <w:r w:rsidRPr="00D93E35">
          <w:rPr>
            <w:rStyle w:val="Hyperlink"/>
            <w:rFonts w:ascii="Cambria" w:eastAsia="Cambria" w:hAnsi="Cambria" w:cs="Cambria"/>
            <w:noProof/>
            <w:sz w:val="20"/>
            <w:szCs w:val="20"/>
          </w:rPr>
          <w:t xml:space="preserve">(Chalkley et al., 2022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{"citationItems":[{"id":"ITEM-1","itemData":{"DOI":"10.1016/j.tate.2023.104041","ISSN":"0742051X","author":[{"dropping-particle":"","family":"Berg","given":"David A.G.","non-dropping-particle":"","parse-names":false,"suffix":""},{"dropping-particle":"","family":"Skaalvik","given":"Einar M.","non-dropping-particle":"","parse-names":false,"suffix":""},{"dropping-particle":"","family":"Asil","given":"Mustafa","non-dropping-particle":"","parse-names":false,"suffix":""},{"dropping-particle":"","family":"Hill","given":"Mary F.","non-dropping-particle":"","parse-names":false,"suffix":""},{"dropping-particle":"","family":"Uthus","given":"Marit","non-dropping-particle":"","parse-names":false,"suffix":""},{"dropping-particle":"","family":"Tangen","given":"Truls N.","non-dropping-particle":"","parse-names":false,"suffix":""},{"dropping-particle":"","family":"Smith","given":"Jeffrey K.","non-dropping-particle":"","parse-names":false,"suffix":""}],"container-title":"Teaching and Teacher Education","id":"ITEM-1","issued":{"date-parts":[["2023","4"]]},"page":"104041","title":"Teacher self-efficacy and reasons for choosing initial teacher education programmes in Norway and New Zealand","type":"article-journal","volume":"125"},"uris":["http://www.mendeley.com/documents/?uuid=d88cc32c-a9f0-487b-ab1b-1c3e9349bd20"]}],"mendeley":{"formattedCitation":"(Berg et al., 2023)","manualFormatting":"Berg et al., 2023)","plainTextFormattedCitation":"(Berg et al., 2023)","previouslyFormattedCitation":"(Berg et al., 2023)"},"properties":{"noteIndex":0},"schema":"https://github.com/citation-style-language/schema/raw/master/csl-citation.json"}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Berg et al., 2023)</w:t>
        </w:r>
        <w:r w:rsidRPr="00D93E35">
          <w:rPr>
            <w:rStyle w:val="Hyperlink"/>
            <w:rFonts w:ascii="Cambria" w:eastAsia="Cambria" w:hAnsi="Cambria" w:cs="Cambria"/>
            <w:noProof/>
            <w:sz w:val="20"/>
            <w:szCs w:val="20"/>
          </w:rPr>
          <w:fldChar w:fldCharType="end"/>
        </w:r>
      </w:hyperlink>
      <w:r w:rsidRPr="00D93E35">
        <w:rPr>
          <w:rFonts w:ascii="Cambria" w:eastAsia="Cambria" w:hAnsi="Cambria" w:cs="Cambria"/>
          <w:sz w:val="20"/>
          <w:szCs w:val="20"/>
        </w:rPr>
        <w:fldChar w:fldCharType="end"/>
      </w:r>
      <w:r w:rsidRPr="00D93E35">
        <w:rPr>
          <w:rFonts w:ascii="Cambria" w:eastAsia="Cambria" w:hAnsi="Cambria" w:cs="Cambria"/>
          <w:sz w:val="20"/>
          <w:szCs w:val="20"/>
        </w:rPr>
        <w:t xml:space="preserve">. It is thought that most children start primary school with a keen interest in literacy, but may have limitations in reading ability  </w:t>
      </w:r>
      <w:hyperlink r:id="rId38" w:history="1">
        <w:r w:rsidRPr="00D93E35">
          <w:rPr>
            <w:rStyle w:val="Hyperlink"/>
            <w:rFonts w:ascii="Cambria" w:eastAsia="Cambria" w:hAnsi="Cambria" w:cs="Cambria"/>
            <w:sz w:val="20"/>
            <w:szCs w:val="20"/>
          </w:rPr>
          <w:fldChar w:fldCharType="begin" w:fldLock="1"/>
        </w:r>
        <w:r w:rsidRPr="00D93E35">
          <w:rPr>
            <w:rStyle w:val="Hyperlink"/>
            <w:rFonts w:ascii="Cambria" w:eastAsia="Cambria" w:hAnsi="Cambria" w:cs="Cambria"/>
            <w:sz w:val="20"/>
            <w:szCs w:val="20"/>
          </w:rPr>
          <w:instrText>ADDIN CSL_CITATION {"citationItems":[{"id":"ITEM-1","itemData":{"DOI":"10.1016/j.ridd.2022.104198","ISSN":"08914222","author":[{"dropping-particle":"","family":"Bailey","given":"Benjamin","non-dropping-particle":"","parse-names":false,"suffix":""},{"dropping-particle":"","family":"Sellwood","given":"Darryl","non-dropping-particle":"","parse-names":false,"suffix":""},{"dropping-particle":"","family":"Rillotta","given":"Fiona","non-dropping-particle":"","parse-names":false,"suffix":""},{"dropping-particle":"","family":"Raghavendra","given":"Pammi","non-dropping-particle":"","parse-names":false,"suffix":""},{"dropping-particle":"","family":"Arciuli","given":"Joanne","non-dropping-particle":"","parse-names":false,"suffix":""}],"container-title":"Research in Developmental Disabilities","id":"ITEM-1","issued":{"date-parts":[["2022","5"]]},"page":"104198","title":"A trial of online ABRACADABRA literacy instruction with supplementary parent-led shared book reading for children with autism","type":"article-journal","volume":"124"},"uris":["http://www.mendeley.com/documents/?uuid=8fccadf3-0cdd-45ed-808b-9e9c9ca89ccf"]}],"mendeley":{"formattedCitation":"(Bailey et al., 2022)","manualFormatting":"(Bailey et al., 2022 ; Rojas-Drummond et al., 2017)","plainTextFormattedCitation":"(Bailey et al., 2022)","previouslyFormattedCitation":"(Bailey et al., 2022)"},"properties":{"noteIndex":0},"schema":"https://github.com/citation-style-language/schema/raw/master/csl-citation.json"}</w:instrText>
        </w:r>
        <w:r w:rsidRPr="00D93E35">
          <w:rPr>
            <w:rStyle w:val="Hyperlink"/>
            <w:rFonts w:ascii="Cambria" w:eastAsia="Cambria" w:hAnsi="Cambria" w:cs="Cambria"/>
            <w:sz w:val="20"/>
            <w:szCs w:val="20"/>
          </w:rPr>
          <w:fldChar w:fldCharType="separate"/>
        </w:r>
        <w:r w:rsidRPr="00D93E35">
          <w:rPr>
            <w:rStyle w:val="Hyperlink"/>
            <w:rFonts w:ascii="Cambria" w:eastAsia="Cambria" w:hAnsi="Cambria" w:cs="Cambria"/>
            <w:noProof/>
            <w:sz w:val="20"/>
            <w:szCs w:val="20"/>
          </w:rPr>
          <w:t xml:space="preserve">(Bailey et al., 2022 ; </w:t>
        </w:r>
        <w:r w:rsidRPr="00D93E35">
          <w:rPr>
            <w:rStyle w:val="Hyperlink"/>
            <w:rFonts w:ascii="Cambria" w:eastAsia="Cambria" w:hAnsi="Cambria" w:cs="Cambria"/>
            <w:noProof/>
            <w:sz w:val="20"/>
            <w:szCs w:val="20"/>
          </w:rPr>
          <w:fldChar w:fldCharType="begin" w:fldLock="1"/>
        </w:r>
        <w:r w:rsidRPr="00D93E35">
          <w:rPr>
            <w:rStyle w:val="Hyperlink"/>
            <w:rFonts w:ascii="Cambria" w:eastAsia="Cambria" w:hAnsi="Cambria" w:cs="Cambria"/>
            <w:noProof/>
            <w:sz w:val="20"/>
            <w:szCs w:val="20"/>
          </w:rPr>
          <w:instrText>ADDIN CSL_CITATION {"citationItems":[{"id":"ITEM-1","itemData":{"DOI":"10.1016/j.lcsi.2016.09.005","ISSN":"22106561","author":[{"dropping-particle":"","family":"Rojas-Drummond","given":"Sylvia","non-dropping-particle":"","parse-names":false,"suffix":""},{"dropping-particle":"","family":"Maine","given":"Fiona","non-dropping-particle":"","parse-names":false,"suffix":""},{"dropping-particle":"","family":"Alarcón","given":"Mariana","non-dropping-particle":"","parse-names":false,"suffix":""},{"dropping-particle":"","family":"Trigo","given":"Ana Laura","non-dropping-particle":"","parse-names":false,"suffix":""},{"dropping-particle":"","family":"Barrera","given":"María José","non-dropping-particle":"","parse-names":false,"suffix":""},{"dropping-particle":"","family":"Mazón","given":"Nancy","non-dropping-particle":"","parse-names":false,"suffix":""},{"dropping-particle":"","family":"Vélez","given":"Maricela","non-dropping-particle":"","parse-names":false,"suffix":""},{"dropping-particle":"","family":"Hofmann","given":"Riikka","non-dropping-particle":"","parse-names":false,"suffix":""}],"container-title":"Learning, Culture and Social Interaction","id":"ITEM-1","issued":{"date-parts":[["2017","3"]]},"page":"45-62","title":"Dialogic literacy: Talking, reading and writing among primary school children","type":"article-journal","volume":"12"},"uris":["http://www.mendeley.com/documents/?uuid=d5844555-7744-472e-9b74-3a7b58000102"]}],"mendeley":{"formattedCitation":"(Rojas-Drummond et al., 2017)","manualFormatting":"Rojas-Drummond et al., 2017)","plainTextFormattedCitation":"(Rojas-Drummond et al., 2017)","previouslyFormattedCitation":"(Rojas-Drummond et al., 2017)"},"properties":{"noteIndex":0},"schema":"https://github.com/citation-style-language/schema/raw/master/csl-citation.json"}</w:instrText>
        </w:r>
        <w:r w:rsidRPr="00D93E35">
          <w:rPr>
            <w:rStyle w:val="Hyperlink"/>
            <w:rFonts w:ascii="Cambria" w:eastAsia="Cambria" w:hAnsi="Cambria" w:cs="Cambria"/>
            <w:noProof/>
            <w:sz w:val="20"/>
            <w:szCs w:val="20"/>
          </w:rPr>
          <w:fldChar w:fldCharType="separate"/>
        </w:r>
        <w:r w:rsidRPr="00D93E35">
          <w:rPr>
            <w:rStyle w:val="Hyperlink"/>
            <w:rFonts w:ascii="Cambria" w:eastAsia="Cambria" w:hAnsi="Cambria" w:cs="Cambria"/>
            <w:noProof/>
            <w:sz w:val="20"/>
            <w:szCs w:val="20"/>
          </w:rPr>
          <w:t>Rojas-Drummond et al., 2017)</w:t>
        </w:r>
        <w:r w:rsidRPr="00D93E35">
          <w:rPr>
            <w:rStyle w:val="Hyperlink"/>
            <w:rFonts w:ascii="Cambria" w:eastAsia="Cambria" w:hAnsi="Cambria" w:cs="Cambria"/>
            <w:noProof/>
            <w:sz w:val="20"/>
            <w:szCs w:val="20"/>
          </w:rPr>
          <w:fldChar w:fldCharType="end"/>
        </w:r>
        <w:r w:rsidRPr="00D93E35">
          <w:rPr>
            <w:rStyle w:val="Hyperlink"/>
            <w:rFonts w:ascii="Cambria" w:eastAsia="Cambria" w:hAnsi="Cambria" w:cs="Cambria"/>
            <w:sz w:val="20"/>
            <w:szCs w:val="20"/>
          </w:rPr>
          <w:fldChar w:fldCharType="end"/>
        </w:r>
      </w:hyperlink>
      <w:r w:rsidRPr="00D93E35">
        <w:rPr>
          <w:rFonts w:ascii="Cambria" w:eastAsia="Cambria" w:hAnsi="Cambria" w:cs="Cambria"/>
          <w:sz w:val="20"/>
          <w:szCs w:val="20"/>
        </w:rPr>
        <w:t xml:space="preserve">. </w:t>
      </w:r>
    </w:p>
    <w:p w:rsidR="005B5AEC" w:rsidRDefault="00A32FC3" w:rsidP="00A32FC3">
      <w:pPr>
        <w:pStyle w:val="Alishlah31text"/>
        <w:rPr>
          <w:rFonts w:eastAsia="SimSun"/>
          <w:spacing w:val="-2"/>
          <w:lang w:val="en-ID" w:eastAsia="zh-CN"/>
        </w:rPr>
      </w:pPr>
      <w:r w:rsidRPr="009163CA">
        <w:rPr>
          <w:rFonts w:ascii="Cambria" w:eastAsia="Cambria" w:hAnsi="Cambria" w:cs="Cambria"/>
          <w:szCs w:val="20"/>
        </w:rPr>
        <w:t>Until now, we have only found one study that investigated the correlation between progress in Self-Directed Learning and academic achievement. The study focused on students who were considered academically at-risk in grades 1 to 5. This was due to strong support from local wisdom, which positively influenced students' motivation to learn to read diligently</w:t>
      </w:r>
      <w:r w:rsidR="002B31FD" w:rsidRPr="00FF03FB">
        <w:rPr>
          <w:rFonts w:eastAsia="SimSun"/>
          <w:spacing w:val="-2"/>
          <w:lang w:val="en-ID" w:eastAsia="zh-CN"/>
        </w:rPr>
        <w:t>.</w:t>
      </w:r>
    </w:p>
    <w:p w:rsidR="00727D5A" w:rsidRDefault="00727D5A" w:rsidP="005B5AEC">
      <w:pPr>
        <w:pStyle w:val="Alishlah31text"/>
        <w:rPr>
          <w:rFonts w:eastAsia="SimSun"/>
          <w:spacing w:val="-2"/>
          <w:lang w:val="en-ID" w:eastAsia="zh-CN"/>
        </w:rPr>
      </w:pPr>
    </w:p>
    <w:p w:rsidR="005B5AEC" w:rsidRPr="00723B12" w:rsidRDefault="005B5AEC" w:rsidP="005B5AEC">
      <w:pPr>
        <w:pStyle w:val="Alishlah21heading1"/>
        <w:rPr>
          <w:rFonts w:eastAsia="Arial"/>
        </w:rPr>
      </w:pPr>
      <w:r w:rsidRPr="00723B12">
        <w:rPr>
          <w:rFonts w:eastAsia="Arial"/>
        </w:rPr>
        <w:t xml:space="preserve">METHODS </w:t>
      </w:r>
    </w:p>
    <w:p w:rsidR="00A32FC3" w:rsidRPr="00A32FC3" w:rsidRDefault="00A32FC3" w:rsidP="00A32FC3">
      <w:pPr>
        <w:spacing w:after="0" w:line="240" w:lineRule="auto"/>
        <w:ind w:firstLine="720"/>
        <w:jc w:val="both"/>
        <w:rPr>
          <w:rFonts w:ascii="Times New Roman" w:eastAsia="MS Mincho" w:hAnsi="Times New Roman" w:cs="Times New Roman"/>
          <w:sz w:val="24"/>
          <w:szCs w:val="24"/>
          <w:lang w:val="en-AU" w:eastAsia="en-ID"/>
        </w:rPr>
      </w:pPr>
      <w:r w:rsidRPr="00A32FC3">
        <w:rPr>
          <w:rFonts w:ascii="Cambria" w:eastAsia="Cambria" w:hAnsi="Cambria" w:cs="Cambria"/>
          <w:sz w:val="20"/>
          <w:szCs w:val="20"/>
          <w:lang w:val="en-AU" w:eastAsia="en-ID"/>
        </w:rPr>
        <w:t xml:space="preserve">This research falls into the category of development research or Research and Development (R&amp;D) which uses the ADDIE design </w:t>
      </w:r>
      <w:hyperlink r:id="rId39" w:history="1">
        <w:r w:rsidRPr="00A32FC3">
          <w:rPr>
            <w:rFonts w:ascii="Cambria" w:eastAsia="Cambria" w:hAnsi="Cambria" w:cs="Cambria"/>
            <w:color w:val="0000FF"/>
            <w:sz w:val="20"/>
            <w:szCs w:val="20"/>
            <w:u w:val="single"/>
            <w:lang w:val="en-AU" w:eastAsia="en-ID"/>
          </w:rPr>
          <w:fldChar w:fldCharType="begin" w:fldLock="1"/>
        </w:r>
        <w:r w:rsidRPr="00A32FC3">
          <w:rPr>
            <w:rFonts w:ascii="Cambria" w:eastAsia="Cambria" w:hAnsi="Cambria" w:cs="Cambria"/>
            <w:color w:val="0000FF"/>
            <w:sz w:val="20"/>
            <w:szCs w:val="20"/>
            <w:u w:val="single"/>
            <w:lang w:val="en-AU" w:eastAsia="en-ID"/>
          </w:rPr>
          <w:instrText>ADDIN CSL_CITATION {"citationItems":[{"id":"ITEM-1","itemData":{"DOI":"10.29303/jppipa.v9i12.5267","ISSN":"2460-2582","abstract":"Penelitian ini bertujuan untuk menghasilkan bahan ajar digital yang valid, praktis, dan efektif untuk digunakan pada mata Pelajaran Projek Kreatif dan Kewirausahaan. Juga untuk melihat minat belajar siswa menggunakan bahan ajar digital. Penelitian ini adalah penelitian research and Development (R&amp;D) yang merujuk pada model pengembangan ADDIE. Adapun subjek penelitian ini adalah siswa kelas XI Pemasaran 1 di SMK Negeri 2 Padang yang terdiri dari 30 orang siswa. Teknik analisis data yang digunakan dengan mendekripsikan kevalidan, kepraktisan, keefektifan dan melihat minat belajar siswa menggunakan bahan ajar digital. Hasil yang diperoleh dari penelitian pengembangan ini adalah bahan ajar digital sebagai sarana untuk pembelajaran yang bisa didapatkan siswa melalui barcode dan link yang disediakan. Sehingga membantu siswa dalam mengatasi permasalahan yang ada yaitu pembelajaran masih memakai buku cetak dan jumlah bukunya tidak sesuai dengan banyaknya siswa. Hasil penelitian menunjukkan bahwa pengembangan bahan ajar digital sudah memenuhi kriteria valid, praktis, dan efektif digunakan dalam pembelajaran. Hasil validasi dari ahli bahasa sebesar 97%, validasi materi sebesar 94,91% dan ahli media sebesar 87,2% masuk ke dalam kategori sangat valid. Untuk penilaian praktikalitas guru sebesar 89,17% dan praktikalitas siswa sebesar 82,06% masuk ke dalam kategori sangat praktis. Pada efektivitas sebesar 75,83% masuk ke dalam kategori efektif dapat meningkatkan hasil belajar siswa. Juga pada minat belajar siswa sebesar 87,39% masuk ke dalam kategori sangat baik. Sehingga dapat disimpulkan bahwa bahan ajar digital layak digunakan dalam pembelajaran Projek Kreatif dan Kewirausahaan.","author":[{"dropping-particle":"","family":"Yulihendri","given":"Cici","non-dropping-particle":"","parse-names":false,"suffix":""},{"dropping-particle":"","family":"Evanita","given":"Susi","non-dropping-particle":"","parse-names":false,"suffix":""}],"container-title":"Jurnal Penelitian Pendidikan IPA","id":"ITEM-1","issue":"12","issued":{"date-parts":[["2023"]]},"page":"12049-12055","title":"Pengembangan Bahan Ajar Digital Pada Mata Pelajaran Projek Kreatif","type":"article-journal","volume":"9"},"uris":["http://www.mendeley.com/documents/?uuid=4ed9bc16-a000-4c2f-85f0-273e3816c711"]}],"mendeley":{"formattedCitation":"(Yulihendri &amp; Evanita, 2023)","manualFormatting":"(Yulihendri &amp; Evanita, 2023 ; Rahayu &amp; I Gusti Ayu Tri Agustiana, 2023)","plainTextFormattedCitation":"(Yulihendri &amp; Evanita, 2023)","previouslyFormattedCitation":"(Yulihendri &amp; Evanita, 2023)"},"properties":{"noteIndex":0},"schema":"https://github.com/citation-style-language/schema/raw/master/csl-citation.json"}</w:instrText>
        </w:r>
        <w:r w:rsidRPr="00A32FC3">
          <w:rPr>
            <w:rFonts w:ascii="Cambria" w:eastAsia="Cambria" w:hAnsi="Cambria" w:cs="Cambria"/>
            <w:color w:val="0000FF"/>
            <w:sz w:val="20"/>
            <w:szCs w:val="20"/>
            <w:u w:val="single"/>
            <w:lang w:val="en-AU" w:eastAsia="en-ID"/>
          </w:rPr>
          <w:fldChar w:fldCharType="separate"/>
        </w:r>
        <w:r w:rsidRPr="00A32FC3">
          <w:rPr>
            <w:rFonts w:ascii="Cambria" w:eastAsia="Cambria" w:hAnsi="Cambria" w:cs="Cambria"/>
            <w:noProof/>
            <w:color w:val="0000FF"/>
            <w:sz w:val="20"/>
            <w:szCs w:val="20"/>
            <w:u w:val="single"/>
            <w:lang w:val="en-AU" w:eastAsia="en-ID"/>
          </w:rPr>
          <w:t xml:space="preserve">(Yulihendri &amp; Evanita, 2023 ; </w:t>
        </w:r>
        <w:r w:rsidRPr="00A32FC3">
          <w:rPr>
            <w:rFonts w:ascii="Cambria" w:eastAsia="Cambria" w:hAnsi="Cambria" w:cs="Cambria"/>
            <w:noProof/>
            <w:color w:val="0000FF"/>
            <w:sz w:val="20"/>
            <w:szCs w:val="20"/>
            <w:u w:val="single"/>
            <w:lang w:val="en-AU" w:eastAsia="en-ID"/>
          </w:rPr>
          <w:fldChar w:fldCharType="begin" w:fldLock="1"/>
        </w:r>
        <w:r w:rsidRPr="00A32FC3">
          <w:rPr>
            <w:rFonts w:ascii="Cambria" w:eastAsia="Cambria" w:hAnsi="Cambria" w:cs="Cambria"/>
            <w:noProof/>
            <w:color w:val="0000FF"/>
            <w:sz w:val="20"/>
            <w:szCs w:val="20"/>
            <w:u w:val="single"/>
            <w:lang w:val="en-AU" w:eastAsia="en-ID"/>
          </w:rPr>
          <w:instrText>ADDIN CSL_CITATION {"citationItems":[{"id":"ITEM-1","itemData":{"DOI":"10.23887/mi.v28i2.63523","ISSN":"1829-877X","abstract":"Science learning requires media to support the delivery of generally abstract material that becomes concrete. Media use is limited and less varied, so demand and student learning outcomes decrease. This study aims to develop interactive multimedia based on problem-based learning on material changes in the form of objects in grade V elementary schools that are valid, practical, and effective. This research belongs to the development research developed with the ADDIE model. The data collection methods used are questionnaires, observations, and tests. The data obtained in the study were then analyzed using qualitative and quantitative data analysis techniques. The results of development research through validity testing from material experts were 96.67%, learning design experts 94.23%, media experts 93.33%, individual trials 93.89%, and small group trials 90.55%; the practicality test of student responses was 89.12%, and the observation of the implementation of learning activities was 93.33%. The result of the effectiveness test is that there is a significant difference in students' science cognitive learning outcomes before and after using interactive multimedia based on problem-based learning, so interactive multimedia is effectively used to improve student learning outcomes. It was concluded that interactive multimedia based on problem-based learning is valid, practical, and effective when applied to natural science content material for changes in the shape of objects for fifth-grade elementary school students.","author":[{"dropping-particle":"","family":"Rahayu","given":"Ni Made Sita","non-dropping-particle":"","parse-names":false,"suffix":""},{"dropping-particle":"","family":"I Gusti Ayu Tri Agustiana","given":"","non-dropping-particle":"","parse-names":false,"suffix":""}],"container-title":"Mimbar Ilmu","id":"ITEM-1","issue":"2","issued":{"date-parts":[["2023"]]},"page":"201-212","title":"Interactive Multimedia Based on Problem Based Learning Models on Material Changes in the form of Objects","type":"article-journal","volume":"28"},"uris":["http://www.mendeley.com/documents/?uuid=622a0de6-4361-4871-8489-0b747d5bbf0d"]}],"mendeley":{"formattedCitation":"(Rahayu &amp; I Gusti Ayu Tri Agustiana, 2023)","manualFormatting":"Rahayu &amp; I Gusti Ayu Tri Agustiana, 2023)","plainTextFormattedCitation":"(Rahayu &amp; I Gusti Ayu Tri Agustiana, 2023)","previouslyFormattedCitation":"(Rahayu &amp; I Gusti Ayu Tri Agustiana, 2023)"},"properties":{"noteIndex":0},"schema":"https://github.com/citation-style-language/schema/raw/master/csl-citation.json"}</w:instrText>
        </w:r>
        <w:r w:rsidRPr="00A32FC3">
          <w:rPr>
            <w:rFonts w:ascii="Cambria" w:eastAsia="Cambria" w:hAnsi="Cambria" w:cs="Cambria"/>
            <w:noProof/>
            <w:color w:val="0000FF"/>
            <w:sz w:val="20"/>
            <w:szCs w:val="20"/>
            <w:u w:val="single"/>
            <w:lang w:val="en-AU" w:eastAsia="en-ID"/>
          </w:rPr>
          <w:fldChar w:fldCharType="separate"/>
        </w:r>
        <w:r w:rsidRPr="00A32FC3">
          <w:rPr>
            <w:rFonts w:ascii="Cambria" w:eastAsia="Cambria" w:hAnsi="Cambria" w:cs="Cambria"/>
            <w:noProof/>
            <w:color w:val="0000FF"/>
            <w:sz w:val="20"/>
            <w:szCs w:val="20"/>
            <w:u w:val="single"/>
            <w:lang w:val="en-AU" w:eastAsia="en-ID"/>
          </w:rPr>
          <w:t>Rahayu &amp; I Gusti Ayu Tri Agustiana, 2023)</w:t>
        </w:r>
        <w:r w:rsidRPr="00A32FC3">
          <w:rPr>
            <w:rFonts w:ascii="Cambria" w:eastAsia="Cambria" w:hAnsi="Cambria" w:cs="Cambria"/>
            <w:noProof/>
            <w:color w:val="0000FF"/>
            <w:sz w:val="20"/>
            <w:szCs w:val="20"/>
            <w:u w:val="single"/>
            <w:lang w:val="en-AU" w:eastAsia="en-ID"/>
          </w:rPr>
          <w:fldChar w:fldCharType="end"/>
        </w:r>
        <w:r w:rsidRPr="00A32FC3">
          <w:rPr>
            <w:rFonts w:ascii="Cambria" w:eastAsia="Cambria" w:hAnsi="Cambria" w:cs="Cambria"/>
            <w:color w:val="0000FF"/>
            <w:sz w:val="20"/>
            <w:szCs w:val="20"/>
            <w:u w:val="single"/>
            <w:lang w:val="en-AU" w:eastAsia="en-ID"/>
          </w:rPr>
          <w:fldChar w:fldCharType="end"/>
        </w:r>
      </w:hyperlink>
      <w:r w:rsidRPr="00A32FC3">
        <w:rPr>
          <w:rFonts w:ascii="Cambria" w:eastAsia="Cambria" w:hAnsi="Cambria" w:cs="Cambria"/>
          <w:sz w:val="20"/>
          <w:szCs w:val="20"/>
          <w:lang w:val="en-AU" w:eastAsia="en-ID"/>
        </w:rPr>
        <w:t xml:space="preserve">. The focus of this research is to create teaching materials in the form of Indonesian language learning modules by utilizing the Thiagarajan model with the aim of improving students' reading and critical thinking skills in elementary schools, especially for grade 4 students </w:t>
      </w:r>
      <w:proofErr w:type="spellStart"/>
      <w:r w:rsidRPr="00A32FC3">
        <w:rPr>
          <w:rFonts w:ascii="Cambria" w:eastAsia="Cambria" w:hAnsi="Cambria" w:cs="Cambria"/>
          <w:sz w:val="20"/>
          <w:szCs w:val="20"/>
          <w:lang w:val="en-AU" w:eastAsia="en-ID"/>
        </w:rPr>
        <w:t>totaling</w:t>
      </w:r>
      <w:proofErr w:type="spellEnd"/>
      <w:r w:rsidRPr="00A32FC3">
        <w:rPr>
          <w:rFonts w:ascii="Cambria" w:eastAsia="Cambria" w:hAnsi="Cambria" w:cs="Cambria"/>
          <w:sz w:val="20"/>
          <w:szCs w:val="20"/>
          <w:lang w:val="en-AU" w:eastAsia="en-ID"/>
        </w:rPr>
        <w:t xml:space="preserve"> 21 people at SDN 15 </w:t>
      </w:r>
      <w:proofErr w:type="spellStart"/>
      <w:r w:rsidRPr="00A32FC3">
        <w:rPr>
          <w:rFonts w:ascii="Cambria" w:eastAsia="Cambria" w:hAnsi="Cambria" w:cs="Cambria"/>
          <w:sz w:val="20"/>
          <w:szCs w:val="20"/>
          <w:lang w:val="en-AU" w:eastAsia="en-ID"/>
        </w:rPr>
        <w:t>Melayang</w:t>
      </w:r>
      <w:proofErr w:type="spellEnd"/>
      <w:r w:rsidRPr="00A32FC3">
        <w:rPr>
          <w:rFonts w:ascii="Cambria" w:eastAsia="Cambria" w:hAnsi="Cambria" w:cs="Cambria"/>
          <w:sz w:val="20"/>
          <w:szCs w:val="20"/>
          <w:lang w:val="en-AU" w:eastAsia="en-ID"/>
        </w:rPr>
        <w:t xml:space="preserve">, </w:t>
      </w:r>
      <w:proofErr w:type="spellStart"/>
      <w:r w:rsidRPr="00A32FC3">
        <w:rPr>
          <w:rFonts w:ascii="Cambria" w:eastAsia="Cambria" w:hAnsi="Cambria" w:cs="Cambria"/>
          <w:sz w:val="20"/>
          <w:szCs w:val="20"/>
          <w:lang w:val="en-AU" w:eastAsia="en-ID"/>
        </w:rPr>
        <w:t>Sintang</w:t>
      </w:r>
      <w:proofErr w:type="spellEnd"/>
      <w:r w:rsidRPr="00A32FC3">
        <w:rPr>
          <w:rFonts w:ascii="Cambria" w:eastAsia="Cambria" w:hAnsi="Cambria" w:cs="Cambria"/>
          <w:sz w:val="20"/>
          <w:szCs w:val="20"/>
          <w:lang w:val="en-AU" w:eastAsia="en-ID"/>
        </w:rPr>
        <w:t xml:space="preserve"> Regency. This learning model involves four stages of development known as 4-D: define, design, develop, and deploy  </w:t>
      </w:r>
      <w:r w:rsidRPr="00A32FC3">
        <w:rPr>
          <w:rFonts w:ascii="Cambria" w:eastAsia="Cambria" w:hAnsi="Cambria" w:cs="Cambria"/>
          <w:sz w:val="20"/>
          <w:szCs w:val="20"/>
          <w:lang w:val="en-AU" w:eastAsia="en-ID"/>
        </w:rPr>
        <w:fldChar w:fldCharType="begin" w:fldLock="1"/>
      </w:r>
      <w:r w:rsidRPr="00A32FC3">
        <w:rPr>
          <w:rFonts w:ascii="Cambria" w:eastAsia="Cambria" w:hAnsi="Cambria" w:cs="Cambria"/>
          <w:sz w:val="20"/>
          <w:szCs w:val="20"/>
          <w:lang w:val="en-AU" w:eastAsia="en-ID"/>
        </w:rPr>
        <w:instrText>ADDIN CSL_CITATION {"citationItems":[{"id":"ITEM-1","itemData":{"DOI":"10.21831/elinvo.v7i1.44425","ISSN":"2580-6424","abstract":"The objective of this study is to develop a mobile career learning model for electronics engineering vocational high school and reveal the feasibility of the developed mobile career learning model to develop electronics engineering vocational student's competencies. This research utilized research and development method that refers to the Holistic 4D model, includes four stages of development: define, design, develop and deploy with three levels of holistic design and an interactive cycle, namely analysis, design, and evaluation. The define stage includes the performance analysis observations and instructional needs assessment. The design stage includes the design evaluation stage which involves expert with the background of lecturers, principals, teachers, career experts, software experts and successful alumni. The develop stage involves a review of material experts and media experts as well as a limited trial involving students and teachers of electronics engineering vocational high school. The data collection used observation sheets and questionnaires that have been validated by experts. The data analysis used the descriptive method. The results of the study are as follows. (1) The developed mobile career learning model integrates vocational learning activities and career guidance by utilizing information technology in the form of mobile career learning media applications. (2) The developed mobile career learning model is feasible and can be used for career development of students with electronics engineering competence.","author":[{"dropping-particle":"","family":"Nurdianah","given":"Evi","non-dropping-particle":"","parse-names":false,"suffix":""},{"dropping-particle":"","family":"Sudira","given":"Putu","non-dropping-particle":"","parse-names":false,"suffix":""}],"container-title":"Elinvo (Electronics, Informatics, and Vocational Education)","id":"ITEM-1","issue":"1","issued":{"date-parts":[["2022"]]},"page":"27-40","title":"Developing Mobile Career Learning Model for Electronics Engineering Vocational High School","type":"article-journal","volume":"7"},"uris":["http://www.mendeley.com/documents/?uuid=af12c20f-2eeb-4f8b-950b-ed2370bb01bf"]}],"mendeley":{"formattedCitation":"(Nurdianah &amp; Sudira, 2022)","manualFormatting":"(Nurdianah &amp; Sudira, 2022 ; Alam et al., 2022)","plainTextFormattedCitation":"(Nurdianah &amp; Sudira, 2022)","previouslyFormattedCitation":"(Nurdianah &amp; Sudira, 2022)"},"properties":{"noteIndex":0},"schema":"https://github.com/citation-style-language/schema/raw/master/csl-citation.json"}</w:instrText>
      </w:r>
      <w:r w:rsidRPr="00A32FC3">
        <w:rPr>
          <w:rFonts w:ascii="Cambria" w:eastAsia="Cambria" w:hAnsi="Cambria" w:cs="Cambria"/>
          <w:sz w:val="20"/>
          <w:szCs w:val="20"/>
          <w:lang w:val="en-AU" w:eastAsia="en-ID"/>
        </w:rPr>
        <w:fldChar w:fldCharType="separate"/>
      </w:r>
      <w:hyperlink r:id="rId40" w:history="1">
        <w:r w:rsidRPr="00A32FC3">
          <w:rPr>
            <w:rFonts w:ascii="Cambria" w:eastAsia="Cambria" w:hAnsi="Cambria" w:cs="Cambria"/>
            <w:noProof/>
            <w:color w:val="0000FF"/>
            <w:sz w:val="20"/>
            <w:szCs w:val="20"/>
            <w:u w:val="single"/>
            <w:lang w:val="en-AU" w:eastAsia="en-ID"/>
          </w:rPr>
          <w:t xml:space="preserve">(Nurdianah &amp; Sudira, 2022 ; </w:t>
        </w:r>
        <w:r w:rsidRPr="00A32FC3">
          <w:rPr>
            <w:rFonts w:ascii="Cambria" w:eastAsia="Cambria" w:hAnsi="Cambria" w:cs="Cambria"/>
            <w:noProof/>
            <w:color w:val="0000FF"/>
            <w:sz w:val="20"/>
            <w:szCs w:val="20"/>
            <w:u w:val="single"/>
            <w:lang w:val="en-AU" w:eastAsia="en-ID"/>
          </w:rPr>
          <w:fldChar w:fldCharType="begin" w:fldLock="1"/>
        </w:r>
        <w:r w:rsidRPr="00A32FC3">
          <w:rPr>
            <w:rFonts w:ascii="Cambria" w:eastAsia="Cambria" w:hAnsi="Cambria" w:cs="Cambria"/>
            <w:noProof/>
            <w:color w:val="0000FF"/>
            <w:sz w:val="20"/>
            <w:szCs w:val="20"/>
            <w:u w:val="single"/>
            <w:lang w:val="en-AU" w:eastAsia="en-ID"/>
          </w:rPr>
          <w:instrText>ADDIN CSL_CITATION {"citationItems":[{"id":"ITEM-1","itemData":{"DOI":"10.21009/jtp.v24i1.24242","ISSN":"1411-2744","abstract":"The research aimed to develop interactive multimedia learning on web programming materials in Vocational High schools. This research was conducted at SMK Negeri 1 Sajingan Besar, with the research subjects were students in class XI of Software Engineering expertise competency as many as 48 students. The research method used is a 4D model consisting of four stages, namely define stage, design, develop, and disseminate. Interactive learning multimedia developed validated by three media experts with an average result of 3.9 with a category of \"valid,\" 3 material experts with an average result of 4.09 with a category of \"very valid\" and three design experts with an average score of 4.32 with a category of \"very valid.\" Developer trials with an average value of 82.9% with \"positive\" criteria. Multimedia has an initial view that contains several menus, namely material, SK-KD, Quiz, Help, About, and Download. The effectiveness of the use of interactive learning multimedia is done by looking at the responses of students and learning outcomes. The response result of 48 students was with an average score of 81.91% with the criteria \"positive.\" The average student learning outcome for pre-test was 37.33 and for post-test was 59.97, with a difference of 22.64. Based on the results of the T-test that the sig value (2-tailed) is 0.000 &lt; 0.05 and the t value counts &gt; t table, (23,778) &gt; (2.35), These results show there is a significant difference between before and after using interactive learning multimedia on web programming materials. As for the effect size test was conducted to find out the level of effectiveness in the use of interactive learning multimedia with a value of 2.83 with the category \"Strong Effect.\"","author":[{"dropping-particle":"","family":"Alam","given":"Alfikri","non-dropping-particle":"","parse-names":false,"suffix":""},{"dropping-particle":"","family":"Astuti","given":"Indri","non-dropping-particle":"","parse-names":false,"suffix":""},{"dropping-particle":"","family":"Suratman","given":"Dede","non-dropping-particle":"","parse-names":false,"suffix":""}],"container-title":"JTP - Jurnal Teknologi Pendidikan","id":"ITEM-1","issue":"1","issued":{"date-parts":[["2022"]]},"page":"50-62","title":"Development of Web Programming Interactive Learning Multimedia in Vocational Middle School","type":"article-journal","volume":"24"},"uris":["http://www.mendeley.com/documents/?uuid=b453d97a-e501-4414-9876-32afe92f0412"]}],"mendeley":{"formattedCitation":"(Alam et al., 2022)","manualFormatting":"Alam et al., 2022)","plainTextFormattedCitation":"(Alam et al., 2022)","previouslyFormattedCitation":"(Alam et al., 2022)"},"properties":{"noteIndex":0},"schema":"https://github.com/citation-style-language/schema/raw/master/csl-citation.json"}</w:instrText>
        </w:r>
        <w:r w:rsidRPr="00A32FC3">
          <w:rPr>
            <w:rFonts w:ascii="Cambria" w:eastAsia="Cambria" w:hAnsi="Cambria" w:cs="Cambria"/>
            <w:noProof/>
            <w:color w:val="0000FF"/>
            <w:sz w:val="20"/>
            <w:szCs w:val="20"/>
            <w:u w:val="single"/>
            <w:lang w:val="en-AU" w:eastAsia="en-ID"/>
          </w:rPr>
          <w:fldChar w:fldCharType="separate"/>
        </w:r>
        <w:r w:rsidRPr="00A32FC3">
          <w:rPr>
            <w:rFonts w:ascii="Cambria" w:eastAsia="Cambria" w:hAnsi="Cambria" w:cs="Cambria"/>
            <w:noProof/>
            <w:color w:val="0000FF"/>
            <w:sz w:val="20"/>
            <w:szCs w:val="20"/>
            <w:u w:val="single"/>
            <w:lang w:val="en-AU" w:eastAsia="en-ID"/>
          </w:rPr>
          <w:t>Alam et al., 2022)</w:t>
        </w:r>
        <w:r w:rsidRPr="00A32FC3">
          <w:rPr>
            <w:rFonts w:ascii="Cambria" w:eastAsia="Cambria" w:hAnsi="Cambria" w:cs="Cambria"/>
            <w:noProof/>
            <w:color w:val="0000FF"/>
            <w:sz w:val="20"/>
            <w:szCs w:val="20"/>
            <w:u w:val="single"/>
            <w:lang w:val="en-AU" w:eastAsia="en-ID"/>
          </w:rPr>
          <w:fldChar w:fldCharType="end"/>
        </w:r>
      </w:hyperlink>
      <w:r w:rsidRPr="00A32FC3">
        <w:rPr>
          <w:rFonts w:ascii="Cambria" w:eastAsia="Cambria" w:hAnsi="Cambria" w:cs="Cambria"/>
          <w:sz w:val="20"/>
          <w:szCs w:val="20"/>
          <w:lang w:val="en-AU" w:eastAsia="en-ID"/>
        </w:rPr>
        <w:fldChar w:fldCharType="end"/>
      </w:r>
      <w:r w:rsidRPr="00A32FC3">
        <w:rPr>
          <w:rFonts w:ascii="Cambria" w:eastAsia="Cambria" w:hAnsi="Cambria" w:cs="Cambria"/>
          <w:sz w:val="20"/>
          <w:szCs w:val="20"/>
          <w:lang w:val="en-AU" w:eastAsia="en-ID"/>
        </w:rPr>
        <w:t>.</w:t>
      </w:r>
      <w:r w:rsidRPr="00A32FC3">
        <w:rPr>
          <w:rFonts w:ascii="Times New Roman" w:eastAsia="MS Mincho" w:hAnsi="Times New Roman" w:cs="Times New Roman"/>
          <w:sz w:val="24"/>
          <w:szCs w:val="24"/>
          <w:lang w:val="en-AU" w:eastAsia="en-ID"/>
        </w:rPr>
        <w:t xml:space="preserve"> </w:t>
      </w:r>
    </w:p>
    <w:p w:rsidR="00A32FC3" w:rsidRPr="00A32FC3" w:rsidRDefault="00A32FC3" w:rsidP="00A32FC3">
      <w:pPr>
        <w:spacing w:after="0" w:line="240" w:lineRule="auto"/>
        <w:ind w:firstLine="720"/>
        <w:jc w:val="both"/>
        <w:rPr>
          <w:rFonts w:ascii="Cambria" w:eastAsia="Cambria" w:hAnsi="Cambria" w:cs="Cambria"/>
          <w:sz w:val="20"/>
          <w:szCs w:val="20"/>
          <w:lang w:val="en-AU" w:eastAsia="en-ID"/>
        </w:rPr>
      </w:pPr>
      <w:r w:rsidRPr="00A32FC3">
        <w:rPr>
          <w:rFonts w:ascii="Cambria" w:eastAsia="Cambria" w:hAnsi="Cambria" w:cs="Cambria"/>
          <w:sz w:val="20"/>
          <w:szCs w:val="20"/>
          <w:lang w:val="en-AU" w:eastAsia="en-ID"/>
        </w:rPr>
        <w:t xml:space="preserve">This study used the ADDIE design approach by applying </w:t>
      </w:r>
      <w:proofErr w:type="spellStart"/>
      <w:r w:rsidRPr="00A32FC3">
        <w:rPr>
          <w:rFonts w:ascii="Cambria" w:eastAsia="Cambria" w:hAnsi="Cambria" w:cs="Cambria"/>
          <w:sz w:val="20"/>
          <w:szCs w:val="20"/>
          <w:lang w:val="en-AU" w:eastAsia="en-ID"/>
        </w:rPr>
        <w:t>pretest</w:t>
      </w:r>
      <w:proofErr w:type="spellEnd"/>
      <w:r w:rsidRPr="00A32FC3">
        <w:rPr>
          <w:rFonts w:ascii="Cambria" w:eastAsia="Cambria" w:hAnsi="Cambria" w:cs="Cambria"/>
          <w:sz w:val="20"/>
          <w:szCs w:val="20"/>
          <w:lang w:val="en-AU" w:eastAsia="en-ID"/>
        </w:rPr>
        <w:t xml:space="preserve"> and post-test to evaluate students' strengths and weaknesses before and after learning. Although the research lasted for one year, only the first three stages (definition, design and development) were successfully completed, while the dissemination stage was not achieved. The scope of this research focuses on the field of education, with the main objective to develop grammar teaching materials that can improve students' reading comprehension and critical thinking skills in elementary schools. The success of the research will be assessed based on how effective the developed module can help grade 5 students and teachers in the learning process. The research variables can be grouped into two main aspects, namely: (1) the development of 5th grade learning media to improve students' reading skills, and (2) assessment criteria that include five levels: "not helpful", "less helpful", "moderately helpful", "helpful", and "very helpful". To provide an overview of the research design, diagrams or illustrations as shown in Figure 1, can be used to present information clearly and effectively.  </w:t>
      </w:r>
    </w:p>
    <w:p w:rsidR="00A32FC3" w:rsidRPr="00A32FC3" w:rsidRDefault="00A32FC3" w:rsidP="00A32FC3">
      <w:pPr>
        <w:spacing w:after="0" w:line="240" w:lineRule="auto"/>
        <w:ind w:firstLine="720"/>
        <w:jc w:val="both"/>
        <w:rPr>
          <w:rFonts w:ascii="Cambria" w:eastAsia="Cambria" w:hAnsi="Cambria" w:cs="Cambria"/>
          <w:color w:val="000000"/>
          <w:sz w:val="20"/>
          <w:szCs w:val="20"/>
          <w:lang w:val="en-AU" w:eastAsia="en-ID"/>
        </w:rPr>
      </w:pPr>
      <w:r w:rsidRPr="00A32FC3">
        <w:rPr>
          <w:rFonts w:ascii="Cambria" w:eastAsia="Cambria" w:hAnsi="Cambria" w:cs="Cambria"/>
          <w:sz w:val="20"/>
          <w:szCs w:val="20"/>
          <w:lang w:val="en-AU" w:eastAsia="en-ID"/>
        </w:rPr>
        <w:t xml:space="preserve">      </w:t>
      </w:r>
    </w:p>
    <w:p w:rsidR="00A32FC3" w:rsidRPr="00A32FC3" w:rsidRDefault="00A32FC3" w:rsidP="00A32FC3">
      <w:pPr>
        <w:spacing w:after="0" w:line="240" w:lineRule="auto"/>
        <w:jc w:val="both"/>
        <w:rPr>
          <w:rFonts w:ascii="Cambria" w:eastAsia="Cambria" w:hAnsi="Cambria" w:cs="Cambria"/>
          <w:sz w:val="20"/>
          <w:szCs w:val="20"/>
          <w:lang w:val="en-AU" w:eastAsia="en-ID"/>
        </w:rPr>
      </w:pPr>
      <w:r w:rsidRPr="00A32FC3">
        <w:rPr>
          <w:rFonts w:ascii="Times New Roman" w:eastAsia="MS Mincho" w:hAnsi="Times New Roman" w:cs="Times New Roman"/>
          <w:noProof/>
          <w:sz w:val="24"/>
          <w:szCs w:val="24"/>
          <w:lang w:val="en-AU" w:eastAsia="en-ID"/>
        </w:rPr>
        <w:lastRenderedPageBreak/>
        <w:drawing>
          <wp:anchor distT="0" distB="0" distL="114300" distR="114300" simplePos="0" relativeHeight="251659264" behindDoc="0" locked="0" layoutInCell="1" allowOverlap="1" wp14:anchorId="6F8258EA" wp14:editId="7699FECB">
            <wp:simplePos x="0" y="0"/>
            <wp:positionH relativeFrom="column">
              <wp:posOffset>861695</wp:posOffset>
            </wp:positionH>
            <wp:positionV relativeFrom="paragraph">
              <wp:posOffset>128270</wp:posOffset>
            </wp:positionV>
            <wp:extent cx="4181475" cy="3133090"/>
            <wp:effectExtent l="0" t="0" r="9525" b="0"/>
            <wp:wrapSquare wrapText="bothSides"/>
            <wp:docPr id="3" name="Picture 3" descr="tmp71015416699499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p7101541669949931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81475" cy="313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2FC3" w:rsidRPr="00A32FC3" w:rsidRDefault="00A32FC3" w:rsidP="00A32FC3">
      <w:pPr>
        <w:spacing w:after="0" w:line="240" w:lineRule="auto"/>
        <w:ind w:firstLine="720"/>
        <w:jc w:val="center"/>
        <w:rPr>
          <w:rFonts w:ascii="Cambria" w:eastAsia="Cambria" w:hAnsi="Cambria" w:cs="Cambria"/>
          <w:color w:val="000000"/>
          <w:sz w:val="20"/>
          <w:szCs w:val="20"/>
          <w:lang w:val="en-AU" w:eastAsia="en-ID"/>
        </w:rPr>
      </w:pPr>
      <w:r w:rsidRPr="00A32FC3">
        <w:rPr>
          <w:rFonts w:ascii="Cambria" w:eastAsia="Cambria" w:hAnsi="Cambria" w:cs="Cambria"/>
          <w:b/>
          <w:bCs/>
          <w:color w:val="000000"/>
          <w:sz w:val="20"/>
          <w:szCs w:val="20"/>
          <w:lang w:val="en-AU" w:eastAsia="en-ID"/>
        </w:rPr>
        <w:t>Figure 1</w:t>
      </w:r>
      <w:r w:rsidRPr="00A32FC3">
        <w:rPr>
          <w:rFonts w:ascii="Cambria" w:eastAsia="Cambria" w:hAnsi="Cambria" w:cs="Cambria"/>
          <w:color w:val="000000"/>
          <w:sz w:val="20"/>
          <w:szCs w:val="20"/>
          <w:lang w:val="en-AU" w:eastAsia="en-ID"/>
        </w:rPr>
        <w:t xml:space="preserve">. </w:t>
      </w:r>
      <w:r w:rsidRPr="00A32FC3">
        <w:rPr>
          <w:rFonts w:ascii="Cambria" w:eastAsia="Cambria" w:hAnsi="Cambria" w:cs="Cambria"/>
          <w:i/>
          <w:iCs/>
          <w:color w:val="000000"/>
          <w:sz w:val="20"/>
          <w:szCs w:val="20"/>
          <w:lang w:val="en-AU" w:eastAsia="en-ID"/>
        </w:rPr>
        <w:t>Stages of Adapted Product Development from the ADDIE Model</w:t>
      </w:r>
    </w:p>
    <w:p w:rsidR="00A32FC3" w:rsidRPr="00A32FC3" w:rsidRDefault="00A32FC3" w:rsidP="00A32FC3">
      <w:pPr>
        <w:spacing w:after="0" w:line="240" w:lineRule="auto"/>
        <w:ind w:firstLine="720"/>
        <w:jc w:val="center"/>
        <w:rPr>
          <w:rFonts w:ascii="Cambria" w:eastAsia="Cambria" w:hAnsi="Cambria" w:cs="Cambria"/>
          <w:color w:val="000000"/>
          <w:sz w:val="20"/>
          <w:szCs w:val="20"/>
          <w:highlight w:val="yellow"/>
          <w:lang w:val="en-AU" w:eastAsia="en-ID"/>
        </w:rPr>
      </w:pPr>
    </w:p>
    <w:p w:rsidR="00A32FC3" w:rsidRPr="00A32FC3" w:rsidRDefault="00A32FC3" w:rsidP="00A32FC3">
      <w:pPr>
        <w:spacing w:after="0" w:line="240" w:lineRule="auto"/>
        <w:ind w:firstLine="720"/>
        <w:rPr>
          <w:rFonts w:ascii="Cambria" w:eastAsia="Cambria" w:hAnsi="Cambria" w:cs="Cambria"/>
          <w:color w:val="000000"/>
          <w:sz w:val="20"/>
          <w:szCs w:val="20"/>
          <w:lang w:val="en-AU" w:eastAsia="en-ID"/>
        </w:rPr>
      </w:pPr>
      <w:r w:rsidRPr="00A32FC3">
        <w:rPr>
          <w:rFonts w:ascii="Cambria" w:eastAsia="Cambria" w:hAnsi="Cambria" w:cs="Cambria"/>
          <w:color w:val="000000"/>
          <w:sz w:val="20"/>
          <w:szCs w:val="20"/>
          <w:lang w:val="en-AU" w:eastAsia="en-ID"/>
        </w:rPr>
        <w:t xml:space="preserve">In the ADDIE research model, there are five main stages. According to Robert </w:t>
      </w:r>
      <w:proofErr w:type="spellStart"/>
      <w:r w:rsidRPr="00A32FC3">
        <w:rPr>
          <w:rFonts w:ascii="Cambria" w:eastAsia="Cambria" w:hAnsi="Cambria" w:cs="Cambria"/>
          <w:color w:val="000000"/>
          <w:sz w:val="20"/>
          <w:szCs w:val="20"/>
          <w:lang w:val="en-AU" w:eastAsia="en-ID"/>
        </w:rPr>
        <w:t>Maribe</w:t>
      </w:r>
      <w:proofErr w:type="spellEnd"/>
      <w:r w:rsidRPr="00A32FC3">
        <w:rPr>
          <w:rFonts w:ascii="Cambria" w:eastAsia="Cambria" w:hAnsi="Cambria" w:cs="Cambria"/>
          <w:color w:val="000000"/>
          <w:sz w:val="20"/>
          <w:szCs w:val="20"/>
          <w:lang w:val="en-AU" w:eastAsia="en-ID"/>
        </w:rPr>
        <w:t xml:space="preserve"> Branch </w:t>
      </w:r>
      <w:r w:rsidRPr="00A32FC3">
        <w:rPr>
          <w:rFonts w:ascii="Cambria" w:eastAsia="Cambria" w:hAnsi="Cambria" w:cs="Cambria"/>
          <w:color w:val="000000"/>
          <w:sz w:val="20"/>
          <w:szCs w:val="20"/>
          <w:lang w:val="en-AU" w:eastAsia="en-ID"/>
        </w:rPr>
        <w:fldChar w:fldCharType="begin" w:fldLock="1"/>
      </w:r>
      <w:r w:rsidRPr="00A32FC3">
        <w:rPr>
          <w:rFonts w:ascii="Cambria" w:eastAsia="Cambria" w:hAnsi="Cambria" w:cs="Cambria"/>
          <w:color w:val="000000"/>
          <w:sz w:val="20"/>
          <w:szCs w:val="20"/>
          <w:lang w:val="en-AU" w:eastAsia="en-ID"/>
        </w:rPr>
        <w:instrText>ADDIN CSL_CITATION {"citationItems":[{"id":"ITEM-1","itemData":{"DOI":"10.23887/jisd.v5i2.38072","ISSN":"2579-3276","abstract":"The development of the nation's character has not shown progress in the progress of its citizens to become more characterized. The phenomenon is that many people's behavior is not by the character imbued with the Pancasila philosophy. This study aims to analyze the program for strengthening character education based on school culture as a strengthening of the civic character of elementary school students. The method used in this research is descriptive qualitative with data collection in interviews, observations, and documentation. The data analysis technique uses the Miles and Huberman method triangulation. The results showed that the school culture-based character education program is a civic reinforcement for students by familiarizing the main character values in religion, nationalism, independence, cooperation in various school cultural activities. In addition, there is support in the implementation of character education programs as an enhancer of entrepreneurial character in Ngrukeman Yogyakarta Elementary School students, such as adequate infrastructure and teacher training. This paper concludes that the school culture-based character education program as a strengthening of the civic character of students in elementary schools can be implemented with the cooperation of various parties in the school. The recommendations in this article are to explore further the school culture-based character education program, especially in elementary schools.","author":[{"dropping-particle":"","family":"Retnasari","given":"Lisa","non-dropping-particle":"","parse-names":false,"suffix":""},{"dropping-particle":"","family":"Hidayah","given":"Yayuk","non-dropping-particle":"","parse-names":false,"suffix":""},{"dropping-particle":"","family":"Prasetyo","given":"Danang","non-dropping-particle":"","parse-names":false,"suffix":""}],"container-title":"Jurnal Ilmiah Sekolah Dasar","id":"ITEM-1","issue":"2","issued":{"date-parts":[["2021"]]},"page":"351","title":"Reinforcement of Character Education Based on School Culture to Enhancing Elementary School Students' Citizenship Character","type":"article-journal","volume":"5"},"uris":["http://www.mendeley.com/documents/?uuid=cd2dc48d-7829-4d8c-bc57-0a20ee87f7fd"]}],"mendeley":{"formattedCitation":"(Retnasari et al., 2021)","plainTextFormattedCitation":"(Retnasari et al., 2021)","previouslyFormattedCitation":"(Retnasari et al., 2021)"},"properties":{"noteIndex":0},"schema":"https://github.com/citation-style-language/schema/raw/master/csl-citation.json"}</w:instrText>
      </w:r>
      <w:r w:rsidRPr="00A32FC3">
        <w:rPr>
          <w:rFonts w:ascii="Cambria" w:eastAsia="Cambria" w:hAnsi="Cambria" w:cs="Cambria"/>
          <w:color w:val="000000"/>
          <w:sz w:val="20"/>
          <w:szCs w:val="20"/>
          <w:lang w:val="en-AU" w:eastAsia="en-ID"/>
        </w:rPr>
        <w:fldChar w:fldCharType="separate"/>
      </w:r>
      <w:hyperlink r:id="rId42" w:history="1">
        <w:r w:rsidRPr="00A32FC3">
          <w:rPr>
            <w:rFonts w:ascii="Cambria" w:eastAsia="Cambria" w:hAnsi="Cambria" w:cs="Cambria"/>
            <w:noProof/>
            <w:color w:val="0000FF"/>
            <w:sz w:val="20"/>
            <w:szCs w:val="20"/>
            <w:u w:val="single"/>
            <w:lang w:val="en-AU" w:eastAsia="en-ID"/>
          </w:rPr>
          <w:t>(Retnasari et al., 2021</w:t>
        </w:r>
      </w:hyperlink>
      <w:r w:rsidRPr="00A32FC3">
        <w:rPr>
          <w:rFonts w:ascii="Cambria" w:eastAsia="Cambria" w:hAnsi="Cambria" w:cs="Cambria"/>
          <w:noProof/>
          <w:color w:val="000000"/>
          <w:sz w:val="20"/>
          <w:szCs w:val="20"/>
          <w:lang w:val="en-AU" w:eastAsia="en-ID"/>
        </w:rPr>
        <w:t>)</w:t>
      </w:r>
      <w:r w:rsidRPr="00A32FC3">
        <w:rPr>
          <w:rFonts w:ascii="Cambria" w:eastAsia="Cambria" w:hAnsi="Cambria" w:cs="Cambria"/>
          <w:color w:val="000000"/>
          <w:sz w:val="20"/>
          <w:szCs w:val="20"/>
          <w:lang w:val="en-AU" w:eastAsia="en-ID"/>
        </w:rPr>
        <w:fldChar w:fldCharType="end"/>
      </w:r>
      <w:r w:rsidRPr="00A32FC3">
        <w:rPr>
          <w:rFonts w:ascii="Cambria" w:eastAsia="Cambria" w:hAnsi="Cambria" w:cs="Cambria"/>
          <w:color w:val="000000"/>
          <w:sz w:val="20"/>
          <w:szCs w:val="20"/>
          <w:lang w:val="en-AU" w:eastAsia="en-ID"/>
        </w:rPr>
        <w:t xml:space="preserve">, these five main stages can be divided into 21 specific steps. These steps can be described in a table as follows. </w:t>
      </w:r>
    </w:p>
    <w:p w:rsidR="00A32FC3" w:rsidRPr="00A32FC3" w:rsidRDefault="00A32FC3" w:rsidP="00A32FC3">
      <w:pPr>
        <w:spacing w:after="0" w:line="240" w:lineRule="auto"/>
        <w:ind w:firstLine="720"/>
        <w:jc w:val="center"/>
        <w:rPr>
          <w:rFonts w:ascii="Cambria" w:eastAsia="Cambria" w:hAnsi="Cambria" w:cs="Cambria"/>
          <w:color w:val="000000"/>
          <w:sz w:val="20"/>
          <w:szCs w:val="20"/>
          <w:lang w:val="en-AU" w:eastAsia="en-ID"/>
        </w:rPr>
      </w:pPr>
      <w:r w:rsidRPr="00A32FC3">
        <w:rPr>
          <w:rFonts w:ascii="Cambria" w:eastAsia="Cambria" w:hAnsi="Cambria" w:cs="Cambria"/>
          <w:b/>
          <w:bCs/>
          <w:color w:val="000000"/>
          <w:sz w:val="20"/>
          <w:szCs w:val="20"/>
          <w:lang w:val="en-AU" w:eastAsia="en-ID"/>
        </w:rPr>
        <w:t>Table 2</w:t>
      </w:r>
      <w:r w:rsidRPr="00A32FC3">
        <w:rPr>
          <w:rFonts w:ascii="Cambria" w:eastAsia="Cambria" w:hAnsi="Cambria" w:cs="Cambria"/>
          <w:color w:val="000000"/>
          <w:sz w:val="20"/>
          <w:szCs w:val="20"/>
          <w:lang w:val="en-AU" w:eastAsia="en-ID"/>
        </w:rPr>
        <w:t xml:space="preserve">. </w:t>
      </w:r>
      <w:r w:rsidRPr="00A32FC3">
        <w:rPr>
          <w:rFonts w:ascii="Cambria" w:eastAsia="Cambria" w:hAnsi="Cambria" w:cs="Cambria"/>
          <w:i/>
          <w:iCs/>
          <w:color w:val="000000"/>
          <w:sz w:val="20"/>
          <w:szCs w:val="20"/>
          <w:lang w:val="en-AU" w:eastAsia="en-ID"/>
        </w:rPr>
        <w:t>Details of ADDIE Stages</w:t>
      </w:r>
    </w:p>
    <w:tbl>
      <w:tblPr>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843"/>
        <w:gridCol w:w="3059"/>
        <w:gridCol w:w="1477"/>
      </w:tblGrid>
      <w:tr w:rsidR="00A32FC3" w:rsidRPr="00A32FC3" w:rsidTr="00294E2E">
        <w:trPr>
          <w:trHeight w:val="275"/>
        </w:trPr>
        <w:tc>
          <w:tcPr>
            <w:tcW w:w="3260" w:type="dxa"/>
            <w:gridSpan w:val="2"/>
          </w:tcPr>
          <w:p w:rsidR="00A32FC3" w:rsidRPr="00A32FC3" w:rsidRDefault="00A32FC3" w:rsidP="00A32FC3">
            <w:pPr>
              <w:widowControl w:val="0"/>
              <w:autoSpaceDE w:val="0"/>
              <w:autoSpaceDN w:val="0"/>
              <w:spacing w:after="0" w:line="240" w:lineRule="auto"/>
              <w:jc w:val="center"/>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CONCEPTS</w:t>
            </w:r>
          </w:p>
        </w:tc>
        <w:tc>
          <w:tcPr>
            <w:tcW w:w="4536" w:type="dxa"/>
            <w:gridSpan w:val="2"/>
          </w:tcPr>
          <w:p w:rsidR="00A32FC3" w:rsidRPr="00A32FC3" w:rsidRDefault="00A32FC3" w:rsidP="00A32FC3">
            <w:pPr>
              <w:widowControl w:val="0"/>
              <w:autoSpaceDE w:val="0"/>
              <w:autoSpaceDN w:val="0"/>
              <w:spacing w:after="0" w:line="240" w:lineRule="auto"/>
              <w:jc w:val="center"/>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COMMON PROCEDURES</w:t>
            </w:r>
          </w:p>
        </w:tc>
      </w:tr>
      <w:tr w:rsidR="00A32FC3" w:rsidRPr="00A32FC3" w:rsidTr="00294E2E">
        <w:trPr>
          <w:trHeight w:val="2626"/>
        </w:trPr>
        <w:tc>
          <w:tcPr>
            <w:tcW w:w="1417" w:type="dxa"/>
          </w:tcPr>
          <w:p w:rsidR="00A32FC3" w:rsidRPr="00A32FC3" w:rsidRDefault="00A32FC3" w:rsidP="00A32FC3">
            <w:pPr>
              <w:widowControl w:val="0"/>
              <w:autoSpaceDE w:val="0"/>
              <w:autoSpaceDN w:val="0"/>
              <w:spacing w:after="0" w:line="240" w:lineRule="auto"/>
              <w:ind w:left="135"/>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Analyze</w:t>
            </w:r>
          </w:p>
        </w:tc>
        <w:tc>
          <w:tcPr>
            <w:tcW w:w="1843" w:type="dxa"/>
          </w:tcPr>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Identify</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the probable causes</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for</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a performance gap</w:t>
            </w:r>
          </w:p>
        </w:tc>
        <w:tc>
          <w:tcPr>
            <w:tcW w:w="3059" w:type="dxa"/>
          </w:tcPr>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Validate</w:t>
            </w:r>
            <w:r w:rsidRPr="00A32FC3">
              <w:rPr>
                <w:rFonts w:ascii="Times New Roman" w:eastAsia="Calibri" w:hAnsi="Times New Roman" w:cs="Times New Roman"/>
                <w:noProof/>
                <w:sz w:val="24"/>
                <w:szCs w:val="24"/>
                <w:lang w:val="id"/>
              </w:rPr>
              <w:tab/>
              <w:t>the</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performance gap</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Determine</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instructional goals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Confirm</w:t>
            </w:r>
            <w:r w:rsidRPr="00A32FC3">
              <w:rPr>
                <w:rFonts w:ascii="Times New Roman" w:eastAsia="Calibri" w:hAnsi="Times New Roman" w:cs="Times New Roman"/>
                <w:noProof/>
                <w:sz w:val="24"/>
                <w:szCs w:val="24"/>
                <w:lang w:val="id"/>
              </w:rPr>
              <w:tab/>
              <w:t>the</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intended audience</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Identify required resources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Determine potential delivery system (including cost</w:t>
            </w:r>
            <w:r w:rsidRPr="00A32FC3">
              <w:rPr>
                <w:rFonts w:ascii="Times New Roman" w:eastAsia="Calibri" w:hAnsi="Times New Roman" w:cs="Times New Roman"/>
                <w:noProof/>
                <w:sz w:val="24"/>
                <w:szCs w:val="24"/>
                <w:lang w:val="en-US"/>
              </w:rPr>
              <w:t xml:space="preserve"> </w:t>
            </w:r>
            <w:r w:rsidRPr="00A32FC3">
              <w:rPr>
                <w:rFonts w:ascii="Times New Roman" w:eastAsia="Calibri" w:hAnsi="Times New Roman" w:cs="Times New Roman"/>
                <w:noProof/>
                <w:sz w:val="24"/>
                <w:szCs w:val="24"/>
                <w:lang w:val="id"/>
              </w:rPr>
              <w:t>estimate)</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Compose a project management plan</w:t>
            </w:r>
          </w:p>
        </w:tc>
        <w:tc>
          <w:tcPr>
            <w:tcW w:w="1477" w:type="dxa"/>
          </w:tcPr>
          <w:p w:rsidR="00A32FC3" w:rsidRPr="00A32FC3" w:rsidRDefault="00A32FC3" w:rsidP="00A32FC3">
            <w:pPr>
              <w:widowControl w:val="0"/>
              <w:autoSpaceDE w:val="0"/>
              <w:autoSpaceDN w:val="0"/>
              <w:spacing w:after="0" w:line="240" w:lineRule="auto"/>
              <w:ind w:left="60" w:right="219"/>
              <w:rPr>
                <w:rFonts w:ascii="Times New Roman" w:eastAsia="Calibri" w:hAnsi="Times New Roman" w:cs="Times New Roman"/>
                <w:noProof/>
                <w:sz w:val="24"/>
                <w:szCs w:val="24"/>
                <w:lang w:val="id"/>
              </w:rPr>
            </w:pPr>
            <w:r w:rsidRPr="00A32FC3">
              <w:rPr>
                <w:rFonts w:ascii="Times New Roman" w:eastAsia="Calibri" w:hAnsi="Times New Roman" w:cs="Times New Roman"/>
                <w:noProof/>
                <w:sz w:val="24"/>
                <w:szCs w:val="24"/>
                <w:lang w:val="id"/>
              </w:rPr>
              <w:t>Analysis sumary</w:t>
            </w:r>
          </w:p>
        </w:tc>
      </w:tr>
      <w:tr w:rsidR="00A32FC3" w:rsidRPr="00A32FC3" w:rsidTr="00294E2E">
        <w:trPr>
          <w:trHeight w:val="1658"/>
        </w:trPr>
        <w:tc>
          <w:tcPr>
            <w:tcW w:w="1417" w:type="dxa"/>
          </w:tcPr>
          <w:p w:rsidR="00A32FC3" w:rsidRPr="00A32FC3" w:rsidRDefault="00A32FC3" w:rsidP="00A32FC3">
            <w:pPr>
              <w:widowControl w:val="0"/>
              <w:autoSpaceDE w:val="0"/>
              <w:autoSpaceDN w:val="0"/>
              <w:spacing w:after="0" w:line="240" w:lineRule="auto"/>
              <w:ind w:left="135"/>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Design</w:t>
            </w:r>
          </w:p>
        </w:tc>
        <w:tc>
          <w:tcPr>
            <w:tcW w:w="1843" w:type="dxa"/>
          </w:tcPr>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Verify</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the desired performances and appropiate testing</w:t>
            </w:r>
          </w:p>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methods</w:t>
            </w:r>
          </w:p>
        </w:tc>
        <w:tc>
          <w:tcPr>
            <w:tcW w:w="3059" w:type="dxa"/>
          </w:tcPr>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Conduct a task inventory</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Compose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performance objectives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Generate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testing strategies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Calculate</w:t>
            </w:r>
            <w:r w:rsidRPr="00A32FC3">
              <w:rPr>
                <w:rFonts w:ascii="Times New Roman" w:eastAsia="Calibri" w:hAnsi="Times New Roman" w:cs="Times New Roman"/>
                <w:noProof/>
                <w:kern w:val="2"/>
                <w:sz w:val="24"/>
                <w:szCs w:val="24"/>
                <w:lang w:val="id"/>
                <w14:ligatures w14:val="standardContextual"/>
              </w:rPr>
              <w:tab/>
              <w:t>return</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on investment</w:t>
            </w:r>
          </w:p>
        </w:tc>
        <w:tc>
          <w:tcPr>
            <w:tcW w:w="1477" w:type="dxa"/>
          </w:tcPr>
          <w:p w:rsidR="00A32FC3" w:rsidRPr="00A32FC3" w:rsidRDefault="00A32FC3" w:rsidP="00A32FC3">
            <w:pPr>
              <w:widowControl w:val="0"/>
              <w:autoSpaceDE w:val="0"/>
              <w:autoSpaceDN w:val="0"/>
              <w:spacing w:after="0" w:line="240" w:lineRule="auto"/>
              <w:ind w:left="60" w:right="219"/>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Design brief</w:t>
            </w:r>
          </w:p>
        </w:tc>
      </w:tr>
      <w:tr w:rsidR="00A32FC3" w:rsidRPr="00A32FC3" w:rsidTr="00294E2E">
        <w:trPr>
          <w:trHeight w:val="1124"/>
        </w:trPr>
        <w:tc>
          <w:tcPr>
            <w:tcW w:w="1417" w:type="dxa"/>
          </w:tcPr>
          <w:p w:rsidR="00A32FC3" w:rsidRPr="00A32FC3" w:rsidRDefault="00A32FC3" w:rsidP="00A32FC3">
            <w:pPr>
              <w:widowControl w:val="0"/>
              <w:autoSpaceDE w:val="0"/>
              <w:autoSpaceDN w:val="0"/>
              <w:spacing w:after="0" w:line="240" w:lineRule="auto"/>
              <w:ind w:left="135"/>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Develop</w:t>
            </w:r>
          </w:p>
        </w:tc>
        <w:tc>
          <w:tcPr>
            <w:tcW w:w="1843" w:type="dxa"/>
          </w:tcPr>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Generate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and validate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the learning resources</w:t>
            </w:r>
          </w:p>
        </w:tc>
        <w:tc>
          <w:tcPr>
            <w:tcW w:w="3059" w:type="dxa"/>
          </w:tcPr>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Generate content</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Select or develop supporting media</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Develop</w:t>
            </w:r>
            <w:r w:rsidRPr="00A32FC3">
              <w:rPr>
                <w:rFonts w:ascii="Times New Roman" w:eastAsia="Calibri" w:hAnsi="Times New Roman" w:cs="Times New Roman"/>
                <w:noProof/>
                <w:kern w:val="2"/>
                <w:sz w:val="24"/>
                <w:szCs w:val="24"/>
                <w:lang w:val="id"/>
                <w14:ligatures w14:val="standardContextual"/>
              </w:rPr>
              <w:tab/>
              <w:t>guidance</w:t>
            </w:r>
            <w:r w:rsidRPr="00A32FC3">
              <w:rPr>
                <w:rFonts w:ascii="Times New Roman" w:eastAsia="Calibri" w:hAnsi="Times New Roman" w:cs="Times New Roman"/>
                <w:noProof/>
                <w:kern w:val="2"/>
                <w:sz w:val="24"/>
                <w:szCs w:val="24"/>
                <w:lang w:val="id"/>
                <w14:ligatures w14:val="standardContextual"/>
              </w:rPr>
              <w:tab/>
              <w:t>for students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lastRenderedPageBreak/>
              <w:t>Develop guidance for the teacher</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Conduct formative revisions</w:t>
            </w:r>
          </w:p>
          <w:p w:rsidR="00A32FC3" w:rsidRPr="00A32FC3" w:rsidRDefault="00A32FC3" w:rsidP="00A32FC3">
            <w:pPr>
              <w:widowControl w:val="0"/>
              <w:numPr>
                <w:ilvl w:val="0"/>
                <w:numId w:val="19"/>
              </w:numPr>
              <w:autoSpaceDE w:val="0"/>
              <w:autoSpaceDN w:val="0"/>
              <w:spacing w:after="0" w:line="240" w:lineRule="auto"/>
              <w:ind w:left="427" w:right="81"/>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Conduct a pilot test</w:t>
            </w:r>
          </w:p>
        </w:tc>
        <w:tc>
          <w:tcPr>
            <w:tcW w:w="1477" w:type="dxa"/>
          </w:tcPr>
          <w:p w:rsidR="00A32FC3" w:rsidRPr="00A32FC3" w:rsidRDefault="00A32FC3" w:rsidP="00A32FC3">
            <w:pPr>
              <w:widowControl w:val="0"/>
              <w:autoSpaceDE w:val="0"/>
              <w:autoSpaceDN w:val="0"/>
              <w:spacing w:after="0" w:line="240" w:lineRule="auto"/>
              <w:ind w:left="60" w:right="219"/>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lastRenderedPageBreak/>
              <w:t>Learning resources</w:t>
            </w:r>
          </w:p>
        </w:tc>
      </w:tr>
      <w:tr w:rsidR="00A32FC3" w:rsidRPr="00A32FC3" w:rsidTr="00294E2E">
        <w:trPr>
          <w:trHeight w:val="1379"/>
        </w:trPr>
        <w:tc>
          <w:tcPr>
            <w:tcW w:w="1417" w:type="dxa"/>
          </w:tcPr>
          <w:p w:rsidR="00A32FC3" w:rsidRPr="00A32FC3" w:rsidRDefault="00A32FC3" w:rsidP="00A32FC3">
            <w:pPr>
              <w:widowControl w:val="0"/>
              <w:autoSpaceDE w:val="0"/>
              <w:autoSpaceDN w:val="0"/>
              <w:spacing w:after="0" w:line="240" w:lineRule="auto"/>
              <w:ind w:left="135"/>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Implement</w:t>
            </w:r>
          </w:p>
        </w:tc>
        <w:tc>
          <w:tcPr>
            <w:tcW w:w="1843" w:type="dxa"/>
          </w:tcPr>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Prepare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the learning environment and engage the</w:t>
            </w:r>
          </w:p>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students</w:t>
            </w:r>
          </w:p>
        </w:tc>
        <w:tc>
          <w:tcPr>
            <w:tcW w:w="3059" w:type="dxa"/>
          </w:tcPr>
          <w:p w:rsidR="00A32FC3" w:rsidRPr="00A32FC3" w:rsidRDefault="00A32FC3" w:rsidP="00A32FC3">
            <w:pPr>
              <w:widowControl w:val="0"/>
              <w:numPr>
                <w:ilvl w:val="0"/>
                <w:numId w:val="19"/>
              </w:numPr>
              <w:autoSpaceDE w:val="0"/>
              <w:autoSpaceDN w:val="0"/>
              <w:spacing w:after="0" w:line="240" w:lineRule="auto"/>
              <w:ind w:left="427" w:right="223"/>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Prepare the teacher</w:t>
            </w:r>
          </w:p>
          <w:p w:rsidR="00A32FC3" w:rsidRPr="00A32FC3" w:rsidRDefault="00A32FC3" w:rsidP="00A32FC3">
            <w:pPr>
              <w:widowControl w:val="0"/>
              <w:numPr>
                <w:ilvl w:val="0"/>
                <w:numId w:val="19"/>
              </w:numPr>
              <w:autoSpaceDE w:val="0"/>
              <w:autoSpaceDN w:val="0"/>
              <w:spacing w:after="0" w:line="240" w:lineRule="auto"/>
              <w:ind w:left="427" w:right="223"/>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Prepare the student</w:t>
            </w:r>
          </w:p>
        </w:tc>
        <w:tc>
          <w:tcPr>
            <w:tcW w:w="1477" w:type="dxa"/>
          </w:tcPr>
          <w:p w:rsidR="00A32FC3" w:rsidRPr="00A32FC3" w:rsidRDefault="00A32FC3" w:rsidP="00A32FC3">
            <w:pPr>
              <w:widowControl w:val="0"/>
              <w:autoSpaceDE w:val="0"/>
              <w:autoSpaceDN w:val="0"/>
              <w:spacing w:after="0" w:line="240" w:lineRule="auto"/>
              <w:ind w:left="60" w:right="219"/>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Implemen- tation strategy</w:t>
            </w:r>
          </w:p>
        </w:tc>
      </w:tr>
      <w:tr w:rsidR="00A32FC3" w:rsidRPr="00A32FC3" w:rsidTr="00294E2E">
        <w:trPr>
          <w:trHeight w:val="2208"/>
        </w:trPr>
        <w:tc>
          <w:tcPr>
            <w:tcW w:w="1417" w:type="dxa"/>
          </w:tcPr>
          <w:p w:rsidR="00A32FC3" w:rsidRPr="00A32FC3" w:rsidRDefault="00A32FC3" w:rsidP="00A32FC3">
            <w:pPr>
              <w:widowControl w:val="0"/>
              <w:autoSpaceDE w:val="0"/>
              <w:autoSpaceDN w:val="0"/>
              <w:spacing w:after="0" w:line="240" w:lineRule="auto"/>
              <w:ind w:left="135"/>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Evaluation</w:t>
            </w:r>
          </w:p>
        </w:tc>
        <w:tc>
          <w:tcPr>
            <w:tcW w:w="1843" w:type="dxa"/>
          </w:tcPr>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Assess</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the quality of the instructional products</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and processes, both before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and after</w:t>
            </w:r>
          </w:p>
          <w:p w:rsidR="00A32FC3" w:rsidRPr="00A32FC3" w:rsidRDefault="00A32FC3" w:rsidP="00A32FC3">
            <w:pPr>
              <w:widowControl w:val="0"/>
              <w:autoSpaceDE w:val="0"/>
              <w:autoSpaceDN w:val="0"/>
              <w:spacing w:after="0" w:line="240" w:lineRule="auto"/>
              <w:ind w:left="137" w:right="140"/>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implementation</w:t>
            </w:r>
          </w:p>
        </w:tc>
        <w:tc>
          <w:tcPr>
            <w:tcW w:w="3059" w:type="dxa"/>
          </w:tcPr>
          <w:p w:rsidR="00A32FC3" w:rsidRPr="00A32FC3" w:rsidRDefault="00A32FC3" w:rsidP="00A32FC3">
            <w:pPr>
              <w:widowControl w:val="0"/>
              <w:numPr>
                <w:ilvl w:val="0"/>
                <w:numId w:val="19"/>
              </w:numPr>
              <w:autoSpaceDE w:val="0"/>
              <w:autoSpaceDN w:val="0"/>
              <w:spacing w:after="0" w:line="240" w:lineRule="auto"/>
              <w:ind w:left="427" w:right="223"/>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Determine</w:t>
            </w:r>
            <w:r w:rsidRPr="00A32FC3">
              <w:rPr>
                <w:rFonts w:ascii="Times New Roman" w:eastAsia="Calibri" w:hAnsi="Times New Roman" w:cs="Times New Roman"/>
                <w:noProof/>
                <w:kern w:val="2"/>
                <w:sz w:val="24"/>
                <w:szCs w:val="24"/>
                <w:lang w:val="en-US"/>
                <w14:ligatures w14:val="standardContextual"/>
              </w:rPr>
              <w:t xml:space="preserve"> </w:t>
            </w:r>
            <w:r w:rsidRPr="00A32FC3">
              <w:rPr>
                <w:rFonts w:ascii="Times New Roman" w:eastAsia="Calibri" w:hAnsi="Times New Roman" w:cs="Times New Roman"/>
                <w:noProof/>
                <w:kern w:val="2"/>
                <w:sz w:val="24"/>
                <w:szCs w:val="24"/>
                <w:lang w:val="id"/>
                <w14:ligatures w14:val="standardContextual"/>
              </w:rPr>
              <w:t>evaluation criteria</w:t>
            </w:r>
          </w:p>
          <w:p w:rsidR="00A32FC3" w:rsidRPr="00A32FC3" w:rsidRDefault="00A32FC3" w:rsidP="00A32FC3">
            <w:pPr>
              <w:widowControl w:val="0"/>
              <w:numPr>
                <w:ilvl w:val="0"/>
                <w:numId w:val="19"/>
              </w:numPr>
              <w:autoSpaceDE w:val="0"/>
              <w:autoSpaceDN w:val="0"/>
              <w:spacing w:after="0" w:line="240" w:lineRule="auto"/>
              <w:ind w:left="427" w:right="223"/>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Select evaluation tools</w:t>
            </w:r>
          </w:p>
          <w:p w:rsidR="00A32FC3" w:rsidRPr="00A32FC3" w:rsidRDefault="00A32FC3" w:rsidP="00A32FC3">
            <w:pPr>
              <w:widowControl w:val="0"/>
              <w:numPr>
                <w:ilvl w:val="0"/>
                <w:numId w:val="19"/>
              </w:numPr>
              <w:autoSpaceDE w:val="0"/>
              <w:autoSpaceDN w:val="0"/>
              <w:spacing w:after="0" w:line="240" w:lineRule="auto"/>
              <w:ind w:left="427" w:right="223"/>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Conduct evaluation</w:t>
            </w:r>
          </w:p>
        </w:tc>
        <w:tc>
          <w:tcPr>
            <w:tcW w:w="1477" w:type="dxa"/>
          </w:tcPr>
          <w:p w:rsidR="00A32FC3" w:rsidRPr="00A32FC3" w:rsidRDefault="00A32FC3" w:rsidP="00A32FC3">
            <w:pPr>
              <w:widowControl w:val="0"/>
              <w:autoSpaceDE w:val="0"/>
              <w:autoSpaceDN w:val="0"/>
              <w:spacing w:after="0" w:line="240" w:lineRule="auto"/>
              <w:ind w:left="60" w:right="219"/>
              <w:rPr>
                <w:rFonts w:ascii="Times New Roman" w:eastAsia="Calibri" w:hAnsi="Times New Roman" w:cs="Times New Roman"/>
                <w:noProof/>
                <w:kern w:val="2"/>
                <w:sz w:val="24"/>
                <w:szCs w:val="24"/>
                <w:lang w:val="id"/>
                <w14:ligatures w14:val="standardContextual"/>
              </w:rPr>
            </w:pPr>
            <w:r w:rsidRPr="00A32FC3">
              <w:rPr>
                <w:rFonts w:ascii="Times New Roman" w:eastAsia="Calibri" w:hAnsi="Times New Roman" w:cs="Times New Roman"/>
                <w:noProof/>
                <w:kern w:val="2"/>
                <w:sz w:val="24"/>
                <w:szCs w:val="24"/>
                <w:lang w:val="id"/>
                <w14:ligatures w14:val="standardContextual"/>
              </w:rPr>
              <w:t>Evaluation plan</w:t>
            </w:r>
          </w:p>
        </w:tc>
      </w:tr>
    </w:tbl>
    <w:p w:rsidR="005B5AEC" w:rsidRDefault="005B5AEC" w:rsidP="00294E2E">
      <w:pPr>
        <w:pStyle w:val="Alishlah31text"/>
        <w:ind w:firstLine="0"/>
      </w:pPr>
    </w:p>
    <w:p w:rsidR="00294E2E" w:rsidRPr="00294E2E" w:rsidRDefault="005B5AEC" w:rsidP="00294E2E">
      <w:pPr>
        <w:pStyle w:val="Alishlah21heading1"/>
        <w:rPr>
          <w:rFonts w:eastAsia="Arial"/>
        </w:rPr>
      </w:pPr>
      <w:r>
        <w:rPr>
          <w:rFonts w:eastAsia="Arial"/>
        </w:rPr>
        <w:t xml:space="preserve">FINDINGS </w:t>
      </w:r>
      <w:r w:rsidRPr="00723B12">
        <w:rPr>
          <w:rFonts w:eastAsia="Arial"/>
        </w:rPr>
        <w:t>AND DISCUSSION</w:t>
      </w:r>
    </w:p>
    <w:p w:rsidR="00294E2E" w:rsidRPr="00294E2E" w:rsidRDefault="00294E2E" w:rsidP="00294E2E">
      <w:pPr>
        <w:numPr>
          <w:ilvl w:val="0"/>
          <w:numId w:val="26"/>
        </w:numPr>
        <w:spacing w:after="0" w:line="240" w:lineRule="auto"/>
        <w:contextualSpacing/>
        <w:rPr>
          <w:rFonts w:ascii="Cambria" w:eastAsia="Cambria" w:hAnsi="Cambria" w:cs="Cambria"/>
          <w:b/>
          <w:color w:val="000000"/>
          <w:sz w:val="24"/>
          <w:szCs w:val="24"/>
          <w:lang w:val="x-none" w:eastAsia="x-none"/>
        </w:rPr>
      </w:pPr>
      <w:r>
        <w:rPr>
          <w:rFonts w:ascii="Cambria" w:eastAsia="Cambria" w:hAnsi="Cambria" w:cs="Cambria"/>
          <w:b/>
          <w:color w:val="000000"/>
          <w:sz w:val="24"/>
          <w:szCs w:val="24"/>
          <w:lang w:val="en-US" w:eastAsia="x-none"/>
        </w:rPr>
        <w:t>FINDINGS</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analysis, there are two essential tasks to be completed. The first task involves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xml:space="preserve"> the needs of content or learning materials in Indonesian language teaching materials, especially in the context of reading comprehension in texts related to local struggle figures. The second task is to </w:t>
      </w:r>
      <w:proofErr w:type="spellStart"/>
      <w:r w:rsidRPr="00294E2E">
        <w:rPr>
          <w:rFonts w:ascii="Cambria" w:eastAsia="Cambria" w:hAnsi="Cambria" w:cs="Cambria"/>
          <w:sz w:val="20"/>
          <w:szCs w:val="20"/>
          <w:lang w:val="en-AU" w:eastAsia="en-ID"/>
        </w:rPr>
        <w:t>analyze</w:t>
      </w:r>
      <w:proofErr w:type="spellEnd"/>
      <w:r w:rsidRPr="00294E2E">
        <w:rPr>
          <w:rFonts w:ascii="Cambria" w:eastAsia="Cambria" w:hAnsi="Cambria" w:cs="Cambria"/>
          <w:sz w:val="20"/>
          <w:szCs w:val="20"/>
          <w:lang w:val="en-AU" w:eastAsia="en-ID"/>
        </w:rPr>
        <w:t xml:space="preserve"> the need for teaching materials specifically designed to improve reading comprehension and critical thinking skills in studying the struggle of Prince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 xml:space="preserve"> as a West Kalimantan warrior figure. </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stage, the focus is on conducting activities to ascertain the content or learning materials required for the development of teaching materials. The specific objective was to identify all relevant content based on the Indonesian curriculum, with an emphasis on reading comprehension and critical thinking in the Bung </w:t>
      </w:r>
      <w:proofErr w:type="spellStart"/>
      <w:r w:rsidRPr="00294E2E">
        <w:rPr>
          <w:rFonts w:ascii="Cambria" w:eastAsia="Cambria" w:hAnsi="Cambria" w:cs="Cambria"/>
          <w:sz w:val="20"/>
          <w:szCs w:val="20"/>
          <w:lang w:val="en-AU" w:eastAsia="en-ID"/>
        </w:rPr>
        <w:t>Karno</w:t>
      </w:r>
      <w:proofErr w:type="spellEnd"/>
      <w:r w:rsidRPr="00294E2E">
        <w:rPr>
          <w:rFonts w:ascii="Cambria" w:eastAsia="Cambria" w:hAnsi="Cambria" w:cs="Cambria"/>
          <w:sz w:val="20"/>
          <w:szCs w:val="20"/>
          <w:lang w:val="en-AU" w:eastAsia="en-ID"/>
        </w:rPr>
        <w:t xml:space="preserve"> text, aimed at grade 5 students. In addition, a characteristic analysis was conducted by examining the curriculum and valid lesson plans (RPP) on reading comprehension in Indonesian language materials.</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p>
    <w:tbl>
      <w:tblPr>
        <w:tblStyle w:val="TableGrid2"/>
        <w:tblW w:w="0" w:type="auto"/>
        <w:tblLook w:val="04A0" w:firstRow="1" w:lastRow="0" w:firstColumn="1" w:lastColumn="0" w:noHBand="0" w:noVBand="1"/>
      </w:tblPr>
      <w:tblGrid>
        <w:gridCol w:w="3095"/>
        <w:gridCol w:w="5518"/>
      </w:tblGrid>
      <w:tr w:rsidR="00294E2E" w:rsidRPr="00294E2E" w:rsidTr="00294E2E">
        <w:tc>
          <w:tcPr>
            <w:tcW w:w="8613" w:type="dxa"/>
            <w:gridSpan w:val="2"/>
            <w:tcBorders>
              <w:left w:val="nil"/>
              <w:bottom w:val="single" w:sz="4" w:space="0" w:color="auto"/>
              <w:right w:val="nil"/>
            </w:tcBorders>
          </w:tcPr>
          <w:p w:rsidR="00294E2E" w:rsidRPr="00294E2E" w:rsidRDefault="00294E2E" w:rsidP="00294E2E">
            <w:pPr>
              <w:rPr>
                <w:rFonts w:ascii="Times New Roman" w:eastAsia="MS Mincho" w:hAnsi="Times New Roman"/>
              </w:rPr>
            </w:pPr>
            <w:r w:rsidRPr="00294E2E">
              <w:rPr>
                <w:rFonts w:ascii="Times New Roman" w:eastAsia="MS Mincho" w:hAnsi="Times New Roman"/>
              </w:rPr>
              <w:t>Instrument Eligibility Criteria</w:t>
            </w:r>
          </w:p>
        </w:tc>
      </w:tr>
      <w:tr w:rsidR="00294E2E" w:rsidRPr="00294E2E" w:rsidTr="00294E2E">
        <w:tc>
          <w:tcPr>
            <w:tcW w:w="3095" w:type="dxa"/>
            <w:tcBorders>
              <w:top w:val="single" w:sz="4" w:space="0" w:color="auto"/>
              <w:left w:val="nil"/>
              <w:bottom w:val="nil"/>
              <w:right w:val="nil"/>
            </w:tcBorders>
          </w:tcPr>
          <w:p w:rsidR="00294E2E" w:rsidRPr="00294E2E" w:rsidRDefault="00294E2E" w:rsidP="00294E2E">
            <w:pPr>
              <w:rPr>
                <w:rFonts w:ascii="Times New Roman" w:eastAsia="MS Mincho" w:hAnsi="Times New Roman"/>
              </w:rPr>
            </w:pPr>
            <w:r w:rsidRPr="00294E2E">
              <w:rPr>
                <w:rFonts w:ascii="Times New Roman" w:eastAsia="MS Mincho" w:hAnsi="Times New Roman"/>
              </w:rPr>
              <w:t>Content Eligibility</w:t>
            </w:r>
          </w:p>
        </w:tc>
        <w:tc>
          <w:tcPr>
            <w:tcW w:w="5518" w:type="dxa"/>
            <w:tcBorders>
              <w:top w:val="single" w:sz="4" w:space="0" w:color="auto"/>
              <w:left w:val="nil"/>
              <w:bottom w:val="nil"/>
              <w:right w:val="nil"/>
            </w:tcBorders>
          </w:tcPr>
          <w:p w:rsidR="00294E2E" w:rsidRPr="00294E2E" w:rsidRDefault="00294E2E" w:rsidP="00294E2E">
            <w:pPr>
              <w:numPr>
                <w:ilvl w:val="0"/>
                <w:numId w:val="22"/>
              </w:numPr>
              <w:spacing w:after="200"/>
              <w:contextualSpacing/>
              <w:rPr>
                <w:rFonts w:ascii="Times New Roman" w:hAnsi="Times New Roman"/>
                <w:lang w:val="x-none" w:eastAsia="x-none"/>
              </w:rPr>
            </w:pPr>
            <w:r w:rsidRPr="00294E2E">
              <w:rPr>
                <w:rFonts w:ascii="Times New Roman" w:hAnsi="Times New Roman"/>
                <w:lang w:val="x-none" w:eastAsia="x-none"/>
              </w:rPr>
              <w:t xml:space="preserve">Completeness of material in </w:t>
            </w:r>
            <w:proofErr w:type="spellStart"/>
            <w:r w:rsidRPr="00294E2E">
              <w:rPr>
                <w:rFonts w:ascii="Times New Roman" w:hAnsi="Times New Roman"/>
                <w:lang w:val="x-none" w:eastAsia="x-none"/>
              </w:rPr>
              <w:t>teacng</w:t>
            </w:r>
            <w:proofErr w:type="spellEnd"/>
            <w:r w:rsidRPr="00294E2E">
              <w:rPr>
                <w:rFonts w:ascii="Times New Roman" w:hAnsi="Times New Roman"/>
                <w:lang w:val="x-none" w:eastAsia="x-none"/>
              </w:rPr>
              <w:t xml:space="preserve"> materials</w:t>
            </w:r>
          </w:p>
          <w:p w:rsidR="00294E2E" w:rsidRPr="00294E2E" w:rsidRDefault="00294E2E" w:rsidP="00294E2E">
            <w:pPr>
              <w:numPr>
                <w:ilvl w:val="0"/>
                <w:numId w:val="22"/>
              </w:numPr>
              <w:spacing w:after="200"/>
              <w:contextualSpacing/>
              <w:rPr>
                <w:rFonts w:ascii="Times New Roman" w:hAnsi="Times New Roman"/>
                <w:lang w:val="x-none" w:eastAsia="x-none"/>
              </w:rPr>
            </w:pPr>
            <w:r w:rsidRPr="00294E2E">
              <w:rPr>
                <w:rFonts w:ascii="Times New Roman" w:hAnsi="Times New Roman"/>
                <w:lang w:val="x-none" w:eastAsia="x-none"/>
              </w:rPr>
              <w:t>The depth of the material in teaching materials</w:t>
            </w:r>
          </w:p>
          <w:p w:rsidR="00294E2E" w:rsidRPr="00294E2E" w:rsidRDefault="00294E2E" w:rsidP="00294E2E">
            <w:pPr>
              <w:numPr>
                <w:ilvl w:val="0"/>
                <w:numId w:val="22"/>
              </w:numPr>
              <w:spacing w:after="200"/>
              <w:contextualSpacing/>
              <w:rPr>
                <w:rFonts w:ascii="Times New Roman" w:hAnsi="Times New Roman"/>
                <w:lang w:val="x-none" w:eastAsia="x-none"/>
              </w:rPr>
            </w:pPr>
            <w:r w:rsidRPr="00294E2E">
              <w:rPr>
                <w:rFonts w:ascii="Times New Roman" w:hAnsi="Times New Roman"/>
                <w:lang w:val="x-none" w:eastAsia="x-none"/>
              </w:rPr>
              <w:t>Accuracy of material contained in</w:t>
            </w:r>
          </w:p>
          <w:p w:rsidR="00294E2E" w:rsidRPr="00294E2E" w:rsidRDefault="00294E2E" w:rsidP="00294E2E">
            <w:pPr>
              <w:numPr>
                <w:ilvl w:val="0"/>
                <w:numId w:val="22"/>
              </w:numPr>
              <w:spacing w:after="200"/>
              <w:contextualSpacing/>
              <w:rPr>
                <w:rFonts w:ascii="Times New Roman" w:hAnsi="Times New Roman"/>
                <w:lang w:val="x-none" w:eastAsia="x-none"/>
              </w:rPr>
            </w:pPr>
            <w:r w:rsidRPr="00294E2E">
              <w:rPr>
                <w:rFonts w:ascii="Times New Roman" w:hAnsi="Times New Roman"/>
                <w:lang w:val="x-none" w:eastAsia="x-none"/>
              </w:rPr>
              <w:t>Support Learning Materials in tea</w:t>
            </w:r>
          </w:p>
        </w:tc>
      </w:tr>
      <w:tr w:rsidR="00294E2E" w:rsidRPr="00294E2E" w:rsidTr="00294E2E">
        <w:tc>
          <w:tcPr>
            <w:tcW w:w="3095" w:type="dxa"/>
            <w:tcBorders>
              <w:top w:val="nil"/>
              <w:left w:val="nil"/>
              <w:bottom w:val="single" w:sz="4" w:space="0" w:color="auto"/>
              <w:right w:val="nil"/>
            </w:tcBorders>
          </w:tcPr>
          <w:p w:rsidR="00294E2E" w:rsidRPr="00294E2E" w:rsidRDefault="00294E2E" w:rsidP="00294E2E">
            <w:pPr>
              <w:rPr>
                <w:rFonts w:ascii="Times New Roman" w:eastAsia="MS Mincho" w:hAnsi="Times New Roman"/>
              </w:rPr>
            </w:pPr>
            <w:r w:rsidRPr="00294E2E">
              <w:rPr>
                <w:rFonts w:ascii="Times New Roman" w:eastAsia="MS Mincho" w:hAnsi="Times New Roman"/>
              </w:rPr>
              <w:t>Appropriateness</w:t>
            </w:r>
          </w:p>
          <w:p w:rsidR="00294E2E" w:rsidRPr="00294E2E" w:rsidRDefault="00294E2E" w:rsidP="00294E2E">
            <w:pPr>
              <w:rPr>
                <w:rFonts w:ascii="Times New Roman" w:eastAsia="MS Mincho" w:hAnsi="Times New Roman"/>
              </w:rPr>
            </w:pPr>
            <w:r w:rsidRPr="00294E2E">
              <w:rPr>
                <w:rFonts w:ascii="Times New Roman" w:eastAsia="MS Mincho" w:hAnsi="Times New Roman"/>
              </w:rPr>
              <w:t>Language</w:t>
            </w:r>
          </w:p>
        </w:tc>
        <w:tc>
          <w:tcPr>
            <w:tcW w:w="5518" w:type="dxa"/>
            <w:tcBorders>
              <w:top w:val="nil"/>
              <w:left w:val="nil"/>
              <w:bottom w:val="single" w:sz="4" w:space="0" w:color="auto"/>
              <w:right w:val="nil"/>
            </w:tcBorders>
          </w:tcPr>
          <w:p w:rsidR="00294E2E" w:rsidRPr="00294E2E" w:rsidRDefault="00294E2E" w:rsidP="00294E2E">
            <w:pPr>
              <w:numPr>
                <w:ilvl w:val="3"/>
                <w:numId w:val="21"/>
              </w:numPr>
              <w:spacing w:after="200"/>
              <w:contextualSpacing/>
              <w:rPr>
                <w:rFonts w:ascii="Times New Roman" w:hAnsi="Times New Roman"/>
                <w:lang w:val="x-none" w:eastAsia="x-none"/>
              </w:rPr>
            </w:pPr>
            <w:r w:rsidRPr="00294E2E">
              <w:rPr>
                <w:rFonts w:ascii="Times New Roman" w:hAnsi="Times New Roman"/>
                <w:lang w:val="x-none" w:eastAsia="x-none"/>
              </w:rPr>
              <w:t>Compatibility with Developmental Level</w:t>
            </w:r>
          </w:p>
        </w:tc>
      </w:tr>
    </w:tbl>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stage, the focus of the research was on identifying the requirements of teaching materials that support reading comprehension and critical thinking skills, especially in the context of Prince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 xml:space="preserve"> texts. The aim was to identify the key components required in the development of effective teaching materials to improve students' reading skills when studying texts about </w:t>
      </w:r>
      <w:proofErr w:type="spellStart"/>
      <w:r w:rsidRPr="00294E2E">
        <w:rPr>
          <w:rFonts w:ascii="Cambria" w:eastAsia="Cambria" w:hAnsi="Cambria" w:cs="Cambria"/>
          <w:sz w:val="20"/>
          <w:szCs w:val="20"/>
          <w:lang w:val="en-AU" w:eastAsia="en-ID"/>
        </w:rPr>
        <w:t>Pangeran</w:t>
      </w:r>
      <w:proofErr w:type="spellEnd"/>
      <w:r w:rsidRPr="00294E2E">
        <w:rPr>
          <w:rFonts w:ascii="Cambria" w:eastAsia="Cambria" w:hAnsi="Cambria" w:cs="Cambria"/>
          <w:sz w:val="20"/>
          <w:szCs w:val="20"/>
          <w:lang w:val="en-AU" w:eastAsia="en-ID"/>
        </w:rPr>
        <w:t xml:space="preserv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At this stage, a needs analysis is conducted with the aim of thoroughly evaluating the need for teaching materials, considering the complex interaction of various factors that play a role in improving students' reading comprehension. These factors include the teacher's guidance strategy, the learning environment, the reader's background, individual differences among readers, the specific task, and the nature of the text itself.</w:t>
      </w:r>
    </w:p>
    <w:p w:rsidR="00294E2E" w:rsidRPr="00294E2E" w:rsidRDefault="00294E2E" w:rsidP="00294E2E">
      <w:pPr>
        <w:spacing w:after="0" w:line="240" w:lineRule="auto"/>
        <w:ind w:firstLine="709"/>
        <w:jc w:val="center"/>
        <w:rPr>
          <w:rFonts w:ascii="Cambria" w:eastAsia="Cambria" w:hAnsi="Cambria" w:cs="Cambria"/>
          <w:sz w:val="20"/>
          <w:szCs w:val="20"/>
          <w:lang w:val="en-AU" w:eastAsia="en-ID"/>
        </w:rPr>
      </w:pPr>
      <w:r w:rsidRPr="00294E2E">
        <w:rPr>
          <w:rFonts w:ascii="Cambria" w:eastAsia="Cambria" w:hAnsi="Cambria" w:cs="Cambria"/>
          <w:b/>
          <w:bCs/>
          <w:sz w:val="20"/>
          <w:szCs w:val="20"/>
          <w:lang w:val="en-AU" w:eastAsia="en-ID"/>
        </w:rPr>
        <w:t>Table 1.</w:t>
      </w:r>
      <w:r w:rsidRPr="00294E2E">
        <w:rPr>
          <w:rFonts w:ascii="Cambria" w:eastAsia="Cambria" w:hAnsi="Cambria" w:cs="Cambria"/>
          <w:sz w:val="20"/>
          <w:szCs w:val="20"/>
          <w:lang w:val="en-AU" w:eastAsia="en-ID"/>
        </w:rPr>
        <w:t xml:space="preserve"> </w:t>
      </w:r>
      <w:r w:rsidRPr="00294E2E">
        <w:rPr>
          <w:rFonts w:ascii="Cambria" w:eastAsia="Cambria" w:hAnsi="Cambria" w:cs="Cambria"/>
          <w:i/>
          <w:iCs/>
          <w:sz w:val="20"/>
          <w:szCs w:val="20"/>
          <w:lang w:val="en-AU" w:eastAsia="en-ID"/>
        </w:rPr>
        <w:t>Results of the trial by Indonesian language experts</w:t>
      </w:r>
    </w:p>
    <w:tbl>
      <w:tblPr>
        <w:tblW w:w="9933" w:type="dxa"/>
        <w:tblInd w:w="-147" w:type="dxa"/>
        <w:tblBorders>
          <w:top w:val="single" w:sz="4" w:space="0" w:color="auto"/>
        </w:tblBorders>
        <w:tblLayout w:type="fixed"/>
        <w:tblCellMar>
          <w:left w:w="0" w:type="dxa"/>
          <w:right w:w="0" w:type="dxa"/>
        </w:tblCellMar>
        <w:tblLook w:val="01E0" w:firstRow="1" w:lastRow="1" w:firstColumn="1" w:lastColumn="1" w:noHBand="0" w:noVBand="0"/>
      </w:tblPr>
      <w:tblGrid>
        <w:gridCol w:w="2839"/>
        <w:gridCol w:w="2446"/>
        <w:gridCol w:w="708"/>
        <w:gridCol w:w="708"/>
        <w:gridCol w:w="964"/>
        <w:gridCol w:w="851"/>
        <w:gridCol w:w="1417"/>
      </w:tblGrid>
      <w:tr w:rsidR="00294E2E" w:rsidRPr="00294E2E" w:rsidTr="00294E2E">
        <w:trPr>
          <w:trHeight w:val="776"/>
        </w:trPr>
        <w:tc>
          <w:tcPr>
            <w:tcW w:w="5285" w:type="dxa"/>
            <w:gridSpan w:val="2"/>
            <w:tcBorders>
              <w:top w:val="single" w:sz="4" w:space="0" w:color="auto"/>
              <w:bottom w:val="single" w:sz="4" w:space="0" w:color="auto"/>
            </w:tcBorders>
            <w:shd w:val="clear" w:color="auto" w:fill="auto"/>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r w:rsidRPr="00294E2E">
              <w:rPr>
                <w:rFonts w:ascii="Times New Roman" w:eastAsia="Times New Roman" w:hAnsi="Times New Roman" w:cs="Times New Roman"/>
                <w:b/>
                <w:noProof/>
                <w:sz w:val="20"/>
                <w:szCs w:val="20"/>
                <w:lang w:val="en" w:eastAsia="tr-TR"/>
              </w:rPr>
              <w:t>Criteria</w:t>
            </w:r>
          </w:p>
        </w:tc>
        <w:tc>
          <w:tcPr>
            <w:tcW w:w="708" w:type="dxa"/>
            <w:tcBorders>
              <w:top w:val="single" w:sz="4" w:space="0" w:color="auto"/>
              <w:bottom w:val="single" w:sz="4" w:space="0" w:color="auto"/>
            </w:tcBorders>
            <w:shd w:val="clear" w:color="auto" w:fill="auto"/>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r w:rsidRPr="00294E2E">
              <w:rPr>
                <w:rFonts w:ascii="Times New Roman" w:eastAsia="Times New Roman" w:hAnsi="Times New Roman" w:cs="Times New Roman"/>
                <w:b/>
                <w:noProof/>
                <w:sz w:val="20"/>
                <w:szCs w:val="20"/>
                <w:lang w:val="en" w:eastAsia="tr-TR"/>
              </w:rPr>
              <w:t>obtain</w:t>
            </w:r>
          </w:p>
        </w:tc>
        <w:tc>
          <w:tcPr>
            <w:tcW w:w="708" w:type="dxa"/>
            <w:tcBorders>
              <w:top w:val="single" w:sz="4" w:space="0" w:color="auto"/>
              <w:bottom w:val="single" w:sz="4" w:space="0" w:color="auto"/>
            </w:tcBorders>
            <w:shd w:val="clear" w:color="auto" w:fill="auto"/>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r w:rsidRPr="00294E2E">
              <w:rPr>
                <w:rFonts w:ascii="Times New Roman" w:eastAsia="Times New Roman" w:hAnsi="Times New Roman" w:cs="Times New Roman"/>
                <w:b/>
                <w:noProof/>
                <w:sz w:val="20"/>
                <w:szCs w:val="20"/>
                <w:lang w:val="en" w:eastAsia="tr-TR"/>
              </w:rPr>
              <w:t>Score</w:t>
            </w:r>
          </w:p>
        </w:tc>
        <w:tc>
          <w:tcPr>
            <w:tcW w:w="964" w:type="dxa"/>
            <w:tcBorders>
              <w:top w:val="single" w:sz="4" w:space="0" w:color="auto"/>
              <w:bottom w:val="single" w:sz="4" w:space="0" w:color="auto"/>
            </w:tcBorders>
            <w:shd w:val="clear" w:color="auto" w:fill="auto"/>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US" w:eastAsia="tr-TR"/>
              </w:rPr>
            </w:pPr>
            <w:r w:rsidRPr="00294E2E">
              <w:rPr>
                <w:rFonts w:ascii="Times New Roman" w:eastAsia="Times New Roman" w:hAnsi="Times New Roman" w:cs="Times New Roman"/>
                <w:b/>
                <w:noProof/>
                <w:sz w:val="20"/>
                <w:szCs w:val="20"/>
                <w:lang w:val="en-US" w:eastAsia="tr-TR"/>
              </w:rPr>
              <w:t xml:space="preserve">Core maximum </w:t>
            </w:r>
            <w:r w:rsidRPr="00294E2E">
              <w:rPr>
                <w:rFonts w:ascii="Times New Roman" w:eastAsia="Times New Roman" w:hAnsi="Times New Roman" w:cs="Times New Roman"/>
                <w:b/>
                <w:noProof/>
                <w:sz w:val="20"/>
                <w:szCs w:val="20"/>
                <w:lang w:val="en" w:eastAsia="tr-TR"/>
              </w:rPr>
              <w:t>S_</w:t>
            </w:r>
          </w:p>
        </w:tc>
        <w:tc>
          <w:tcPr>
            <w:tcW w:w="851" w:type="dxa"/>
            <w:tcBorders>
              <w:top w:val="single" w:sz="4" w:space="0" w:color="auto"/>
              <w:bottom w:val="single" w:sz="4" w:space="0" w:color="auto"/>
            </w:tcBorders>
            <w:shd w:val="clear" w:color="auto" w:fill="auto"/>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r w:rsidRPr="00294E2E">
              <w:rPr>
                <w:rFonts w:ascii="Times New Roman" w:eastAsia="Times New Roman" w:hAnsi="Times New Roman" w:cs="Times New Roman"/>
                <w:b/>
                <w:noProof/>
                <w:sz w:val="20"/>
                <w:szCs w:val="20"/>
                <w:lang w:val="en" w:eastAsia="tr-TR"/>
              </w:rPr>
              <w:t>Average score</w:t>
            </w:r>
          </w:p>
        </w:tc>
        <w:tc>
          <w:tcPr>
            <w:tcW w:w="1417" w:type="dxa"/>
            <w:tcBorders>
              <w:top w:val="single" w:sz="4" w:space="0" w:color="auto"/>
              <w:bottom w:val="single" w:sz="4" w:space="0" w:color="auto"/>
            </w:tcBorders>
            <w:shd w:val="clear" w:color="auto" w:fill="auto"/>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r w:rsidRPr="00294E2E">
              <w:rPr>
                <w:rFonts w:ascii="Times New Roman" w:eastAsia="Times New Roman" w:hAnsi="Times New Roman" w:cs="Times New Roman"/>
                <w:b/>
                <w:noProof/>
                <w:sz w:val="20"/>
                <w:szCs w:val="20"/>
                <w:lang w:val="en" w:eastAsia="tr-TR"/>
              </w:rPr>
              <w:t>Percentage per Criterion</w:t>
            </w:r>
          </w:p>
        </w:tc>
      </w:tr>
      <w:tr w:rsidR="00294E2E" w:rsidRPr="00294E2E" w:rsidTr="00294E2E">
        <w:trPr>
          <w:trHeight w:val="230"/>
        </w:trPr>
        <w:tc>
          <w:tcPr>
            <w:tcW w:w="2839" w:type="dxa"/>
            <w:vMerge w:val="restart"/>
            <w:tcBorders>
              <w:top w:val="nil"/>
            </w:tcBorders>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Content Eligibility</w:t>
            </w:r>
          </w:p>
        </w:tc>
        <w:tc>
          <w:tcPr>
            <w:tcW w:w="2446" w:type="dxa"/>
            <w:vMerge w:val="restart"/>
            <w:tcBorders>
              <w:top w:val="nil"/>
            </w:tcBorders>
          </w:tcPr>
          <w:p w:rsidR="00294E2E" w:rsidRPr="00294E2E" w:rsidRDefault="00294E2E" w:rsidP="00294E2E">
            <w:pPr>
              <w:spacing w:after="0" w:line="240" w:lineRule="auto"/>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 w:eastAsia="tr-TR"/>
              </w:rPr>
              <w:t>1. Completeness of material in teaching materials</w:t>
            </w:r>
          </w:p>
        </w:tc>
        <w:tc>
          <w:tcPr>
            <w:tcW w:w="708" w:type="dxa"/>
            <w:tcBorders>
              <w:top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w:t>
            </w:r>
          </w:p>
        </w:tc>
        <w:tc>
          <w:tcPr>
            <w:tcW w:w="708" w:type="dxa"/>
            <w:tcBorders>
              <w:top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w:t>
            </w:r>
          </w:p>
        </w:tc>
        <w:tc>
          <w:tcPr>
            <w:tcW w:w="964" w:type="dxa"/>
            <w:tcBorders>
              <w:top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restart"/>
            <w:tcBorders>
              <w:top w:val="nil"/>
            </w:tcBorders>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3,5</w:t>
            </w:r>
          </w:p>
        </w:tc>
        <w:tc>
          <w:tcPr>
            <w:tcW w:w="1417" w:type="dxa"/>
            <w:vMerge w:val="restart"/>
            <w:tcBorders>
              <w:top w:val="nil"/>
            </w:tcBorders>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70%</w:t>
            </w: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2</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3</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val="restart"/>
          </w:tcPr>
          <w:p w:rsidR="00294E2E" w:rsidRPr="00294E2E" w:rsidRDefault="00294E2E" w:rsidP="00294E2E">
            <w:pPr>
              <w:spacing w:after="0" w:line="240" w:lineRule="auto"/>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 w:eastAsia="tr-TR"/>
              </w:rPr>
              <w:t>2. The depth of the material in teaching materials</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851"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 w:eastAsia="tr-TR"/>
              </w:rPr>
              <w:t xml:space="preserve">3, </w:t>
            </w:r>
            <w:r w:rsidRPr="00294E2E">
              <w:rPr>
                <w:rFonts w:ascii="Times New Roman" w:eastAsia="Times New Roman" w:hAnsi="Times New Roman" w:cs="Times New Roman"/>
                <w:noProof/>
                <w:sz w:val="20"/>
                <w:szCs w:val="20"/>
                <w:lang w:val="en-US" w:eastAsia="tr-TR"/>
              </w:rPr>
              <w:t>25</w:t>
            </w:r>
          </w:p>
        </w:tc>
        <w:tc>
          <w:tcPr>
            <w:tcW w:w="1417"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85%</w:t>
            </w: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2</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3</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3</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US"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val="restart"/>
          </w:tcPr>
          <w:p w:rsidR="00294E2E" w:rsidRPr="00294E2E" w:rsidRDefault="00294E2E" w:rsidP="00294E2E">
            <w:pPr>
              <w:spacing w:after="0" w:line="240" w:lineRule="auto"/>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 w:eastAsia="tr-TR"/>
              </w:rPr>
              <w:t>3. Accuracy of</w:t>
            </w:r>
            <w:r w:rsidRPr="00294E2E">
              <w:rPr>
                <w:rFonts w:ascii="Times New Roman" w:eastAsia="Times New Roman" w:hAnsi="Times New Roman" w:cs="Times New Roman"/>
                <w:noProof/>
                <w:sz w:val="20"/>
                <w:szCs w:val="20"/>
                <w:lang w:val="en-US" w:eastAsia="tr-TR"/>
              </w:rPr>
              <w:t xml:space="preserve"> </w:t>
            </w:r>
            <w:r w:rsidRPr="00294E2E">
              <w:rPr>
                <w:rFonts w:ascii="Times New Roman" w:eastAsia="Times New Roman" w:hAnsi="Times New Roman" w:cs="Times New Roman"/>
                <w:noProof/>
                <w:sz w:val="20"/>
                <w:szCs w:val="20"/>
                <w:lang w:val="en" w:eastAsia="tr-TR"/>
              </w:rPr>
              <w:t>material contained in teaching materials</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1417"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100%</w:t>
            </w: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2</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3</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val="restart"/>
          </w:tcPr>
          <w:p w:rsidR="00294E2E" w:rsidRPr="00294E2E" w:rsidRDefault="00294E2E" w:rsidP="00294E2E">
            <w:pPr>
              <w:spacing w:after="0" w:line="240" w:lineRule="auto"/>
              <w:rPr>
                <w:rFonts w:ascii="Times New Roman" w:eastAsia="Times New Roman" w:hAnsi="Times New Roman" w:cs="Times New Roman"/>
                <w:noProof/>
                <w:sz w:val="20"/>
                <w:szCs w:val="20"/>
                <w:lang w:val="en-US" w:eastAsia="tr-TR"/>
              </w:rPr>
            </w:pPr>
            <w:r w:rsidRPr="00294E2E">
              <w:rPr>
                <w:rFonts w:ascii="Times New Roman" w:eastAsia="Times New Roman" w:hAnsi="Times New Roman" w:cs="Times New Roman"/>
                <w:noProof/>
                <w:sz w:val="20"/>
                <w:szCs w:val="20"/>
                <w:lang w:val="en" w:eastAsia="tr-TR"/>
              </w:rPr>
              <w:t>4.Support Learning Materials in teaching materials</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1417" w:type="dxa"/>
            <w:vMerge w:val="restart"/>
            <w:vAlign w:val="center"/>
          </w:tcPr>
          <w:p w:rsidR="00294E2E" w:rsidRPr="00294E2E" w:rsidRDefault="00294E2E" w:rsidP="00294E2E">
            <w:pPr>
              <w:spacing w:after="0" w:line="240" w:lineRule="auto"/>
              <w:jc w:val="center"/>
              <w:rPr>
                <w:rFonts w:ascii="Times New Roman" w:eastAsia="Times New Roman" w:hAnsi="Times New Roman" w:cs="Times New Roman"/>
                <w:b/>
                <w:noProof/>
                <w:sz w:val="20"/>
                <w:szCs w:val="20"/>
                <w:lang w:val="en" w:eastAsia="tr-TR"/>
              </w:rPr>
            </w:pPr>
          </w:p>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100%</w:t>
            </w:r>
          </w:p>
        </w:tc>
      </w:tr>
      <w:tr w:rsidR="00294E2E" w:rsidRPr="00294E2E" w:rsidTr="00294E2E">
        <w:trPr>
          <w:trHeight w:val="230"/>
        </w:trPr>
        <w:tc>
          <w:tcPr>
            <w:tcW w:w="2839"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2</w:t>
            </w:r>
          </w:p>
        </w:tc>
        <w:tc>
          <w:tcPr>
            <w:tcW w:w="708"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vMerge/>
            <w:tcBorders>
              <w:bottom w:val="nil"/>
            </w:tcBorders>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2446" w:type="dxa"/>
            <w:vMerge/>
            <w:tcBorders>
              <w:bottom w:val="nil"/>
            </w:tcBorders>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US" w:eastAsia="tr-TR"/>
              </w:rPr>
            </w:pPr>
          </w:p>
        </w:tc>
        <w:tc>
          <w:tcPr>
            <w:tcW w:w="708" w:type="dxa"/>
            <w:tcBorders>
              <w:bottom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3</w:t>
            </w:r>
          </w:p>
        </w:tc>
        <w:tc>
          <w:tcPr>
            <w:tcW w:w="708" w:type="dxa"/>
            <w:tcBorders>
              <w:bottom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tcBorders>
              <w:bottom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vMerge/>
            <w:tcBorders>
              <w:bottom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c>
          <w:tcPr>
            <w:tcW w:w="1417" w:type="dxa"/>
            <w:vMerge/>
            <w:tcBorders>
              <w:bottom w:val="nil"/>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US" w:eastAsia="tr-TR"/>
              </w:rPr>
            </w:pPr>
          </w:p>
        </w:tc>
      </w:tr>
      <w:tr w:rsidR="00294E2E" w:rsidRPr="00294E2E" w:rsidTr="00294E2E">
        <w:trPr>
          <w:trHeight w:val="230"/>
        </w:trPr>
        <w:tc>
          <w:tcPr>
            <w:tcW w:w="2839" w:type="dxa"/>
            <w:tcBorders>
              <w:top w:val="nil"/>
              <w:bottom w:val="single" w:sz="4" w:space="0" w:color="auto"/>
            </w:tcBorders>
          </w:tcPr>
          <w:p w:rsidR="00294E2E" w:rsidRPr="00294E2E" w:rsidRDefault="00294E2E" w:rsidP="00294E2E">
            <w:pPr>
              <w:spacing w:after="0" w:line="240" w:lineRule="auto"/>
              <w:jc w:val="both"/>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Appropriateness</w:t>
            </w:r>
          </w:p>
          <w:p w:rsidR="00294E2E" w:rsidRPr="00294E2E" w:rsidRDefault="00294E2E" w:rsidP="00294E2E">
            <w:pPr>
              <w:spacing w:after="0" w:line="240" w:lineRule="auto"/>
              <w:jc w:val="both"/>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Language</w:t>
            </w:r>
          </w:p>
        </w:tc>
        <w:tc>
          <w:tcPr>
            <w:tcW w:w="2446" w:type="dxa"/>
            <w:tcBorders>
              <w:top w:val="nil"/>
              <w:bottom w:val="single" w:sz="4" w:space="0" w:color="auto"/>
            </w:tcBorders>
          </w:tcPr>
          <w:p w:rsidR="00294E2E" w:rsidRPr="00294E2E" w:rsidRDefault="00294E2E" w:rsidP="00294E2E">
            <w:pPr>
              <w:spacing w:after="0" w:line="240" w:lineRule="auto"/>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5.Compatibility with</w:t>
            </w:r>
          </w:p>
          <w:p w:rsidR="00294E2E" w:rsidRPr="00294E2E" w:rsidRDefault="00294E2E" w:rsidP="00294E2E">
            <w:pPr>
              <w:spacing w:after="0" w:line="240" w:lineRule="auto"/>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Developmental Level</w:t>
            </w:r>
          </w:p>
          <w:p w:rsidR="00294E2E" w:rsidRPr="00294E2E" w:rsidRDefault="00294E2E" w:rsidP="00294E2E">
            <w:pPr>
              <w:spacing w:after="0" w:line="240" w:lineRule="auto"/>
              <w:jc w:val="both"/>
              <w:rPr>
                <w:rFonts w:ascii="Times New Roman" w:eastAsia="Times New Roman" w:hAnsi="Times New Roman" w:cs="Times New Roman"/>
                <w:noProof/>
                <w:sz w:val="20"/>
                <w:szCs w:val="20"/>
                <w:lang w:val="en" w:eastAsia="tr-TR"/>
              </w:rPr>
            </w:pPr>
          </w:p>
        </w:tc>
        <w:tc>
          <w:tcPr>
            <w:tcW w:w="708" w:type="dxa"/>
            <w:tcBorders>
              <w:top w:val="nil"/>
              <w:bottom w:val="single" w:sz="4" w:space="0" w:color="auto"/>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1</w:t>
            </w:r>
          </w:p>
        </w:tc>
        <w:tc>
          <w:tcPr>
            <w:tcW w:w="708" w:type="dxa"/>
            <w:tcBorders>
              <w:top w:val="nil"/>
              <w:bottom w:val="single" w:sz="4" w:space="0" w:color="auto"/>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964" w:type="dxa"/>
            <w:tcBorders>
              <w:top w:val="nil"/>
              <w:bottom w:val="single" w:sz="4" w:space="0" w:color="auto"/>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4</w:t>
            </w:r>
          </w:p>
        </w:tc>
        <w:tc>
          <w:tcPr>
            <w:tcW w:w="851" w:type="dxa"/>
            <w:tcBorders>
              <w:top w:val="nil"/>
              <w:bottom w:val="single" w:sz="4" w:space="0" w:color="auto"/>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3,6</w:t>
            </w:r>
          </w:p>
        </w:tc>
        <w:tc>
          <w:tcPr>
            <w:tcW w:w="1417" w:type="dxa"/>
            <w:tcBorders>
              <w:top w:val="nil"/>
              <w:bottom w:val="single" w:sz="4" w:space="0" w:color="auto"/>
            </w:tcBorders>
            <w:vAlign w:val="center"/>
          </w:tcPr>
          <w:p w:rsidR="00294E2E" w:rsidRPr="00294E2E" w:rsidRDefault="00294E2E" w:rsidP="00294E2E">
            <w:pPr>
              <w:spacing w:after="0" w:line="240" w:lineRule="auto"/>
              <w:jc w:val="center"/>
              <w:rPr>
                <w:rFonts w:ascii="Times New Roman" w:eastAsia="Times New Roman" w:hAnsi="Times New Roman" w:cs="Times New Roman"/>
                <w:noProof/>
                <w:sz w:val="20"/>
                <w:szCs w:val="20"/>
                <w:lang w:val="en" w:eastAsia="tr-TR"/>
              </w:rPr>
            </w:pPr>
            <w:r w:rsidRPr="00294E2E">
              <w:rPr>
                <w:rFonts w:ascii="Times New Roman" w:eastAsia="Times New Roman" w:hAnsi="Times New Roman" w:cs="Times New Roman"/>
                <w:noProof/>
                <w:sz w:val="20"/>
                <w:szCs w:val="20"/>
                <w:lang w:val="en" w:eastAsia="tr-TR"/>
              </w:rPr>
              <w:t>91.6%</w:t>
            </w:r>
          </w:p>
        </w:tc>
      </w:tr>
    </w:tbl>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design, Activities in this stage involve designing teaching materials, where reading is defined as the process of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xml:space="preserve">, evaluating, and synthesizing information for decision making. This review focuses on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xml:space="preserve">, evaluating, and summarizing studies based on responses to the review questions. The research instrument used is the System Thinking Inventory (STI), which is formed as a collection of </w:t>
      </w:r>
      <w:proofErr w:type="gramStart"/>
      <w:r w:rsidRPr="00294E2E">
        <w:rPr>
          <w:rFonts w:ascii="Cambria" w:eastAsia="Cambria" w:hAnsi="Cambria" w:cs="Cambria"/>
          <w:sz w:val="20"/>
          <w:szCs w:val="20"/>
          <w:lang w:val="en-AU" w:eastAsia="en-ID"/>
        </w:rPr>
        <w:t>multiple choice</w:t>
      </w:r>
      <w:proofErr w:type="gramEnd"/>
      <w:r w:rsidRPr="00294E2E">
        <w:rPr>
          <w:rFonts w:ascii="Cambria" w:eastAsia="Cambria" w:hAnsi="Cambria" w:cs="Cambria"/>
          <w:sz w:val="20"/>
          <w:szCs w:val="20"/>
          <w:lang w:val="en-AU" w:eastAsia="en-ID"/>
        </w:rPr>
        <w:t xml:space="preserve"> questions to measure student learning achievement, focusing on 15 indicators of system thinking. To respond to these challenges, students in primary school conducted an analysis of Indonesian language textbooks, focusing on the information processing and evaluative activities provided to them.</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development stage, several activities are carried out, including preparing teaching materials that are in accordance with the syllabus. Innovative educators design curricula to promote respectful relationships between students and teachers, prioritizing a more student-oriented approach. </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development stage, </w:t>
      </w:r>
      <w:proofErr w:type="gramStart"/>
      <w:r w:rsidRPr="00294E2E">
        <w:rPr>
          <w:rFonts w:ascii="Cambria" w:eastAsia="Cambria" w:hAnsi="Cambria" w:cs="Cambria"/>
          <w:sz w:val="20"/>
          <w:szCs w:val="20"/>
          <w:lang w:val="en-AU" w:eastAsia="en-ID"/>
        </w:rPr>
        <w:t>The</w:t>
      </w:r>
      <w:proofErr w:type="gramEnd"/>
      <w:r w:rsidRPr="00294E2E">
        <w:rPr>
          <w:rFonts w:ascii="Cambria" w:eastAsia="Cambria" w:hAnsi="Cambria" w:cs="Cambria"/>
          <w:sz w:val="20"/>
          <w:szCs w:val="20"/>
          <w:lang w:val="en-AU" w:eastAsia="en-ID"/>
        </w:rPr>
        <w:t xml:space="preserve"> 5E learning model is in accordance with constructivist approaches and principles. This model stage involves participation, exploration, explanation, elaboration, and evaluation. Each step has a different purpose from the student's perspective, emphasizing the importance of linking past and current learning experiences. In addition, this model supports evaluation that is useful for students and teachers to evaluate learning and understanding. The development of teaching materials is carried out to meet the needs of teachers and students. The results of this stage are in the form of teaching material products that are structured and in accordance with the required competencies, as well as questionnaires designed to measure validity and collect data from research subjects.</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US" w:eastAsia="en-ID"/>
        </w:rPr>
        <w:t>When using teaching materials, there are several important elements to consider, including:</w:t>
      </w: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1. Need for teaching materials:</w:t>
      </w:r>
    </w:p>
    <w:p w:rsidR="00294E2E" w:rsidRPr="00294E2E" w:rsidRDefault="00294E2E" w:rsidP="00294E2E">
      <w:pPr>
        <w:spacing w:after="0" w:line="240" w:lineRule="auto"/>
        <w:ind w:left="709"/>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  In this context, the teacher's role in developing teaching materials is an indicator of how effectively learning objectives can be achieved.</w:t>
      </w: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2. Test and evaluate:</w:t>
      </w:r>
    </w:p>
    <w:p w:rsidR="00294E2E" w:rsidRPr="00294E2E" w:rsidRDefault="00294E2E" w:rsidP="00294E2E">
      <w:pPr>
        <w:spacing w:after="0" w:line="240" w:lineRule="auto"/>
        <w:ind w:left="709"/>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    Evaluation at this stage is not only limited to the design and development stage, or product implementation, but is carried out at all stages of ADDIE model development.</w:t>
      </w:r>
    </w:p>
    <w:p w:rsidR="00294E2E" w:rsidRPr="00294E2E" w:rsidRDefault="00294E2E" w:rsidP="00294E2E">
      <w:pPr>
        <w:spacing w:after="0" w:line="240" w:lineRule="auto"/>
        <w:ind w:firstLine="709"/>
        <w:jc w:val="both"/>
        <w:rPr>
          <w:rFonts w:ascii="Cambria" w:eastAsia="Cambria" w:hAnsi="Cambria" w:cs="Cambria"/>
          <w:sz w:val="20"/>
          <w:szCs w:val="20"/>
          <w:lang w:val="en-US" w:eastAsia="en-ID"/>
        </w:rPr>
      </w:pPr>
      <w:r w:rsidRPr="00294E2E">
        <w:rPr>
          <w:rFonts w:ascii="Cambria" w:eastAsia="Cambria" w:hAnsi="Cambria" w:cs="Cambria"/>
          <w:sz w:val="20"/>
          <w:szCs w:val="20"/>
          <w:lang w:val="en-US" w:eastAsia="en-ID"/>
        </w:rPr>
        <w:t xml:space="preserve">However, formative evaluation is also carried out at each stage to immediately identify areas of necessary improvement. The evaluation stage is the final step in the ADDIE model for developing teaching materials  </w:t>
      </w:r>
      <w:hyperlink r:id="rId43" w:history="1">
        <w:r w:rsidRPr="00294E2E">
          <w:rPr>
            <w:rFonts w:ascii="Cambria" w:eastAsia="Cambria" w:hAnsi="Cambria" w:cs="Cambria"/>
            <w:color w:val="0000FF"/>
            <w:sz w:val="20"/>
            <w:szCs w:val="20"/>
            <w:lang w:val="en-US" w:eastAsia="en-ID"/>
          </w:rPr>
          <w:fldChar w:fldCharType="begin" w:fldLock="1"/>
        </w:r>
        <w:r w:rsidRPr="00294E2E">
          <w:rPr>
            <w:rFonts w:ascii="Cambria" w:eastAsia="Cambria" w:hAnsi="Cambria" w:cs="Cambria"/>
            <w:color w:val="0000FF"/>
            <w:sz w:val="20"/>
            <w:szCs w:val="20"/>
            <w:lang w:val="en-US" w:eastAsia="en-ID"/>
          </w:rPr>
          <w:instrText>ADDIN CSL_CITATION {"citationItems":[{"id":"ITEM-1","itemData":{"DOI":"10.1016/j.caeai.2021.100030","ISSN":"2666920X","author":[{"dropping-particle":"","family":"Yu","given":"Shih-Jou","non-dropping-particle":"","parse-names":false,"suffix":""},{"dropping-particle":"","family":"Hsueh","given":"Yu-Ling","non-dropping-particle":"","parse-names":false,"suffix":""},{"dropping-particle":"","family":"Sun","given":"Jerry Chih-Yuan","non-dropping-particle":"","parse-names":false,"suffix":""},{"dropping-particle":"","family":"Liu","given":"Hao-Ze","non-dropping-particle":"","parse-names":false,"suffix":""}],"container-title":"Computers and Education: Artificial Intelligence","id":"ITEM-1","issued":{"date-parts":[["2021"]]},"page":"100030","title":"Developing an intelligent virtual reality interactive system based on the ADDIE model for learning pour-over coffee brewing","type":"article-journal","volume":"2"},"uris":["http://www.mendeley.com/documents/?uuid=92ff841f-bbcb-46aa-a244-2a3e3ef51864"]}],"mendeley":{"formattedCitation":"(Yu et al., 2021)","plainTextFormattedCitation":"(Yu et al., 2021)","previouslyFormattedCitation":"(Yu et al., 2021)"},"properties":{"noteIndex":0},"schema":"https://github.com/citation-style-language/schema/raw/master/csl-citation.json"}</w:instrText>
        </w:r>
        <w:r w:rsidRPr="00294E2E">
          <w:rPr>
            <w:rFonts w:ascii="Cambria" w:eastAsia="Cambria" w:hAnsi="Cambria" w:cs="Cambria"/>
            <w:color w:val="0000FF"/>
            <w:sz w:val="20"/>
            <w:szCs w:val="20"/>
            <w:lang w:val="en-US" w:eastAsia="en-ID"/>
          </w:rPr>
          <w:fldChar w:fldCharType="separate"/>
        </w:r>
        <w:r w:rsidRPr="00294E2E">
          <w:rPr>
            <w:rFonts w:ascii="Cambria" w:eastAsia="Cambria" w:hAnsi="Cambria" w:cs="Cambria"/>
            <w:noProof/>
            <w:color w:val="0000FF"/>
            <w:sz w:val="20"/>
            <w:szCs w:val="20"/>
            <w:lang w:val="en-US" w:eastAsia="en-ID"/>
          </w:rPr>
          <w:t>(Yu et al., 2021)</w:t>
        </w:r>
        <w:r w:rsidRPr="00294E2E">
          <w:rPr>
            <w:rFonts w:ascii="Cambria" w:eastAsia="Cambria" w:hAnsi="Cambria" w:cs="Cambria"/>
            <w:color w:val="0000FF"/>
            <w:sz w:val="20"/>
            <w:szCs w:val="20"/>
            <w:lang w:val="en-US" w:eastAsia="en-ID"/>
          </w:rPr>
          <w:fldChar w:fldCharType="end"/>
        </w:r>
      </w:hyperlink>
      <w:r w:rsidRPr="00294E2E">
        <w:rPr>
          <w:rFonts w:ascii="Cambria" w:eastAsia="Cambria" w:hAnsi="Cambria" w:cs="Cambria"/>
          <w:sz w:val="20"/>
          <w:szCs w:val="20"/>
          <w:lang w:val="en-US" w:eastAsia="en-ID"/>
        </w:rPr>
        <w:t>. The aim is to provide an assessment of the teaching materials that have been developed, ensure their effectiveness, and check their suitability to the learning objectives that have been set.</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US" w:eastAsia="en-ID"/>
        </w:rPr>
        <w:t>The overall evaluation by Indonesian language experts showed that the teaching materials achieved 85% of the maximum total score of 100%, indicating general suitability for application. According to the guidelines, products with a score of 75% or more are considered suitable for use in learning.</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US" w:eastAsia="en-ID"/>
        </w:rPr>
        <w:t xml:space="preserve">Even though these three criteria do not reach the maximum score of 100%, they are still considered adequate, with mastery of the material reaching a score of 75%, depth of material reaching a score of 85%, </w:t>
      </w:r>
      <w:r w:rsidRPr="00294E2E">
        <w:rPr>
          <w:rFonts w:ascii="Cambria" w:eastAsia="Cambria" w:hAnsi="Cambria" w:cs="Cambria"/>
          <w:sz w:val="20"/>
          <w:szCs w:val="20"/>
          <w:lang w:val="en-US" w:eastAsia="en-ID"/>
        </w:rPr>
        <w:lastRenderedPageBreak/>
        <w:t>and suitability of the language to the student's level of development reaching a score of 85%. Thus, the overall score is 91.6%. For example, in the content appropriateness component, the material completeness subcomponent achieved a score of 75%, meeting the minimum standard without the need for revision. Furthermore, the depth of the material received a score of 85%, indicating a high level of feasibility and application in teaching materials.</w:t>
      </w:r>
    </w:p>
    <w:p w:rsidR="00294E2E" w:rsidRPr="00294E2E" w:rsidRDefault="00294E2E" w:rsidP="00294E2E">
      <w:pPr>
        <w:spacing w:after="0" w:line="240" w:lineRule="auto"/>
        <w:ind w:firstLine="709"/>
        <w:jc w:val="both"/>
        <w:rPr>
          <w:rFonts w:ascii="Cambria" w:eastAsia="Cambria" w:hAnsi="Cambria" w:cs="Cambria"/>
          <w:sz w:val="20"/>
          <w:szCs w:val="20"/>
          <w:lang w:val="en-US" w:eastAsia="en-ID"/>
        </w:rPr>
      </w:pPr>
      <w:r w:rsidRPr="00294E2E">
        <w:rPr>
          <w:rFonts w:ascii="Cambria" w:eastAsia="Cambria" w:hAnsi="Cambria" w:cs="Cambria"/>
          <w:sz w:val="20"/>
          <w:szCs w:val="20"/>
          <w:lang w:val="en-US" w:eastAsia="en-ID"/>
        </w:rPr>
        <w:t xml:space="preserve">The subcomponents of material accuracy and learning support materials both scored 100%, indicating that they are feasible to implement without revision. Regarding language appropriateness, the subcomponent of assessing language suitability to students' development levels received a score of 91.6%, with the predicate "very appropriate". In addition, the communicative subcomponents and coherence and unity of ideas each achieved a score of 100%, thus qualifying as very suitable for implementation without revision. </w:t>
      </w:r>
    </w:p>
    <w:p w:rsidR="00294E2E" w:rsidRPr="00294E2E" w:rsidRDefault="00294E2E" w:rsidP="00294E2E">
      <w:pPr>
        <w:spacing w:after="0" w:line="240" w:lineRule="auto"/>
        <w:ind w:left="426" w:firstLine="588"/>
        <w:contextualSpacing/>
        <w:jc w:val="center"/>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Table 2. Graphic Expert Test Results</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1"/>
        <w:gridCol w:w="1986"/>
        <w:gridCol w:w="673"/>
        <w:gridCol w:w="731"/>
        <w:gridCol w:w="966"/>
        <w:gridCol w:w="995"/>
        <w:gridCol w:w="1276"/>
      </w:tblGrid>
      <w:tr w:rsidR="00294E2E" w:rsidRPr="00294E2E" w:rsidTr="00294E2E">
        <w:trPr>
          <w:trHeight w:val="690"/>
          <w:jc w:val="center"/>
        </w:trPr>
        <w:tc>
          <w:tcPr>
            <w:tcW w:w="4047" w:type="dxa"/>
            <w:gridSpan w:val="2"/>
            <w:tcBorders>
              <w:top w:val="single" w:sz="4" w:space="0" w:color="auto"/>
              <w:left w:val="nil"/>
              <w:bottom w:val="single" w:sz="4" w:space="0" w:color="auto"/>
              <w:right w:val="nil"/>
            </w:tcBorders>
            <w:shd w:val="clear" w:color="auto" w:fill="auto"/>
          </w:tcPr>
          <w:p w:rsidR="00294E2E" w:rsidRPr="00294E2E" w:rsidRDefault="00294E2E" w:rsidP="00294E2E">
            <w:pPr>
              <w:spacing w:after="0" w:line="240" w:lineRule="auto"/>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rPr>
                <w:rFonts w:ascii="Times New Roman" w:eastAsia="MS Mincho" w:hAnsi="Times New Roman" w:cs="Times New Roman"/>
                <w:b/>
                <w:sz w:val="20"/>
                <w:szCs w:val="20"/>
                <w:lang w:val="en-US" w:eastAsia="en-ID"/>
              </w:rPr>
            </w:pPr>
            <w:r w:rsidRPr="00294E2E">
              <w:rPr>
                <w:rFonts w:ascii="Times New Roman" w:eastAsia="MS Mincho" w:hAnsi="Times New Roman" w:cs="Times New Roman"/>
                <w:b/>
                <w:sz w:val="20"/>
                <w:szCs w:val="20"/>
                <w:lang w:val="en-AU" w:eastAsia="en-ID"/>
              </w:rPr>
              <w:t>Criteria</w:t>
            </w:r>
          </w:p>
        </w:tc>
        <w:tc>
          <w:tcPr>
            <w:tcW w:w="673" w:type="dxa"/>
            <w:tcBorders>
              <w:top w:val="single" w:sz="4" w:space="0" w:color="auto"/>
              <w:left w:val="nil"/>
              <w:bottom w:val="single" w:sz="4" w:space="0" w:color="auto"/>
              <w:right w:val="nil"/>
            </w:tcBorders>
            <w:shd w:val="clear" w:color="auto" w:fill="auto"/>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r w:rsidRPr="00294E2E">
              <w:rPr>
                <w:rFonts w:ascii="Times New Roman" w:eastAsia="MS Mincho" w:hAnsi="Times New Roman" w:cs="Times New Roman"/>
                <w:b/>
                <w:sz w:val="20"/>
                <w:szCs w:val="20"/>
                <w:lang w:val="en-AU" w:eastAsia="en-ID"/>
              </w:rPr>
              <w:t>obtain</w:t>
            </w:r>
          </w:p>
        </w:tc>
        <w:tc>
          <w:tcPr>
            <w:tcW w:w="731" w:type="dxa"/>
            <w:tcBorders>
              <w:top w:val="single" w:sz="4" w:space="0" w:color="auto"/>
              <w:left w:val="nil"/>
              <w:bottom w:val="single" w:sz="4" w:space="0" w:color="auto"/>
              <w:right w:val="nil"/>
            </w:tcBorders>
            <w:shd w:val="clear" w:color="auto" w:fill="auto"/>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r w:rsidRPr="00294E2E">
              <w:rPr>
                <w:rFonts w:ascii="Times New Roman" w:eastAsia="MS Mincho" w:hAnsi="Times New Roman" w:cs="Times New Roman"/>
                <w:b/>
                <w:sz w:val="20"/>
                <w:szCs w:val="20"/>
                <w:lang w:val="en-AU" w:eastAsia="en-ID"/>
              </w:rPr>
              <w:t>Score</w:t>
            </w:r>
          </w:p>
        </w:tc>
        <w:tc>
          <w:tcPr>
            <w:tcW w:w="966" w:type="dxa"/>
            <w:tcBorders>
              <w:top w:val="single" w:sz="4" w:space="0" w:color="auto"/>
              <w:left w:val="nil"/>
              <w:bottom w:val="single" w:sz="4" w:space="0" w:color="auto"/>
              <w:right w:val="nil"/>
            </w:tcBorders>
            <w:shd w:val="clear" w:color="auto" w:fill="auto"/>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r w:rsidRPr="00294E2E">
              <w:rPr>
                <w:rFonts w:ascii="Times New Roman" w:eastAsia="MS Mincho" w:hAnsi="Times New Roman" w:cs="Times New Roman"/>
                <w:b/>
                <w:sz w:val="20"/>
                <w:szCs w:val="20"/>
                <w:lang w:val="en-US" w:eastAsia="en-ID"/>
              </w:rPr>
              <w:t xml:space="preserve">Core maximum </w:t>
            </w:r>
            <w:r w:rsidRPr="00294E2E">
              <w:rPr>
                <w:rFonts w:ascii="Times New Roman" w:eastAsia="MS Mincho" w:hAnsi="Times New Roman" w:cs="Times New Roman"/>
                <w:b/>
                <w:sz w:val="20"/>
                <w:szCs w:val="20"/>
                <w:lang w:val="en-AU" w:eastAsia="en-ID"/>
              </w:rPr>
              <w:t>S_</w:t>
            </w:r>
          </w:p>
        </w:tc>
        <w:tc>
          <w:tcPr>
            <w:tcW w:w="995" w:type="dxa"/>
            <w:tcBorders>
              <w:top w:val="single" w:sz="4" w:space="0" w:color="auto"/>
              <w:left w:val="nil"/>
              <w:bottom w:val="single" w:sz="4" w:space="0" w:color="auto"/>
              <w:right w:val="nil"/>
            </w:tcBorders>
            <w:shd w:val="clear" w:color="auto" w:fill="auto"/>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r w:rsidRPr="00294E2E">
              <w:rPr>
                <w:rFonts w:ascii="Times New Roman" w:eastAsia="MS Mincho" w:hAnsi="Times New Roman" w:cs="Times New Roman"/>
                <w:b/>
                <w:sz w:val="20"/>
                <w:szCs w:val="20"/>
                <w:lang w:val="en-AU" w:eastAsia="en-ID"/>
              </w:rPr>
              <w:t>Average score</w:t>
            </w:r>
          </w:p>
        </w:tc>
        <w:tc>
          <w:tcPr>
            <w:tcW w:w="1276" w:type="dxa"/>
            <w:tcBorders>
              <w:top w:val="single" w:sz="4" w:space="0" w:color="auto"/>
              <w:left w:val="nil"/>
              <w:bottom w:val="single" w:sz="4" w:space="0" w:color="auto"/>
              <w:right w:val="nil"/>
            </w:tcBorders>
            <w:shd w:val="clear" w:color="auto" w:fill="auto"/>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r w:rsidRPr="00294E2E">
              <w:rPr>
                <w:rFonts w:ascii="Times New Roman" w:eastAsia="MS Mincho" w:hAnsi="Times New Roman" w:cs="Times New Roman"/>
                <w:b/>
                <w:sz w:val="20"/>
                <w:szCs w:val="20"/>
                <w:lang w:val="en-AU" w:eastAsia="en-ID"/>
              </w:rPr>
              <w:t>Percentage per Criterion</w:t>
            </w:r>
          </w:p>
        </w:tc>
      </w:tr>
      <w:tr w:rsidR="00294E2E" w:rsidRPr="00294E2E" w:rsidTr="00294E2E">
        <w:trPr>
          <w:trHeight w:val="230"/>
          <w:jc w:val="center"/>
        </w:trPr>
        <w:tc>
          <w:tcPr>
            <w:tcW w:w="2061" w:type="dxa"/>
            <w:vMerge w:val="restart"/>
            <w:tcBorders>
              <w:top w:val="single" w:sz="4" w:space="0" w:color="auto"/>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Cover Image</w:t>
            </w:r>
          </w:p>
        </w:tc>
        <w:tc>
          <w:tcPr>
            <w:tcW w:w="1986" w:type="dxa"/>
            <w:vMerge w:val="restart"/>
            <w:tcBorders>
              <w:top w:val="single" w:sz="4" w:space="0" w:color="auto"/>
              <w:left w:val="nil"/>
              <w:bottom w:val="nil"/>
              <w:right w:val="nil"/>
            </w:tcBorders>
          </w:tcPr>
          <w:p w:rsidR="00294E2E" w:rsidRPr="00294E2E" w:rsidRDefault="00294E2E" w:rsidP="00294E2E">
            <w:pPr>
              <w:numPr>
                <w:ilvl w:val="0"/>
                <w:numId w:val="25"/>
              </w:numPr>
              <w:spacing w:after="200" w:line="240" w:lineRule="auto"/>
              <w:ind w:left="302" w:hanging="284"/>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x-none" w:eastAsia="x-none"/>
              </w:rPr>
              <w:t>Layout of teaching materials</w:t>
            </w:r>
          </w:p>
        </w:tc>
        <w:tc>
          <w:tcPr>
            <w:tcW w:w="673" w:type="dxa"/>
            <w:tcBorders>
              <w:top w:val="single" w:sz="4" w:space="0" w:color="auto"/>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single" w:sz="4" w:space="0" w:color="auto"/>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single" w:sz="4" w:space="0" w:color="auto"/>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single" w:sz="4" w:space="0" w:color="auto"/>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3,5</w:t>
            </w:r>
          </w:p>
        </w:tc>
        <w:tc>
          <w:tcPr>
            <w:tcW w:w="1276" w:type="dxa"/>
            <w:vMerge w:val="restart"/>
            <w:tcBorders>
              <w:top w:val="single" w:sz="4" w:space="0" w:color="auto"/>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87.5%</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val="restart"/>
            <w:tcBorders>
              <w:top w:val="nil"/>
              <w:left w:val="nil"/>
              <w:bottom w:val="nil"/>
              <w:right w:val="nil"/>
            </w:tcBorders>
          </w:tcPr>
          <w:p w:rsidR="00294E2E" w:rsidRPr="00294E2E" w:rsidRDefault="00294E2E" w:rsidP="00294E2E">
            <w:pPr>
              <w:numPr>
                <w:ilvl w:val="0"/>
                <w:numId w:val="24"/>
              </w:numPr>
              <w:spacing w:after="200" w:line="240" w:lineRule="auto"/>
              <w:ind w:left="302" w:hanging="284"/>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x-none" w:eastAsia="x-none"/>
              </w:rPr>
              <w:t>Typography teaching materials</w:t>
            </w: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1276"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75%</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val="restart"/>
            <w:tcBorders>
              <w:top w:val="nil"/>
              <w:left w:val="nil"/>
              <w:bottom w:val="nil"/>
              <w:right w:val="nil"/>
            </w:tcBorders>
          </w:tcPr>
          <w:p w:rsidR="00294E2E" w:rsidRPr="00294E2E" w:rsidRDefault="00294E2E" w:rsidP="00294E2E">
            <w:pPr>
              <w:numPr>
                <w:ilvl w:val="0"/>
                <w:numId w:val="23"/>
              </w:numPr>
              <w:spacing w:after="200" w:line="240" w:lineRule="auto"/>
              <w:ind w:left="302" w:hanging="302"/>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en-US" w:eastAsia="x-none"/>
              </w:rPr>
              <w:t xml:space="preserve">teaching </w:t>
            </w:r>
            <w:r w:rsidRPr="00294E2E">
              <w:rPr>
                <w:rFonts w:ascii="Times New Roman" w:eastAsia="MS Mincho" w:hAnsi="Times New Roman" w:cs="Times New Roman"/>
                <w:sz w:val="20"/>
                <w:szCs w:val="20"/>
                <w:lang w:val="x-none" w:eastAsia="x-none"/>
              </w:rPr>
              <w:t>materials</w:t>
            </w: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1276"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75%</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val="restart"/>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Content Graphics</w:t>
            </w:r>
          </w:p>
        </w:tc>
        <w:tc>
          <w:tcPr>
            <w:tcW w:w="1986" w:type="dxa"/>
            <w:vMerge w:val="restart"/>
            <w:tcBorders>
              <w:top w:val="nil"/>
              <w:left w:val="nil"/>
              <w:bottom w:val="nil"/>
              <w:right w:val="nil"/>
            </w:tcBorders>
          </w:tcPr>
          <w:p w:rsidR="00294E2E" w:rsidRPr="00294E2E" w:rsidRDefault="00294E2E" w:rsidP="00294E2E">
            <w:pPr>
              <w:numPr>
                <w:ilvl w:val="0"/>
                <w:numId w:val="23"/>
              </w:numPr>
              <w:spacing w:after="200" w:line="240" w:lineRule="auto"/>
              <w:ind w:left="302" w:hanging="284"/>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x-none" w:eastAsia="x-none"/>
              </w:rPr>
              <w:t>Layout of teaching materials</w:t>
            </w: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1276"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100%</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val="restart"/>
            <w:tcBorders>
              <w:top w:val="nil"/>
              <w:left w:val="nil"/>
              <w:bottom w:val="nil"/>
              <w:right w:val="nil"/>
            </w:tcBorders>
          </w:tcPr>
          <w:p w:rsidR="00294E2E" w:rsidRPr="00294E2E" w:rsidRDefault="00294E2E" w:rsidP="00294E2E">
            <w:pPr>
              <w:numPr>
                <w:ilvl w:val="0"/>
                <w:numId w:val="23"/>
              </w:numPr>
              <w:spacing w:after="200" w:line="240" w:lineRule="auto"/>
              <w:ind w:left="302" w:hanging="284"/>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x-none" w:eastAsia="x-none"/>
              </w:rPr>
              <w:t>Typography teaching materials</w:t>
            </w: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3,6</w:t>
            </w:r>
          </w:p>
        </w:tc>
        <w:tc>
          <w:tcPr>
            <w:tcW w:w="1276"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91.6%</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val="restart"/>
            <w:tcBorders>
              <w:top w:val="nil"/>
              <w:left w:val="nil"/>
              <w:bottom w:val="nil"/>
              <w:right w:val="nil"/>
            </w:tcBorders>
          </w:tcPr>
          <w:p w:rsidR="00294E2E" w:rsidRPr="00294E2E" w:rsidRDefault="00294E2E" w:rsidP="00294E2E">
            <w:pPr>
              <w:numPr>
                <w:ilvl w:val="0"/>
                <w:numId w:val="23"/>
              </w:numPr>
              <w:spacing w:after="200" w:line="240" w:lineRule="auto"/>
              <w:ind w:left="302" w:hanging="284"/>
              <w:contextualSpacing/>
              <w:rPr>
                <w:rFonts w:ascii="Times New Roman" w:eastAsia="MS Mincho" w:hAnsi="Times New Roman" w:cs="Times New Roman"/>
                <w:sz w:val="20"/>
                <w:szCs w:val="20"/>
                <w:lang w:val="en-US" w:eastAsia="x-none"/>
              </w:rPr>
            </w:pPr>
            <w:r w:rsidRPr="00294E2E">
              <w:rPr>
                <w:rFonts w:ascii="Times New Roman" w:eastAsia="MS Mincho" w:hAnsi="Times New Roman" w:cs="Times New Roman"/>
                <w:sz w:val="20"/>
                <w:szCs w:val="20"/>
                <w:lang w:val="x-none" w:eastAsia="x-none"/>
              </w:rPr>
              <w:t>Illustration of teaching materials</w:t>
            </w:r>
          </w:p>
        </w:tc>
        <w:tc>
          <w:tcPr>
            <w:tcW w:w="673"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w:t>
            </w:r>
          </w:p>
        </w:tc>
        <w:tc>
          <w:tcPr>
            <w:tcW w:w="731"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1276" w:type="dxa"/>
            <w:vMerge w:val="restart"/>
            <w:tcBorders>
              <w:top w:val="nil"/>
              <w:left w:val="nil"/>
              <w:bottom w:val="nil"/>
              <w:right w:val="nil"/>
            </w:tcBorders>
            <w:vAlign w:val="center"/>
          </w:tcPr>
          <w:p w:rsidR="00294E2E" w:rsidRPr="00294E2E" w:rsidRDefault="00294E2E" w:rsidP="00294E2E">
            <w:pPr>
              <w:spacing w:after="0" w:line="240" w:lineRule="auto"/>
              <w:jc w:val="center"/>
              <w:rPr>
                <w:rFonts w:ascii="Times New Roman" w:eastAsia="MS Mincho" w:hAnsi="Times New Roman" w:cs="Times New Roman"/>
                <w:b/>
                <w:sz w:val="20"/>
                <w:szCs w:val="20"/>
                <w:lang w:val="en-AU" w:eastAsia="en-ID"/>
              </w:rPr>
            </w:pPr>
          </w:p>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100%</w:t>
            </w:r>
          </w:p>
        </w:tc>
      </w:tr>
      <w:tr w:rsidR="00294E2E" w:rsidRPr="00294E2E" w:rsidTr="00294E2E">
        <w:trPr>
          <w:trHeight w:val="230"/>
          <w:jc w:val="center"/>
        </w:trPr>
        <w:tc>
          <w:tcPr>
            <w:tcW w:w="2061" w:type="dxa"/>
            <w:vMerge/>
            <w:tcBorders>
              <w:top w:val="nil"/>
              <w:left w:val="nil"/>
              <w:bottom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673" w:type="dxa"/>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2</w:t>
            </w:r>
          </w:p>
        </w:tc>
        <w:tc>
          <w:tcPr>
            <w:tcW w:w="731" w:type="dxa"/>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1276" w:type="dxa"/>
            <w:vMerge/>
            <w:tcBorders>
              <w:top w:val="nil"/>
              <w:left w:val="nil"/>
              <w:bottom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r>
      <w:tr w:rsidR="00294E2E" w:rsidRPr="00294E2E" w:rsidTr="00294E2E">
        <w:trPr>
          <w:trHeight w:val="230"/>
          <w:jc w:val="center"/>
        </w:trPr>
        <w:tc>
          <w:tcPr>
            <w:tcW w:w="2061" w:type="dxa"/>
            <w:vMerge/>
            <w:tcBorders>
              <w:top w:val="nil"/>
              <w:left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986" w:type="dxa"/>
            <w:vMerge/>
            <w:tcBorders>
              <w:top w:val="nil"/>
              <w:left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US" w:eastAsia="en-ID"/>
              </w:rPr>
            </w:pPr>
          </w:p>
        </w:tc>
        <w:tc>
          <w:tcPr>
            <w:tcW w:w="673" w:type="dxa"/>
            <w:tcBorders>
              <w:top w:val="nil"/>
              <w:left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3</w:t>
            </w:r>
          </w:p>
        </w:tc>
        <w:tc>
          <w:tcPr>
            <w:tcW w:w="731" w:type="dxa"/>
            <w:tcBorders>
              <w:top w:val="nil"/>
              <w:left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66" w:type="dxa"/>
            <w:tcBorders>
              <w:top w:val="nil"/>
              <w:left w:val="nil"/>
              <w:right w:val="nil"/>
            </w:tcBorders>
          </w:tcPr>
          <w:p w:rsidR="00294E2E" w:rsidRPr="00294E2E" w:rsidRDefault="00294E2E" w:rsidP="00294E2E">
            <w:pPr>
              <w:spacing w:after="0" w:line="240" w:lineRule="auto"/>
              <w:jc w:val="center"/>
              <w:rPr>
                <w:rFonts w:ascii="Times New Roman" w:eastAsia="MS Mincho" w:hAnsi="Times New Roman" w:cs="Times New Roman"/>
                <w:sz w:val="20"/>
                <w:szCs w:val="20"/>
                <w:lang w:val="en-AU" w:eastAsia="en-ID"/>
              </w:rPr>
            </w:pPr>
            <w:r w:rsidRPr="00294E2E">
              <w:rPr>
                <w:rFonts w:ascii="Times New Roman" w:eastAsia="MS Mincho" w:hAnsi="Times New Roman" w:cs="Times New Roman"/>
                <w:sz w:val="20"/>
                <w:szCs w:val="20"/>
                <w:lang w:val="en-AU" w:eastAsia="en-ID"/>
              </w:rPr>
              <w:t>4</w:t>
            </w:r>
          </w:p>
        </w:tc>
        <w:tc>
          <w:tcPr>
            <w:tcW w:w="995" w:type="dxa"/>
            <w:vMerge/>
            <w:tcBorders>
              <w:top w:val="nil"/>
              <w:left w:val="nil"/>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c>
          <w:tcPr>
            <w:tcW w:w="1276" w:type="dxa"/>
            <w:vMerge/>
            <w:tcBorders>
              <w:top w:val="nil"/>
              <w:left w:val="nil"/>
              <w:bottom w:val="single" w:sz="4" w:space="0" w:color="auto"/>
              <w:right w:val="nil"/>
            </w:tcBorders>
          </w:tcPr>
          <w:p w:rsidR="00294E2E" w:rsidRPr="00294E2E" w:rsidRDefault="00294E2E" w:rsidP="00294E2E">
            <w:pPr>
              <w:spacing w:after="0" w:line="240" w:lineRule="auto"/>
              <w:rPr>
                <w:rFonts w:ascii="Times New Roman" w:eastAsia="MS Mincho" w:hAnsi="Times New Roman" w:cs="Times New Roman"/>
                <w:sz w:val="20"/>
                <w:szCs w:val="20"/>
                <w:lang w:val="en-US" w:eastAsia="en-ID"/>
              </w:rPr>
            </w:pPr>
          </w:p>
        </w:tc>
      </w:tr>
    </w:tbl>
    <w:p w:rsidR="00294E2E" w:rsidRPr="00294E2E" w:rsidRDefault="00294E2E" w:rsidP="00294E2E">
      <w:pPr>
        <w:spacing w:after="0" w:line="240" w:lineRule="auto"/>
        <w:ind w:left="142" w:firstLine="578"/>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142" w:firstLine="57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Evaluation of all graphic aspects, including cover and content, resulted in a score of 89%. For cover images, the percentage values for each subcomponent are as follows: 87.5% for layout, 75% for typography, and 75% for illustrations. For graphic content, with percentage values of 100% for layout, 91.6% for typography, and 100% for illustrations. </w:t>
      </w:r>
    </w:p>
    <w:p w:rsidR="00294E2E" w:rsidRDefault="00294E2E" w:rsidP="00294E2E">
      <w:pPr>
        <w:spacing w:after="0" w:line="240" w:lineRule="auto"/>
        <w:ind w:left="142" w:firstLine="57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The title Development of Indonesian Language Teaching Materials Based on Folklore to Support the School Literacy Movement in Low Grades written by Muhammad </w:t>
      </w:r>
      <w:proofErr w:type="spellStart"/>
      <w:r w:rsidRPr="00294E2E">
        <w:rPr>
          <w:rFonts w:ascii="Cambria" w:eastAsia="Cambria" w:hAnsi="Cambria" w:cs="Cambria"/>
          <w:sz w:val="20"/>
          <w:szCs w:val="20"/>
          <w:lang w:val="en-US" w:eastAsia="x-none"/>
        </w:rPr>
        <w:t>Asip</w:t>
      </w:r>
      <w:proofErr w:type="spellEnd"/>
      <w:r w:rsidRPr="00294E2E">
        <w:rPr>
          <w:rFonts w:ascii="Cambria" w:eastAsia="Cambria" w:hAnsi="Cambria" w:cs="Cambria"/>
          <w:sz w:val="20"/>
          <w:szCs w:val="20"/>
          <w:lang w:val="en-US" w:eastAsia="x-none"/>
        </w:rPr>
        <w:t xml:space="preserve">, Abdul </w:t>
      </w:r>
      <w:proofErr w:type="spellStart"/>
      <w:r w:rsidRPr="00294E2E">
        <w:rPr>
          <w:rFonts w:ascii="Cambria" w:eastAsia="Cambria" w:hAnsi="Cambria" w:cs="Cambria"/>
          <w:sz w:val="20"/>
          <w:szCs w:val="20"/>
          <w:lang w:val="en-US" w:eastAsia="x-none"/>
        </w:rPr>
        <w:t>Muktadir</w:t>
      </w:r>
      <w:proofErr w:type="spellEnd"/>
      <w:r w:rsidRPr="00294E2E">
        <w:rPr>
          <w:rFonts w:ascii="Cambria" w:eastAsia="Cambria" w:hAnsi="Cambria" w:cs="Cambria"/>
          <w:sz w:val="20"/>
          <w:szCs w:val="20"/>
          <w:lang w:val="en-US" w:eastAsia="x-none"/>
        </w:rPr>
        <w:t xml:space="preserve"> and </w:t>
      </w:r>
      <w:proofErr w:type="spellStart"/>
      <w:r w:rsidRPr="00294E2E">
        <w:rPr>
          <w:rFonts w:ascii="Cambria" w:eastAsia="Cambria" w:hAnsi="Cambria" w:cs="Cambria"/>
          <w:sz w:val="20"/>
          <w:szCs w:val="20"/>
          <w:lang w:val="en-US" w:eastAsia="x-none"/>
        </w:rPr>
        <w:t>Irwan</w:t>
      </w:r>
      <w:proofErr w:type="spellEnd"/>
      <w:r w:rsidRPr="00294E2E">
        <w:rPr>
          <w:rFonts w:ascii="Cambria" w:eastAsia="Cambria" w:hAnsi="Cambria" w:cs="Cambria"/>
          <w:sz w:val="20"/>
          <w:szCs w:val="20"/>
          <w:lang w:val="en-US" w:eastAsia="x-none"/>
        </w:rPr>
        <w:t xml:space="preserve"> Koto. This study highlights the low interest in reading elementary school children, therefore researchers designed teaching materials based on local stories of Bengkulu people. The results showed that teachers need teaching materials that contain Bengkulu folklore, and combine verbal and visual language. Meanwhile, students need teaching materials in the form of folklore with illustrations, bright colors, and short sentences. The title Effectiveness of Local Wisdom-Based Teaching Materials on Students' Activities and Learning Outcomes written by </w:t>
      </w:r>
      <w:proofErr w:type="spellStart"/>
      <w:r w:rsidRPr="00294E2E">
        <w:rPr>
          <w:rFonts w:ascii="Cambria" w:eastAsia="Cambria" w:hAnsi="Cambria" w:cs="Cambria"/>
          <w:sz w:val="20"/>
          <w:szCs w:val="20"/>
          <w:lang w:val="en-US" w:eastAsia="x-none"/>
        </w:rPr>
        <w:t>Anggi</w:t>
      </w:r>
      <w:proofErr w:type="spellEnd"/>
      <w:r w:rsidRPr="00294E2E">
        <w:rPr>
          <w:rFonts w:ascii="Cambria" w:eastAsia="Cambria" w:hAnsi="Cambria" w:cs="Cambria"/>
          <w:sz w:val="20"/>
          <w:szCs w:val="20"/>
          <w:lang w:val="en-US" w:eastAsia="x-none"/>
        </w:rPr>
        <w:t xml:space="preserve"> </w:t>
      </w:r>
      <w:proofErr w:type="spellStart"/>
      <w:r w:rsidRPr="00294E2E">
        <w:rPr>
          <w:rFonts w:ascii="Cambria" w:eastAsia="Cambria" w:hAnsi="Cambria" w:cs="Cambria"/>
          <w:sz w:val="20"/>
          <w:szCs w:val="20"/>
          <w:lang w:val="en-US" w:eastAsia="x-none"/>
        </w:rPr>
        <w:t>Anggramayeni</w:t>
      </w:r>
      <w:proofErr w:type="spellEnd"/>
      <w:r w:rsidRPr="00294E2E">
        <w:rPr>
          <w:rFonts w:ascii="Cambria" w:eastAsia="Cambria" w:hAnsi="Cambria" w:cs="Cambria"/>
          <w:sz w:val="20"/>
          <w:szCs w:val="20"/>
          <w:lang w:val="en-US" w:eastAsia="x-none"/>
        </w:rPr>
        <w:t xml:space="preserve">, </w:t>
      </w:r>
      <w:proofErr w:type="spellStart"/>
      <w:r w:rsidRPr="00294E2E">
        <w:rPr>
          <w:rFonts w:ascii="Cambria" w:eastAsia="Cambria" w:hAnsi="Cambria" w:cs="Cambria"/>
          <w:sz w:val="20"/>
          <w:szCs w:val="20"/>
          <w:lang w:val="en-US" w:eastAsia="x-none"/>
        </w:rPr>
        <w:t>Berti</w:t>
      </w:r>
      <w:proofErr w:type="spellEnd"/>
      <w:r w:rsidRPr="00294E2E">
        <w:rPr>
          <w:rFonts w:ascii="Cambria" w:eastAsia="Cambria" w:hAnsi="Cambria" w:cs="Cambria"/>
          <w:sz w:val="20"/>
          <w:szCs w:val="20"/>
          <w:lang w:val="en-US" w:eastAsia="x-none"/>
        </w:rPr>
        <w:t xml:space="preserve"> </w:t>
      </w:r>
      <w:proofErr w:type="spellStart"/>
      <w:r w:rsidRPr="00294E2E">
        <w:rPr>
          <w:rFonts w:ascii="Cambria" w:eastAsia="Cambria" w:hAnsi="Cambria" w:cs="Cambria"/>
          <w:sz w:val="20"/>
          <w:szCs w:val="20"/>
          <w:lang w:val="en-US" w:eastAsia="x-none"/>
        </w:rPr>
        <w:t>Yolida</w:t>
      </w:r>
      <w:proofErr w:type="spellEnd"/>
      <w:r w:rsidRPr="00294E2E">
        <w:rPr>
          <w:rFonts w:ascii="Cambria" w:eastAsia="Cambria" w:hAnsi="Cambria" w:cs="Cambria"/>
          <w:sz w:val="20"/>
          <w:szCs w:val="20"/>
          <w:lang w:val="en-US" w:eastAsia="x-none"/>
        </w:rPr>
        <w:t xml:space="preserve">, </w:t>
      </w:r>
      <w:proofErr w:type="spellStart"/>
      <w:r w:rsidRPr="00294E2E">
        <w:rPr>
          <w:rFonts w:ascii="Cambria" w:eastAsia="Cambria" w:hAnsi="Cambria" w:cs="Cambria"/>
          <w:sz w:val="20"/>
          <w:szCs w:val="20"/>
          <w:lang w:val="en-US" w:eastAsia="x-none"/>
        </w:rPr>
        <w:t>Rini</w:t>
      </w:r>
      <w:proofErr w:type="spellEnd"/>
      <w:r w:rsidRPr="00294E2E">
        <w:rPr>
          <w:rFonts w:ascii="Cambria" w:eastAsia="Cambria" w:hAnsi="Cambria" w:cs="Cambria"/>
          <w:sz w:val="20"/>
          <w:szCs w:val="20"/>
          <w:lang w:val="en-US" w:eastAsia="x-none"/>
        </w:rPr>
        <w:t xml:space="preserve"> Rita T. </w:t>
      </w:r>
      <w:proofErr w:type="spellStart"/>
      <w:r w:rsidRPr="00294E2E">
        <w:rPr>
          <w:rFonts w:ascii="Cambria" w:eastAsia="Cambria" w:hAnsi="Cambria" w:cs="Cambria"/>
          <w:sz w:val="20"/>
          <w:szCs w:val="20"/>
          <w:lang w:val="en-US" w:eastAsia="x-none"/>
        </w:rPr>
        <w:t>Marpaung</w:t>
      </w:r>
      <w:proofErr w:type="spellEnd"/>
      <w:r w:rsidRPr="00294E2E">
        <w:rPr>
          <w:rFonts w:ascii="Cambria" w:eastAsia="Cambria" w:hAnsi="Cambria" w:cs="Cambria"/>
          <w:sz w:val="20"/>
          <w:szCs w:val="20"/>
          <w:lang w:val="en-US" w:eastAsia="x-none"/>
        </w:rPr>
        <w:t xml:space="preserve">. This research highlights the difficulties of teachers in implementing thematic learning in classrooms where children still appear passive. Based on this, the research developed teaching materials to increase the effectiveness of learning by utilizing local wisdom. The results showed that students' learning activities were considered good. The highest activity aspect was listening to the teacher's explanation, while the lowest was defending opinions. Teaching materials based on local wisdom proved effective in improving students' learning outcomes. The title Effectiveness of Local Wisdom-Based Teaching Materials on Writing Literacy Skills of Elementary School Students written by </w:t>
      </w:r>
      <w:proofErr w:type="spellStart"/>
      <w:r w:rsidRPr="00294E2E">
        <w:rPr>
          <w:rFonts w:ascii="Cambria" w:eastAsia="Cambria" w:hAnsi="Cambria" w:cs="Cambria"/>
          <w:sz w:val="20"/>
          <w:szCs w:val="20"/>
          <w:lang w:val="en-US" w:eastAsia="x-none"/>
        </w:rPr>
        <w:t>Mimin</w:t>
      </w:r>
      <w:proofErr w:type="spellEnd"/>
      <w:r w:rsidRPr="00294E2E">
        <w:rPr>
          <w:rFonts w:ascii="Cambria" w:eastAsia="Cambria" w:hAnsi="Cambria" w:cs="Cambria"/>
          <w:sz w:val="20"/>
          <w:szCs w:val="20"/>
          <w:lang w:val="en-US" w:eastAsia="x-none"/>
        </w:rPr>
        <w:t xml:space="preserve"> </w:t>
      </w:r>
      <w:proofErr w:type="spellStart"/>
      <w:r w:rsidRPr="00294E2E">
        <w:rPr>
          <w:rFonts w:ascii="Cambria" w:eastAsia="Cambria" w:hAnsi="Cambria" w:cs="Cambria"/>
          <w:sz w:val="20"/>
          <w:szCs w:val="20"/>
          <w:lang w:val="en-US" w:eastAsia="x-none"/>
        </w:rPr>
        <w:t>Ninawati</w:t>
      </w:r>
      <w:proofErr w:type="spellEnd"/>
      <w:r w:rsidRPr="00294E2E">
        <w:rPr>
          <w:rFonts w:ascii="Cambria" w:eastAsia="Cambria" w:hAnsi="Cambria" w:cs="Cambria"/>
          <w:sz w:val="20"/>
          <w:szCs w:val="20"/>
          <w:lang w:val="en-US" w:eastAsia="x-none"/>
        </w:rPr>
        <w:t xml:space="preserve"> and Nur </w:t>
      </w:r>
      <w:proofErr w:type="spellStart"/>
      <w:r w:rsidRPr="00294E2E">
        <w:rPr>
          <w:rFonts w:ascii="Cambria" w:eastAsia="Cambria" w:hAnsi="Cambria" w:cs="Cambria"/>
          <w:sz w:val="20"/>
          <w:szCs w:val="20"/>
          <w:lang w:val="en-US" w:eastAsia="x-none"/>
        </w:rPr>
        <w:t>Wahyuni</w:t>
      </w:r>
      <w:proofErr w:type="spellEnd"/>
      <w:r w:rsidRPr="00294E2E">
        <w:rPr>
          <w:rFonts w:ascii="Cambria" w:eastAsia="Cambria" w:hAnsi="Cambria" w:cs="Cambria"/>
          <w:sz w:val="20"/>
          <w:szCs w:val="20"/>
          <w:lang w:val="en-US" w:eastAsia="x-none"/>
        </w:rPr>
        <w:t>. This research highlights the low listening and writing skills of elementary school students so that research designs teaching materials for local wisdom-based to increase learning effectiveness. The research found that there was a significant difference in students' writing ability before and after using the local wisdom-focused lesson materials. These materials help develop positive values in students and also improve their writing skills at the primary school level</w:t>
      </w:r>
      <w:r>
        <w:rPr>
          <w:rFonts w:ascii="Cambria" w:eastAsia="Cambria" w:hAnsi="Cambria" w:cs="Cambria"/>
          <w:sz w:val="20"/>
          <w:szCs w:val="20"/>
          <w:lang w:val="en-US" w:eastAsia="x-none"/>
        </w:rPr>
        <w:t>.</w:t>
      </w:r>
    </w:p>
    <w:p w:rsidR="00294E2E" w:rsidRPr="00294E2E" w:rsidRDefault="00294E2E" w:rsidP="00294E2E">
      <w:pPr>
        <w:spacing w:after="0" w:line="240" w:lineRule="auto"/>
        <w:ind w:left="142" w:firstLine="578"/>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rPr>
          <w:rFonts w:ascii="Cambria" w:eastAsia="Cambria" w:hAnsi="Cambria" w:cs="Cambria"/>
          <w:b/>
          <w:color w:val="000000"/>
          <w:sz w:val="24"/>
          <w:szCs w:val="24"/>
          <w:lang w:val="en-AU" w:eastAsia="en-ID"/>
        </w:rPr>
      </w:pPr>
    </w:p>
    <w:p w:rsidR="00294E2E" w:rsidRPr="00294E2E" w:rsidRDefault="00294E2E" w:rsidP="00294E2E">
      <w:pPr>
        <w:spacing w:after="0" w:line="240" w:lineRule="auto"/>
        <w:rPr>
          <w:rFonts w:ascii="Cambria" w:eastAsia="Cambria" w:hAnsi="Cambria" w:cs="Cambria"/>
          <w:b/>
          <w:color w:val="000000"/>
          <w:sz w:val="24"/>
          <w:szCs w:val="24"/>
          <w:lang w:val="en-AU" w:eastAsia="en-ID"/>
        </w:rPr>
      </w:pPr>
      <w:r w:rsidRPr="00294E2E">
        <w:rPr>
          <w:rFonts w:ascii="Cambria" w:eastAsia="Cambria" w:hAnsi="Cambria" w:cs="Cambria"/>
          <w:b/>
          <w:color w:val="000000"/>
          <w:sz w:val="24"/>
          <w:szCs w:val="24"/>
          <w:lang w:val="en-AU" w:eastAsia="en-ID"/>
        </w:rPr>
        <w:lastRenderedPageBreak/>
        <w:t>Analysis</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bookmarkStart w:id="1" w:name="_Hlk166748223"/>
      <w:r w:rsidRPr="00294E2E">
        <w:rPr>
          <w:rFonts w:ascii="Cambria" w:eastAsia="Cambria" w:hAnsi="Cambria" w:cs="Cambria"/>
          <w:sz w:val="20"/>
          <w:szCs w:val="20"/>
          <w:lang w:val="en-AU" w:eastAsia="en-ID"/>
        </w:rPr>
        <w:t xml:space="preserve">At this stage, there are two essential tasks to be completed. The first task involves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xml:space="preserve"> the needs of content or learning materials in Indonesian language teaching materials, especially in the context of reading comprehension in texts related to local struggle figures. The second task is to </w:t>
      </w:r>
      <w:proofErr w:type="spellStart"/>
      <w:r w:rsidRPr="00294E2E">
        <w:rPr>
          <w:rFonts w:ascii="Cambria" w:eastAsia="Cambria" w:hAnsi="Cambria" w:cs="Cambria"/>
          <w:sz w:val="20"/>
          <w:szCs w:val="20"/>
          <w:lang w:val="en-AU" w:eastAsia="en-ID"/>
        </w:rPr>
        <w:t>analyze</w:t>
      </w:r>
      <w:proofErr w:type="spellEnd"/>
      <w:r w:rsidRPr="00294E2E">
        <w:rPr>
          <w:rFonts w:ascii="Cambria" w:eastAsia="Cambria" w:hAnsi="Cambria" w:cs="Cambria"/>
          <w:sz w:val="20"/>
          <w:szCs w:val="20"/>
          <w:lang w:val="en-AU" w:eastAsia="en-ID"/>
        </w:rPr>
        <w:t xml:space="preserve"> the need for teaching materials specifically designed to improve reading comprehension and critical thinking skills in studying the struggle of Prince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 xml:space="preserve"> as a West Kalimantan warrior figure. </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stage, the focus is on conducting activities to ascertain the content or learning materials required for the development of teaching materials. The specific objective was to identify all relevant content based on the Indonesian curriculum, with an emphasis on reading comprehension and critical thinking in the Bung </w:t>
      </w:r>
      <w:proofErr w:type="spellStart"/>
      <w:r w:rsidRPr="00294E2E">
        <w:rPr>
          <w:rFonts w:ascii="Cambria" w:eastAsia="Cambria" w:hAnsi="Cambria" w:cs="Cambria"/>
          <w:sz w:val="20"/>
          <w:szCs w:val="20"/>
          <w:lang w:val="en-AU" w:eastAsia="en-ID"/>
        </w:rPr>
        <w:t>Karno</w:t>
      </w:r>
      <w:proofErr w:type="spellEnd"/>
      <w:r w:rsidRPr="00294E2E">
        <w:rPr>
          <w:rFonts w:ascii="Cambria" w:eastAsia="Cambria" w:hAnsi="Cambria" w:cs="Cambria"/>
          <w:sz w:val="20"/>
          <w:szCs w:val="20"/>
          <w:lang w:val="en-AU" w:eastAsia="en-ID"/>
        </w:rPr>
        <w:t xml:space="preserve"> text, aimed at grade 5 students. In addition, a characteristic analysis was conducted by examining the curriculum and valid lesson plans (RPP) on reading comprehension in Indonesian language materials.</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At this stage, the focus of the research was on identifying the requirements of teaching materials that support reading comprehension and critical thinking skills, especially in the context of Prince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 xml:space="preserve"> texts. The aim was to identify the key components required in the development of effective teaching materials to improve students' reading skills when studying texts about </w:t>
      </w:r>
      <w:proofErr w:type="spellStart"/>
      <w:r w:rsidRPr="00294E2E">
        <w:rPr>
          <w:rFonts w:ascii="Cambria" w:eastAsia="Cambria" w:hAnsi="Cambria" w:cs="Cambria"/>
          <w:sz w:val="20"/>
          <w:szCs w:val="20"/>
          <w:lang w:val="en-AU" w:eastAsia="en-ID"/>
        </w:rPr>
        <w:t>Pangeran</w:t>
      </w:r>
      <w:proofErr w:type="spellEnd"/>
      <w:r w:rsidRPr="00294E2E">
        <w:rPr>
          <w:rFonts w:ascii="Cambria" w:eastAsia="Cambria" w:hAnsi="Cambria" w:cs="Cambria"/>
          <w:sz w:val="20"/>
          <w:szCs w:val="20"/>
          <w:lang w:val="en-AU" w:eastAsia="en-ID"/>
        </w:rPr>
        <w:t xml:space="preserve"> </w:t>
      </w:r>
      <w:proofErr w:type="spellStart"/>
      <w:r w:rsidRPr="00294E2E">
        <w:rPr>
          <w:rFonts w:ascii="Cambria" w:eastAsia="Cambria" w:hAnsi="Cambria" w:cs="Cambria"/>
          <w:sz w:val="20"/>
          <w:szCs w:val="20"/>
          <w:lang w:val="en-AU" w:eastAsia="en-ID"/>
        </w:rPr>
        <w:t>Antasari</w:t>
      </w:r>
      <w:proofErr w:type="spellEnd"/>
      <w:r w:rsidRPr="00294E2E">
        <w:rPr>
          <w:rFonts w:ascii="Cambria" w:eastAsia="Cambria" w:hAnsi="Cambria" w:cs="Cambria"/>
          <w:sz w:val="20"/>
          <w:szCs w:val="20"/>
          <w:lang w:val="en-AU" w:eastAsia="en-ID"/>
        </w:rPr>
        <w:t>.</w:t>
      </w:r>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r w:rsidRPr="00294E2E">
        <w:rPr>
          <w:rFonts w:ascii="Times New Roman" w:eastAsia="MS Mincho" w:hAnsi="Times New Roman" w:cs="Times New Roman"/>
          <w:sz w:val="24"/>
          <w:szCs w:val="24"/>
          <w:lang w:val="en-AU" w:eastAsia="en-ID"/>
        </w:rPr>
        <w:t xml:space="preserve"> </w:t>
      </w:r>
      <w:r w:rsidRPr="00294E2E">
        <w:rPr>
          <w:rFonts w:ascii="Cambria" w:eastAsia="Cambria" w:hAnsi="Cambria" w:cs="Cambria"/>
          <w:sz w:val="20"/>
          <w:szCs w:val="20"/>
          <w:lang w:val="en-AU" w:eastAsia="en-ID"/>
        </w:rPr>
        <w:t xml:space="preserve">At this stage, a needs analysis is conducted with the aim of thoroughly evaluating the need for teaching materials, considering the complex interaction of various factors that play a role in improving students' reading comprehension. These factors include the teacher's guidance strategy, the learning environment, the reader's background, individual differences among readers, the specific task, and the nature of the text itself. </w:t>
      </w:r>
      <w:bookmarkEnd w:id="1"/>
      <w:r w:rsidRPr="00294E2E">
        <w:rPr>
          <w:rFonts w:ascii="Cambria" w:eastAsia="Cambria" w:hAnsi="Cambria" w:cs="Cambria"/>
          <w:sz w:val="20"/>
          <w:szCs w:val="20"/>
          <w:lang w:val="en-AU" w:eastAsia="en-ID"/>
        </w:rPr>
        <w:t xml:space="preserve">In the context of teaching reading comprehension in narrative texts, various learning models are considered, as highlighted in the study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lindif.2023.102290","ISSN":"10416080","author":[{"dropping-particle":"","family":"Wu","given":"Lin","non-dropping-particle":"","parse-names":false,"suffix":""},{"dropping-particle":"","family":"Valcke","given":"Martin","non-dropping-particle":"","parse-names":false,"suffix":""},{"dropping-particle":"","family":"Keer","given":"Hilde","non-dropping-particle":"Van","parse-names":false,"suffix":""}],"container-title":"Learning and Individual Differences","id":"ITEM-1","issued":{"date-parts":[["2023","5"]]},"page":"102290","title":"Differential effects of reading strategy intervention for three levels of comprehenders: Focus on text comprehension and autonomous reading motivation","type":"article-journal","volume":"104"},"uris":["http://www.mendeley.com/documents/?uuid=ec503e51-c5dc-4563-ac1b-e195a7f973b2"]}],"mendeley":{"formattedCitation":"(L. Wu et al., 2023)","manualFormatting":"(Wu et al., 2023 ; Serrano-Mendizábal et al., 2023)","plainTextFormattedCitation":"(L. Wu et al., 2023)","previouslyFormattedCitation":"(L. Wu et al., 2023)"},"properties":{"noteIndex":0},"schema":"https://github.com/citation-style-language/schema/raw/master/csl-citation.json"}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44" w:history="1">
        <w:r w:rsidRPr="00294E2E">
          <w:rPr>
            <w:rFonts w:ascii="Cambria" w:eastAsia="Cambria" w:hAnsi="Cambria" w:cs="Cambria"/>
            <w:noProof/>
            <w:color w:val="0000FF"/>
            <w:sz w:val="20"/>
            <w:szCs w:val="20"/>
            <w:lang w:val="en-AU" w:eastAsia="en-ID"/>
          </w:rPr>
          <w:t xml:space="preserve">(Wu et al., 2023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compedu.2023.104727","ISSN":"03601315","author":[{"dropping-particle":"","family":"Serrano-Mendizábal","given":"Marian","non-dropping-particle":"","parse-names":false,"suffix":""},{"dropping-particle":"","family":"Villalón","given":"Ruth","non-dropping-particle":"","parse-names":false,"suffix":""},{"dropping-particle":"","family":"Melero","given":"Ángeles","non-dropping-particle":"","parse-names":false,"suffix":""},{"dropping-particle":"","family":"Izquierdo-Magaldi","given":"Belén","non-dropping-particle":"","parse-names":false,"suffix":""}],"container-title":"Computers &amp; Education","id":"ITEM-1","issued":{"date-parts":[["2023","4"]]},"page":"104727","title":"Effects of two computer-based interventions on reading comprehension: Does strategy instruction matter?","type":"article-journal","volume":"196"},"uris":["http://www.mendeley.com/documents/?uuid=19cdaecb-b1e0-4164-a7cb-ccaf248fbdc5"]}],"mendeley":{"formattedCitation":"(Serrano-Mendizábal et al., 2023)","manualFormatting":"Serrano-Mendizábal et al., 2023)","plainTextFormattedCitation":"(Serrano-Mendizábal et al., 2023)","previouslyFormattedCitation":"(Serrano-Mendizábal et al.,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Serrano-Mendizábal et al., 2023)</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In addition, the advent of digital texts opens up new opportunities to improve children's reading comprehension, and children's individual characteristics can influence the relationship between word frame use and text reading comprehension, as noted by </w:t>
      </w:r>
      <w:hyperlink r:id="rId45" w:history="1">
        <w:r w:rsidRPr="00294E2E">
          <w:rPr>
            <w:rFonts w:ascii="Cambria" w:eastAsia="Cambria" w:hAnsi="Cambria" w:cs="Cambria"/>
            <w:color w:val="0000FF"/>
            <w:sz w:val="20"/>
            <w:szCs w:val="20"/>
            <w:lang w:val="en-AU" w:eastAsia="en-ID"/>
          </w:rPr>
          <w:t xml:space="preserve"> </w:t>
        </w:r>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{"citationItems":[{"id":"ITEM-1","itemData":{"DOI":"10.1016/j.sheji.2018.12.001","ISSN":"24058726","author":[{"dropping-particle":"","family":"Hagan","given":"Susan M.","non-dropping-particle":"","parse-names":false,"suffix":""},{"dropping-particle":"","family":"Barron","given":"Deirdre H.","non-dropping-particle":"","parse-names":false,"suffix":""}],"container-title":"She Ji: The Journal of Design, Economics, and Innovation","id":"ITEM-1","issue":"1","issued":{"date-parts":[["2019"]]},"page":"55-73","title":"Reviewing Practice-Based Design Research—The Pursuit of a Disciplinary Destination","type":"article-journal","volume":"5"},"uris":["http://www.mendeley.com/documents/?uuid=bcb14183-489b-49ef-b22c-2ec5fc80267c"]}],"mendeley":{"formattedCitation":"(Hagan &amp; Barron, 2019)","plainTextFormattedCitation":"(Hagan &amp; Barron, 2019)","previouslyFormattedCitation":"(Hagan &amp; Barron, 2019)"},"properties":{"noteIndex":0},"schema":"https://github.com/citation-style-language/schema/raw/master/csl-citation.json"}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(Hagan &amp; Barron, 2019)</w:t>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xml:space="preserve">. Reading is a fundamental skill, and the key to developing reading comprehension lies in comprehension itself  </w:t>
      </w:r>
      <w:hyperlink r:id="rId46"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{"citationItems":[{"id":"ITEM-1","itemData":{"DOI":"10.1016/j.heliyon.2024.e24281","ISSN":"24058440","author":[{"dropping-particle":"","family":"Habók","given":"Anita","non-dropping-particle":"","parse-names":false,"suffix":""},{"dropping-particle":"","family":"Oo","given":"Tun Zaw","non-dropping-particle":"","parse-names":false,"suffix":""},{"dropping-particle":"","family":"Magyar","given":"Andrea","non-dropping-particle":"","parse-names":false,"suffix":""}],"container-title":"Heliyon","id":"ITEM-1","issue":"2","issued":{"date-parts":[["2024","1"]]},"page":"e24281","title":"The effect of reading strategy use on online reading comprehension","type":"article-journal","volume":"10"},"uris":["http://www.mendeley.com/documents/?uuid=2d30168d-96c0-473f-98bb-16e6b09383a2"]}],"mendeley":{"formattedCitation":"(Habók et al., 2024)","manualFormatting":"(Habók et al., 2024 ; Cervetti &amp; Pearson, 2023)","plainTextFormattedCitation":"(Habók et al., 2024)","previouslyFormattedCitation":"(Habók et al., 2024)"},"properties":{"noteIndex":0},"schema":"https://github.com/citation-style-language/schema/raw/master/csl-citation.json"}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 xml:space="preserve">(Habók et al.,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{"citationItems":[{"id":"ITEM-1","itemData":{"DOI":"10.1016/B978-0-12-818630-5.07046-9","author":[{"dropping-particle":"","family":"Cervetti","given":"Gina N.","non-dropping-particle":"","parse-names":false,"suffix":""},{"dropping-particle":"","family":"Pearson","given":"P. David","non-dropping-particle":"","parse-names":false,"suffix":""}],"container-title":"International Encyclopedia of Education(Fourth Edition)","id":"ITEM-1","issued":{"date-parts":[["2023"]]},"page":"319-329","publisher":"Elsevier","title":"Reading comprehension in troubled times","type":"chapter"},"uris":["http://www.mendeley.com/documents/?uuid=307e9217-cb92-4c11-ab83-40d36440ec2b"]}],"mendeley":{"formattedCitation":"(Cervetti &amp; Pearson, 2023)","manualFormatting":"Cervetti &amp; Pearson, 2023)","plainTextFormattedCitation":"(Cervetti &amp; Pearson, 2023)","previouslyFormattedCitation":"(Cervetti &amp; Pearson,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Cervetti &amp; Pearson, 2023)</w:t>
        </w:r>
        <w:r w:rsidRPr="00294E2E">
          <w:rPr>
            <w:rFonts w:ascii="Cambria" w:eastAsia="Cambria" w:hAnsi="Cambria" w:cs="Cambria"/>
            <w:noProof/>
            <w:color w:val="0000FF"/>
            <w:sz w:val="20"/>
            <w:szCs w:val="20"/>
            <w:lang w:val="en-AU" w:eastAsia="en-ID"/>
          </w:rPr>
          <w:fldChar w:fldCharType="end"/>
        </w:r>
        <w:r w:rsidRPr="00294E2E">
          <w:rPr>
            <w:rFonts w:ascii="Cambria" w:eastAsia="Cambria" w:hAnsi="Cambria" w:cs="Cambria"/>
            <w:color w:val="0000FF"/>
            <w:sz w:val="20"/>
            <w:szCs w:val="20"/>
            <w:lang w:val="en-AU" w:eastAsia="en-ID"/>
          </w:rPr>
          <w:fldChar w:fldCharType="end"/>
        </w:r>
        <w:r w:rsidRPr="00294E2E">
          <w:rPr>
            <w:rFonts w:ascii="Cambria" w:eastAsia="Cambria" w:hAnsi="Cambria" w:cs="Cambria"/>
            <w:color w:val="0000FF"/>
            <w:sz w:val="20"/>
            <w:szCs w:val="20"/>
            <w:lang w:val="en-AU" w:eastAsia="en-ID"/>
          </w:rPr>
          <w:t>.</w:t>
        </w:r>
      </w:hyperlink>
      <w:bookmarkStart w:id="2" w:name="_Hlk166749643"/>
    </w:p>
    <w:bookmarkEnd w:id="2"/>
    <w:p w:rsidR="00294E2E" w:rsidRPr="00294E2E" w:rsidRDefault="00294E2E" w:rsidP="00294E2E">
      <w:pPr>
        <w:spacing w:after="0" w:line="240" w:lineRule="auto"/>
        <w:ind w:firstLine="709"/>
        <w:jc w:val="both"/>
        <w:rPr>
          <w:rFonts w:ascii="Cambria" w:eastAsia="Cambria" w:hAnsi="Cambria" w:cs="Cambria"/>
          <w:color w:val="0000FF"/>
          <w:sz w:val="20"/>
          <w:szCs w:val="20"/>
          <w:lang w:val="en-AU" w:eastAsia="en-ID"/>
        </w:rPr>
      </w:pPr>
      <w:r w:rsidRPr="00294E2E">
        <w:rPr>
          <w:rFonts w:ascii="Cambria" w:eastAsia="Cambria" w:hAnsi="Cambria" w:cs="Cambria"/>
          <w:sz w:val="20"/>
          <w:szCs w:val="20"/>
          <w:lang w:val="en-AU" w:eastAsia="en-ID"/>
        </w:rPr>
        <w:t xml:space="preserve">In the 21st century era, modern technological advances such as podcasting and blogging have transformed teaching and learning methods, as highlighted by  </w:t>
      </w:r>
      <w:hyperlink r:id="rId47"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{"citationItems":[{"id":"ITEM-1","itemData":{"DOI":"10.24071/ijels.v8i2.4713","ISSN":"2442-790X","abstract":"The area of language schooling is converting at an ever-growing rate. Traditional notions of schooling are giving way to newer, greater modern approaches to considering how we analyze, accumulate information, and educate. The study room surroundings these days are absolutely one of a different kind from the conventional ones. The conventional strategies that are especially primarily based totally on lecturing and rote studying lessen English language studying to mechanical memorization and miserably fail in growing the English language as an ability for most of the newcomers. In an age of ubiquitous presence of technology, the pedagogy of coaching method has additionally passed through a sea-change. New technologies, just like the Internet, YouTube, Skype, Twitter, Blogs, etc., have brought the best stimulus and additionally, newcomers’ engagement and proper interactivity in the classrooms. But instructors’ burnout is an unhappy phenomenon that is affecting the coaching career in a whole lot of approaches. As we recognize, whiners don’t encourage others or mobilize them to act. Learning via way of means of instance, greater than ever, is the process of a trainee in the twenty-first century. Teachers, via the usage of the modern ELT (English Language Teaching) strategies like English songs, film clippings, dramatics, advertisements, sports activities, commentaries and plenty of greater values, can have interaction with the newcomers to come to be professionals in the English language. This paper specializes in the want to make English language coaching smooth and exciting through modern strategies.","author":[{"dropping-particle":"","family":"Sinha","given":"Kanhaiya Kumar","non-dropping-particle":"","parse-names":false,"suffix":""}],"container-title":"Indonesian Journal of English Language Studies (IJELS)","id":"ITEM-1","issue":"2","issued":{"date-parts":[["2022"]]},"page":"19-30","title":"Role of Modern Technology in Teaching and Learning the English Language in Indian Educational Institutions","type":"article-journal","volume":"8"},"uris":["http://www.mendeley.com/documents/?uuid=8b0a8ec7-8a6c-4ac1-a238-e9cbfb3a8a99"]}],"mendeley":{"formattedCitation":"(Sinha, 2022)","manualFormatting":"(Sinha, 2022 ; ","plainTextFormattedCitation":"(Sinha, 2022)","previouslyFormattedCitation":"(Sinha, 2022)"},"properties":{"noteIndex":0},"schema":"https://github.com/citation-style-language/schema/raw/master/csl-citation.json"}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 xml:space="preserve">(Sinha, 2022 ; </w:t>
        </w:r>
        <w:r w:rsidRPr="00294E2E">
          <w:rPr>
            <w:rFonts w:ascii="Cambria" w:eastAsia="Cambria" w:hAnsi="Cambria" w:cs="Cambria"/>
            <w:color w:val="0000FF"/>
            <w:sz w:val="20"/>
            <w:szCs w:val="20"/>
            <w:lang w:val="en-AU" w:eastAsia="en-ID"/>
          </w:rPr>
          <w:fldChar w:fldCharType="end"/>
        </w:r>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{"citationItems":[{"id":"ITEM-1","itemData":{"abstract":"The 21st century requires technology-based education to keep up with the rapidly globalizing world. The global government employs a variety of strategies to get pupils ready for the 21st century, which includes critical thinking, problem-solving, communication, teamwork, creativity, and innovation. The related topic area places a strong emphasis on developing competence in both personal and professional skills. 21st century skills include life planning, flexibility, adaptability, entrepreneurship, productivity, leadership, critical thinking, communication, and digital literacy. The use of instructional technology has advantages and disadvantages, just like any other advancement. With more and more tools being developed by educators and developers to raise educational standards, technology is already finding its way into classrooms.","author":[{"dropping-particle":"","family":"Vistari","given":"Lalita","non-dropping-particle":"","parse-names":false,"suffix":""}],"container-title":"UNNES-TEFLIN National Conference","id":"ITEM-1","issued":{"date-parts":[["2023"]]},"page":"434-442","title":"Technology-Based Education in the 21St Century","type":"article-journal","volume":"5"},"uris":["http://www.mendeley.com/documents/?uuid=a7f65685-8af1-4d7d-ba22-b1d1b18b6797"]}],"mendeley":{"formattedCitation":"(Vistari, 2023)","manualFormatting":"Vistari, 2023)","plainTextFormattedCitation":"(Vistari, 2023)","previouslyFormattedCitation":"(Vistari, 2023)"},"properties":{"noteIndex":0},"schema":"https://github.com/citation-style-language/schema/raw/master/csl-citation.json"}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Vistari, 2023)</w:t>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xml:space="preserve">. Education today is not limited to traditional concrete media, and learning can also be enhanced through educational video games, an area that has been investigated in depth to explore the latest impact of educational video games, as described by  </w:t>
      </w:r>
      <w:hyperlink r:id="rId48"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compedu.2008.06.008","ISSN":"03601315","author":[{"dropping-particle":"","family":"Tüzün","given":"Hakan","non-dropping-particle":"","parse-names":false,"suffix":""},{"dropping-particle":"","family":"Yılmaz-Soylu","given":"Meryem","non-dropping-particle":"","parse-names":false,"suffix":""},{"dropping-particle":"","family":"Karakuş","given":"Türkan","non-dropping-particle":"","parse-names":false,"suffix":""},{"dropping-particle":"","family":"İnal","given":"Yavuz","non-dropping-particle":"","parse-names":false,"suffix":""},{"dropping-particle":"","family":"Kızılkaya","given":"Gonca","non-dropping-particle":"","parse-names":false,"suffix":""}],"container-title":"Computers &amp; Education","id":"ITEM-1","issue":"1","issued":{"date-parts":[["2009","1"]]},"page":"68-77","title":"The effects of computer games on primary school students’ achievement and motivation in geography learning","type":"article-journal","volume":"52"},"uris":["http://www.mendeley.com/documents/?uuid=6f7eba8b-3f9a-4f87-b867-146f44bd4415"]}],"mendeley":{"formattedCitation":"(Tüzün et al., 2009)","manualFormatting":"(Tüzün et al., 2009 ; Kurilovas &amp; Kubilinskiene, 2020)","plainTextFormattedCitation":"(Tüzün et al., 2009)","previouslyFormattedCitation":"(Tüzün et al., 2009)"},"properties":{"noteIndex":0},"schema":"https://github.com/citation-style-language/schema/raw/master/csl-citation.json"}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 xml:space="preserve">(Tüzün et al., 2009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chb.2020.106274","ISSN":"07475632","author":[{"dropping-particle":"","family":"Kurilovas","given":"Eugenijus","non-dropping-particle":"","parse-names":false,"suffix":""},{"dropping-particle":"","family":"Kubilinskiene","given":"Svetlana","non-dropping-particle":"","parse-names":false,"suffix":""}],"container-title":"Computers in Human Behavior","id":"ITEM-1","issued":{"date-parts":[["2020","6"]]},"page":"106274","title":"Lithuanian case study on evaluating suitability, acceptance and use of IT tools by students – An example of applying Technology Enhanced Learning Research methods in Higher Education","type":"article-journal","volume":"107"},"uris":["http://www.mendeley.com/documents/?uuid=d8aaae2e-f5f5-43d6-bebd-7d202bbaadaf"]}],"mendeley":{"formattedCitation":"(Kurilovas &amp; Kubilinskiene, 2020)","manualFormatting":"Kurilovas &amp; Kubilinskiene, 2020)","plainTextFormattedCitation":"(Kurilovas &amp; Kubilinskiene, 2020)","previouslyFormattedCitation":"(Kurilovas &amp; Kubilinskiene, 2020)"},"properties":{"noteIndex":0},"schema":"https://github.com/citation-style-language/schema/raw/master/csl-citation.json"}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Kurilovas &amp; Kubilinskiene, 2020)</w:t>
        </w:r>
        <w:r w:rsidRPr="00294E2E">
          <w:rPr>
            <w:rFonts w:ascii="Cambria" w:eastAsia="Cambria" w:hAnsi="Cambria" w:cs="Cambria"/>
            <w:noProof/>
            <w:color w:val="0000FF"/>
            <w:sz w:val="20"/>
            <w:szCs w:val="20"/>
            <w:lang w:val="en-AU" w:eastAsia="en-ID"/>
          </w:rPr>
          <w:fldChar w:fldCharType="end"/>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xml:space="preserve">. Collaboration among peers can be challenging for students, especially for those with vulnerable social motivation and difficulties in reading, and the emotional aspects of such collaboration are not fully understood. In a learning environment, teachers and peers interact and influence each other in a dynamic system, as suggested in research by  </w:t>
      </w:r>
      <w:hyperlink r:id="rId49"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nedt.2023.106071","ISSN":"02606917","author":[{"dropping-particle":"","family":"Dong","given":"Xueqi","non-dropping-particle":"","parse-names":false,"suffix":""},{"dropping-particle":"","family":"Yuan","given":"Hua","non-dropping-particle":"","parse-names":false,"suffix":""},{"dropping-particle":"","family":"Xue","given":"Hui","non-dropping-particle":"","parse-names":false,"suffix":""},{"dropping-particle":"","family":"Li","given":"Yan","non-dropping-particle":"","parse-names":false,"suffix":""},{"dropping-particle":"","family":"Jia","given":"Luyao","non-dropping-particle":"","parse-names":false,"suffix":""},{"dropping-particle":"","family":"Chen","given":"Jialu","non-dropping-particle":"","parse-names":false,"suffix":""},{"dropping-particle":"","family":"Shi","given":"Yu","non-dropping-particle":"","parse-names":false,"suffix":""},{"dropping-particle":"","family":"Zhang","given":"Xiuying","non-dropping-particle":"","parse-names":false,"suffix":""}],"container-title":"Nurse Education Today","id":"ITEM-1","issued":{"date-parts":[["2024","2"]]},"page":"106071","title":"Factors influencing college students' self-regulated learning in online learning environment: A systematic review","type":"article-journal","volume":"133"},"uris":["http://www.mendeley.com/documents/?uuid=546bda91-1d92-46fe-9384-c2877c0865bf"]}],"mendeley":{"formattedCitation":"(Dong et al., 2024)","manualFormatting":"(Dong et al., 2024 ; Gorham et al., 2024)","plainTextFormattedCitation":"(Dong et al., 2024)","previouslyFormattedCitation":"(Dong et al., 2024)"},"properties":{"noteIndex":0},"schema":"https://github.com/citation-style-language/schema/raw/master/csl-citation.json"}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 xml:space="preserve">(Dong et al.,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stueduc.2024.101352","ISSN":"0191491X","author":[{"dropping-particle":"","family":"Gorham","given":"Tom","non-dropping-particle":"","parse-names":false,"suffix":""},{"dropping-particle":"","family":"Majumdar","given":"Rwitajit","non-dropping-particle":"","parse-names":false,"suffix":""},{"dropping-particle":"","family":"Ogata","given":"Hiroaki","non-dropping-particle":"","parse-names":false,"suffix":""}],"container-title":"Studies in Educational Evaluation","id":"ITEM-1","issued":{"date-parts":[["2024","6"]]},"page":"101352","title":"Learning analytics of peer feedback on communicative skills in an EFL course across different learning modalities","type":"article-journal","volume":"81"},"uris":["http://www.mendeley.com/documents/?uuid=a10dacb8-347c-4f09-bcfb-89a51569cfa5"]}],"mendeley":{"formattedCitation":"(Gorham et al., 2024)","manualFormatting":"Gorham et al., 2024)","plainTextFormattedCitation":"(Gorham et al., 2024)","previouslyFormattedCitation":"(Gorham et al., 2024)"},"properties":{"noteIndex":0},"schema":"https://github.com/citation-style-language/schema/raw/master/csl-citation.json"}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Gorham et al., 2024)</w:t>
        </w:r>
        <w:r w:rsidRPr="00294E2E">
          <w:rPr>
            <w:rFonts w:ascii="Cambria" w:eastAsia="Cambria" w:hAnsi="Cambria" w:cs="Cambria"/>
            <w:noProof/>
            <w:color w:val="0000FF"/>
            <w:sz w:val="20"/>
            <w:szCs w:val="20"/>
            <w:lang w:val="en-AU" w:eastAsia="en-ID"/>
          </w:rPr>
          <w:fldChar w:fldCharType="end"/>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xml:space="preserve">. Reading comprehension plays a crucial role in young learners' ability to acquire knowledge and apply it effectively in their future studies and careers, emphasizing the urgency of its importance, as expressed by </w:t>
      </w:r>
      <w:hyperlink r:id="rId50"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compedu.2022.104640","ISSN":"03601315","author":[{"dropping-particle":"","family":"Zhong","given":"Yuchun","non-dropping-particle":"","parse-names":false,"suffix":""},{"dropping-particle":"","family":"Guo","given":"Kai","non-dropping-particle":"","parse-names":false,"suffix":""},{"dropping-particle":"","family":"Su","given":"Jiahong","non-dropping-particle":"","parse-names":false,"suffix":""},{"dropping-particle":"","family":"Chu","given":"Samuel Kai Wah","non-dropping-particle":"","parse-names":false,"suffix":""}],"container-title":"Computers &amp; Education","id":"ITEM-1","issued":{"date-parts":[["2022","12"]]},"page":"104640","title":"The impact of esports participation on the development of 21st century skills in youth: A systematic review","type":"article-journal","volume":"191"},"uris":["http://www.mendeley.com/documents/?uuid=bfb06470-e08c-44d4-93d8-ef2cf770c70b"]}],"mendeley":{"formattedCitation":"(Zhong et al., 2022)","manualFormatting":"(Zhong et al., 2022 ;   ","plainTextFormattedCitation":"(Zhong et al., 2022)","previouslyFormattedCitation":"(Zhong et al., 2022)"},"properties":{"noteIndex":0},"schema":"https://github.com/citation-style-language/schema/raw/master/csl-citation.json"}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 xml:space="preserve">(Zhong et al., 2022 ;   </w:t>
        </w:r>
        <w:r w:rsidRPr="00294E2E">
          <w:rPr>
            <w:rFonts w:ascii="Cambria" w:eastAsia="Cambria" w:hAnsi="Cambria" w:cs="Cambria"/>
            <w:color w:val="0000FF"/>
            <w:sz w:val="20"/>
            <w:szCs w:val="20"/>
            <w:lang w:val="en-AU" w:eastAsia="en-ID"/>
          </w:rPr>
          <w:fldChar w:fldCharType="end"/>
        </w:r>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ijedudev.2012.09.006","ISSN":"07380593","author":[{"dropping-particle":"","family":"Akyeampong","given":"Kwame","non-dropping-particle":"","parse-names":false,"suffix":""},{"dropping-particle":"","family":"Lussier","given":"Kattie","non-dropping-particle":"","parse-names":false,"suffix":""},{"dropping-particle":"","family":"Pryor","given":"John","non-dropping-particle":"","parse-names":false,"suffix":""},{"dropping-particle":"","family":"Westbrook","given":"Jo","non-dropping-particle":"","parse-names":false,"suffix":""}],"container-title":"International Journal of Educational Development","id":"ITEM-1","issue":"3","issued":{"date-parts":[["2013","5"]]},"page":"272-282","title":"Improving teaching and learning of basic maths and reading in Africa: Does teacher preparation count?","type":"article-journal","volume":"33"},"uris":["http://www.mendeley.com/documents/?uuid=e4ac57b4-554f-4644-8c96-e068476ad83c"]}],"mendeley":{"formattedCitation":"(Akyeampong et al., 2013)","manualFormatting":"Akyeampong et al., 2013)","plainTextFormattedCitation":"(Akyeampong et al., 2013)","previouslyFormattedCitation":"(Akyeampong et al., 2013)"},"properties":{"noteIndex":0},"schema":"https://github.com/citation-style-language/schema/raw/master/csl-citation.json"}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Akyeampong et al., 2013)</w:t>
        </w:r>
        <w:r w:rsidRPr="00294E2E">
          <w:rPr>
            <w:rFonts w:ascii="Cambria" w:eastAsia="Cambria" w:hAnsi="Cambria" w:cs="Cambria"/>
            <w:color w:val="0000FF"/>
            <w:sz w:val="20"/>
            <w:szCs w:val="20"/>
            <w:lang w:val="en-AU" w:eastAsia="en-ID"/>
          </w:rPr>
          <w:fldChar w:fldCharType="end"/>
        </w:r>
      </w:hyperlink>
    </w:p>
    <w:p w:rsidR="00294E2E" w:rsidRPr="00294E2E" w:rsidRDefault="00294E2E" w:rsidP="00294E2E">
      <w:pPr>
        <w:spacing w:after="0" w:line="240" w:lineRule="auto"/>
        <w:ind w:firstLine="709"/>
        <w:jc w:val="both"/>
        <w:rPr>
          <w:rFonts w:ascii="Cambria" w:eastAsia="Cambria" w:hAnsi="Cambria" w:cs="Cambria"/>
          <w:sz w:val="20"/>
          <w:szCs w:val="20"/>
          <w:lang w:val="en-AU" w:eastAsia="en-ID"/>
        </w:rPr>
      </w:pPr>
    </w:p>
    <w:p w:rsidR="00294E2E" w:rsidRPr="00294E2E" w:rsidRDefault="00294E2E" w:rsidP="00294E2E">
      <w:pPr>
        <w:numPr>
          <w:ilvl w:val="0"/>
          <w:numId w:val="26"/>
        </w:numPr>
        <w:spacing w:after="0" w:line="240" w:lineRule="auto"/>
        <w:contextualSpacing/>
        <w:jc w:val="both"/>
        <w:rPr>
          <w:rFonts w:ascii="Cambria" w:eastAsia="Cambria" w:hAnsi="Cambria" w:cs="Cambria"/>
          <w:b/>
          <w:sz w:val="20"/>
          <w:szCs w:val="20"/>
          <w:lang w:val="x-none" w:eastAsia="x-none"/>
        </w:rPr>
      </w:pPr>
      <w:r w:rsidRPr="00294E2E">
        <w:rPr>
          <w:rFonts w:ascii="Cambria" w:eastAsia="Cambria" w:hAnsi="Cambria" w:cs="Cambria"/>
          <w:b/>
          <w:sz w:val="20"/>
          <w:szCs w:val="20"/>
          <w:lang w:val="x-none" w:eastAsia="x-none"/>
        </w:rPr>
        <w:t>DISCUSSION</w:t>
      </w:r>
    </w:p>
    <w:p w:rsidR="00294E2E" w:rsidRPr="00294E2E" w:rsidRDefault="00294E2E" w:rsidP="00294E2E">
      <w:pPr>
        <w:spacing w:after="0" w:line="240" w:lineRule="auto"/>
        <w:rPr>
          <w:rFonts w:ascii="Cambria" w:eastAsia="Cambria" w:hAnsi="Cambria" w:cs="Cambria"/>
          <w:b/>
          <w:sz w:val="20"/>
          <w:szCs w:val="20"/>
          <w:lang w:val="en-AU" w:eastAsia="en-ID"/>
        </w:rPr>
      </w:pPr>
      <w:r w:rsidRPr="00294E2E">
        <w:rPr>
          <w:rFonts w:ascii="Cambria" w:eastAsia="Cambria" w:hAnsi="Cambria" w:cs="Cambria"/>
          <w:b/>
          <w:sz w:val="24"/>
          <w:szCs w:val="24"/>
          <w:lang w:val="en-AU" w:eastAsia="en-ID"/>
        </w:rPr>
        <w:t>Design</w:t>
      </w:r>
    </w:p>
    <w:p w:rsidR="00294E2E" w:rsidRPr="00294E2E" w:rsidRDefault="00294E2E" w:rsidP="00294E2E">
      <w:pPr>
        <w:spacing w:after="0" w:line="240" w:lineRule="auto"/>
        <w:ind w:firstLine="709"/>
        <w:jc w:val="both"/>
        <w:rPr>
          <w:rFonts w:ascii="Cambria" w:eastAsia="Cambria" w:hAnsi="Cambria" w:cs="Cambria"/>
          <w:color w:val="000000"/>
          <w:sz w:val="20"/>
          <w:szCs w:val="20"/>
          <w:lang w:val="en-AU" w:eastAsia="en-ID"/>
        </w:rPr>
      </w:pPr>
      <w:bookmarkStart w:id="3" w:name="_Hlk166748664"/>
      <w:r w:rsidRPr="00294E2E">
        <w:rPr>
          <w:rFonts w:ascii="Cambria" w:eastAsia="Cambria" w:hAnsi="Cambria" w:cs="Cambria"/>
          <w:sz w:val="20"/>
          <w:szCs w:val="20"/>
          <w:lang w:val="en-AU" w:eastAsia="en-ID"/>
        </w:rPr>
        <w:t xml:space="preserve">Activities in this stage involve designing teaching materials, where reading is defined as the process of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evaluating, and synthesizing information for decision making,</w:t>
      </w:r>
      <w:bookmarkEnd w:id="3"/>
      <w:r w:rsidRPr="00294E2E">
        <w:rPr>
          <w:rFonts w:ascii="Cambria" w:eastAsia="Cambria" w:hAnsi="Cambria" w:cs="Cambria"/>
          <w:sz w:val="20"/>
          <w:szCs w:val="20"/>
          <w:lang w:val="en-AU" w:eastAsia="en-ID"/>
        </w:rPr>
        <w:t xml:space="preserve"> as described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{"citationItems":[{"id":"ITEM-1","itemData":{"DOI":"10.1016/j.tsc.2024.101502","ISSN":"18711871","author":[{"dropping-particle":"","family":"Gomez Gomez","given":"Claudia Verónica","non-dropping-particle":"","parse-names":false,"suffix":""}],"container-title":"Thinking Skills and Creativity","id":"ITEM-1","issued":{"date-parts":[["2024","6"]]},"page":"101502","title":"Teaching entrepreneurship in higher education: The application active based learning activities to environmental protection","type":"article-journal","volume":"52"},"uris":["http://www.mendeley.com/documents/?uuid=7996d0bb-fb57-4c7c-8823-ac0da1847355"]}],"mendeley":{"formattedCitation":"(Gomez Gomez, 2024)","manualFormatting":"(Gomez Gomez, 2024 ; Zhu et al., 2023)","plainTextFormattedCitation":"(Gomez Gomez, 2024)","previouslyFormattedCitation":"(Gomez Gomez, 2024)"},"properties":{"noteIndex":0},"schema":"https://github.com/citation-style-language/schema/raw/master/csl-citation.json"}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1" w:history="1">
        <w:r w:rsidRPr="00294E2E">
          <w:rPr>
            <w:rFonts w:ascii="Cambria" w:eastAsia="Cambria" w:hAnsi="Cambria" w:cs="Cambria"/>
            <w:noProof/>
            <w:color w:val="0000FF"/>
            <w:sz w:val="20"/>
            <w:szCs w:val="20"/>
            <w:lang w:val="en-AU" w:eastAsia="en-ID"/>
          </w:rPr>
          <w:t xml:space="preserve">(Gomez Gomez,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iheduc.2023.100919","ISSN":"10967516","author":[{"dropping-particle":"","family":"Zhu","given":"Xinran","non-dropping-particle":"","parse-names":false,"suffix":""},{"dropping-particle":"","family":"Shui","given":"Hong","non-dropping-particle":"","parse-names":false,"suffix":""},{"dropping-particle":"","family":"Chen","given":"Bodong","non-dropping-particle":"","parse-names":false,"suffix":""}],"container-title":"The Internet and Higher Education","id":"ITEM-1","issued":{"date-parts":[["2023","10"]]},"page":"100919","title":"Beyond reading together: Facilitating knowledge construction through participation roles and social annotation in college classrooms","type":"article-journal","volume":"59"},"uris":["http://www.mendeley.com/documents/?uuid=7b60ffc9-bb83-4f2b-b917-d4c44512d420"]}],"mendeley":{"formattedCitation":"(Zhu et al., 2023)","manualFormatting":"Zhu et al., 2023)","plainTextFormattedCitation":"(Zhu et al., 2023)","previouslyFormattedCitation":"(Zhu et al.,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Zhu et al., 2023)</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Conventional strategies generally focus on improving students' knowledge through the use of the latest technology to accelerate reading speed, as observed in research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heliyon.2024.e25776","ISSN":"24058440","author":[{"dropping-particle":"","family":"Chen","given":"Xieling","non-dropping-particle":"","parse-names":false,"suffix":""},{"dropping-particle":"","family":"Zou","given":"Di","non-dropping-particle":"","parse-names":false,"suffix":""},{"dropping-particle":"","family":"Xie","given":"Haoran","non-dropping-particle":"","parse-names":false,"suffix":""},{"dropping-particle":"","family":"Wang","given":"Fu Lee","non-dropping-particle":"","parse-names":false,"suffix":""}],"container-title":"Heliyon","id":"ITEM-1","issue":"4","issued":{"date-parts":[["2024","2"]]},"page":"e25776","title":"Technology-enhanced higher education: Text mining and bibliometrics","type":"article-journal","volume":"10"},"uris":["http://www.mendeley.com/documents/?uuid=b1bceeb4-7e12-4e99-a94e-b17c289ac0a7"]}],"mendeley":{"formattedCitation":"(Chen et al., 2024)","manualFormatting":"(Chen et al., 2024 ; Mallik, 2023)","plainTextFormattedCitation":"(Chen et al., 2024)","previouslyFormattedCitation":"(Chen et al., 2024)"},"properties":{"noteIndex":0},"schema":"https://github.com/citation-style-language/schema/raw/master/csl-citation.json"}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2" w:history="1">
        <w:r w:rsidRPr="00294E2E">
          <w:rPr>
            <w:rFonts w:ascii="Cambria" w:eastAsia="Cambria" w:hAnsi="Cambria" w:cs="Cambria"/>
            <w:noProof/>
            <w:color w:val="0000FF"/>
            <w:sz w:val="20"/>
            <w:szCs w:val="20"/>
            <w:lang w:val="en-AU" w:eastAsia="en-ID"/>
          </w:rPr>
          <w:t xml:space="preserve">(Chen et al.,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{"citationItems":[{"id":"ITEM-1","itemData":{"DOI":"10.1016/j.rineng.2023.101356","ISSN":"25901230","author":[{"dropping-particle":"","family":"Mallik","given":"Awadesh Kumar","non-dropping-particle":"","parse-names":false,"suffix":""}],"container-title":"Results in Engineering","id":"ITEM-1","issued":{"date-parts":[["2023","9"]]},"page":"101356","title":"The future of the technology-based manufacturing in the European Union","type":"article-journal","volume":"19"},"uris":["http://www.mendeley.com/documents/?uuid=09775cd9-69c9-4e0c-87d1-235debf6d6cf"]}],"mendeley":{"formattedCitation":"(Mallik, 2023)","manualFormatting":"Mallik, 2023)","plainTextFormattedCitation":"(Mallik, 2023)","previouslyFormattedCitation":"(Mallik,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Mallik, 2023)</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This research represents a breakthrough in the development of technology-based reading comprehension programs for more advanced educational applications, as highlighted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techfore.2023.123076","ISSN":"00401625","author":[{"dropping-particle":"","family":"Ali","given":"Omar","non-dropping-particle":"","parse-names":false,"suffix":""},{"dropping-particle":"","family":"Murray","given":"Peter A.","non-dropping-particle":"","parse-names":false,"suffix":""},{"dropping-particle":"","family":"Momin","given":"Mujtaba","non-dropping-particle":"","parse-names":false,"suffix":""},{"dropping-particle":"","family":"Dwivedi","given":"Yogesh K.","non-dropping-particle":"","parse-names":false,"suffix":""},{"dropping-particle":"","family":"Malik","given":"Tegwen","non-dropping-particle":"","parse-names":false,"suffix":""}],"container-title":"Technological Forecasting and Social Change","id":"ITEM-1","issued":{"date-parts":[["2024","2"]]},"page":"123076","title":"The effects of artificial intelligence applications in educational settings: Challenges and strategies","type":"article-journal","volume":"199"},"uris":["http://www.mendeley.com/documents/?uuid=e843a9d1-62f0-4ee1-b401-dd70817227f7"]}],"mendeley":{"formattedCitation":"(Ali et al., 2024)","manualFormatting":"(Ali et al., 2024 ; Lin, 2023)","plainTextFormattedCitation":"(Ali et al., 2024)","previouslyFormattedCitation":"(Ali et al., 2024)"},"properties":{"noteIndex":0},"schema":"https://github.com/citation-style-language/schema/raw/master/csl-citation.json"}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3" w:history="1">
        <w:r w:rsidRPr="00294E2E">
          <w:rPr>
            <w:rFonts w:ascii="Cambria" w:eastAsia="Cambria" w:hAnsi="Cambria" w:cs="Cambria"/>
            <w:noProof/>
            <w:color w:val="0000FF"/>
            <w:sz w:val="20"/>
            <w:szCs w:val="20"/>
            <w:lang w:val="en-AU" w:eastAsia="en-ID"/>
          </w:rPr>
          <w:t xml:space="preserve">(Ali et al.,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{"citationItems":[{"id":"ITEM-1","itemData":{"DOI":"10.1016/j.compedu.2022.104710","ISSN":"03601315","author":[{"dropping-particle":"","family":"Lin","given":"Yu-Ren","non-dropping-particle":"","parse-names":false,"suffix":""}],"container-title":"Computers &amp; Education","id":"ITEM-1","issued":{"date-parts":[["2023","4"]]},"page":"104710","title":"An idiom-driven learning strategy to improve low achievers’ science comprehension, motivation, and argumentation.","type":"article-journal","volume":"195"},"uris":["http://www.mendeley.com/documents/?uuid=00d1091b-c265-4602-a02b-fda0af8718ae"]}],"mendeley":{"formattedCitation":"(Y.-R. Lin, 2023)","manualFormatting":"Lin, 2023)","plainTextFormattedCitation":"(Y.-R. Lin, 2023)","previouslyFormattedCitation":"(Y.-R. Lin,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Lin, 2023)</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Speed reading requires a flexible and curious attitude, a willingness to investigate the causes of phenomena, a desire to deepen knowledge, and an openness to consider multiple perspectives for analysis. In addition, a desire for creative reading is essentially required, which allows for the generation of ideas and a readiness to learn new things, as stated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iot.2023.100860","ISSN":"25426605","author":[{"dropping-particle":"","family":"Malik","given":"Hassaan","non-dropping-particle":"","parse-names":false,"suffix":""},{"dropping-particle":"","family":"Anees","given":"Tayyaba","non-dropping-particle":"","parse-names":false,"suffix":""},{"dropping-particle":"","family":"Faheem","given":"Muhammad","non-dropping-particle":"","parse-names":false,"suffix":""},{"dropping-particle":"","family":"Chaudhry","given":"Muhammad Umar","non-dropping-particle":"","parse-names":false,"suffix":""},{"dropping-particle":"","family":"Ali","given":"Aatka","non-dropping-particle":"","parse-names":false,"suffix":""},{"dropping-particle":"","family":"Asghar","given":"Muhammad Nabeel","non-dropping-particle":"","parse-names":false,"suffix":""}],"container-title":"Internet of Things","id":"ITEM-1","issued":{"date-parts":[["2023","10"]]},"page":"100860","title":"Blockchain and Internet of Things in smart cities and drug supply management: Open issues, opportunities, and future directions","type":"article-journal","volume":"23"},"uris":["http://www.mendeley.com/documents/?uuid=5578391a-ab07-4e8d-8cb6-82d9a277df0c"]}],"mendeley":{"formattedCitation":"(Malik et al., 2023)","manualFormatting":"(Malik et al., 2023 ; Formatting Citation)","plainTextFormattedCitation":"(Malik et al., 2023)","previouslyFormattedCitation":"(Malik et al., 2023)"},"properties":{"noteIndex":0},"schema":"https://github.com/citation-style-language/schema/raw/master/csl-citation.json"}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4" w:history="1">
        <w:r w:rsidRPr="00294E2E">
          <w:rPr>
            <w:rFonts w:ascii="Cambria" w:eastAsia="Cambria" w:hAnsi="Cambria" w:cs="Cambria"/>
            <w:noProof/>
            <w:color w:val="0000FF"/>
            <w:sz w:val="20"/>
            <w:szCs w:val="20"/>
            <w:lang w:val="en-AU" w:eastAsia="en-ID"/>
          </w:rPr>
          <w:t xml:space="preserve">(Malik et al., 2023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{"citationItems":[{"id":"ITEM-1","itemData":{"DOI":"10.1016/j.pbiomolbio.2023.12.003","ISSN":"00796107","author":[{"dropping-particle":"","family":"Kuhn","given":"Robert Lawrence","non-dropping-particle":"","parse-names":false,"suffix":""}],"container-title":"Progress in Biophysics and Molecular Biology","id":"ITEM-1","issued":{"date-parts":[["2024","1"]]},"title":"A Landscape of Consciousness: Toward a Taxonomy of Explanations and Implications","type":"article-journal"},"uris":["http://www.mendeley.com/documents/?uuid=1c1ec8ee-8d77-4434-a982-bfe668eda01f"]}],"mendeley":{"formattedCitation":"(Kuhn, 2024)","manualFormatting":"Formatting Citation)","plainTextFormattedCitation":"(Kuhn, 2024)","previouslyFormattedCitation":"(Kuhn, 2024)"},"properties":{"noteIndex":0},"schema":"https://github.com/citation-style-language/schema/raw/master/csl-citation.json"}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Formatting Citation)</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w:t>
      </w:r>
    </w:p>
    <w:p w:rsidR="00294E2E" w:rsidRPr="00294E2E" w:rsidRDefault="00294E2E" w:rsidP="00294E2E">
      <w:pPr>
        <w:spacing w:after="0" w:line="240" w:lineRule="auto"/>
        <w:ind w:firstLine="720"/>
        <w:jc w:val="both"/>
        <w:rPr>
          <w:rFonts w:ascii="Times New Roman" w:eastAsia="MS Mincho" w:hAnsi="Times New Roman" w:cs="Times New Roman"/>
          <w:sz w:val="24"/>
          <w:szCs w:val="24"/>
          <w:lang w:val="en-AU" w:eastAsia="en-ID"/>
        </w:rPr>
      </w:pPr>
      <w:bookmarkStart w:id="4" w:name="_Hlk166748721"/>
      <w:r w:rsidRPr="00294E2E">
        <w:rPr>
          <w:rFonts w:ascii="Cambria" w:eastAsia="Cambria" w:hAnsi="Cambria" w:cs="Cambria"/>
          <w:sz w:val="20"/>
          <w:szCs w:val="20"/>
          <w:lang w:val="en-AU" w:eastAsia="en-ID"/>
        </w:rPr>
        <w:t xml:space="preserve">This review focuses on </w:t>
      </w:r>
      <w:proofErr w:type="spellStart"/>
      <w:r w:rsidRPr="00294E2E">
        <w:rPr>
          <w:rFonts w:ascii="Cambria" w:eastAsia="Cambria" w:hAnsi="Cambria" w:cs="Cambria"/>
          <w:sz w:val="20"/>
          <w:szCs w:val="20"/>
          <w:lang w:val="en-AU" w:eastAsia="en-ID"/>
        </w:rPr>
        <w:t>analyzing</w:t>
      </w:r>
      <w:proofErr w:type="spellEnd"/>
      <w:r w:rsidRPr="00294E2E">
        <w:rPr>
          <w:rFonts w:ascii="Cambria" w:eastAsia="Cambria" w:hAnsi="Cambria" w:cs="Cambria"/>
          <w:sz w:val="20"/>
          <w:szCs w:val="20"/>
          <w:lang w:val="en-AU" w:eastAsia="en-ID"/>
        </w:rPr>
        <w:t>, evaluating, and summarizing studies based on responses to the review questions,</w:t>
      </w:r>
      <w:bookmarkEnd w:id="4"/>
      <w:r w:rsidRPr="00294E2E">
        <w:rPr>
          <w:rFonts w:ascii="Cambria" w:eastAsia="Cambria" w:hAnsi="Cambria" w:cs="Cambria"/>
          <w:sz w:val="20"/>
          <w:szCs w:val="20"/>
          <w:lang w:val="en-AU" w:eastAsia="en-ID"/>
        </w:rPr>
        <w:t xml:space="preserve"> such as those conducted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ctim.2023.102999","ISSN":"09652299","author":[{"dropping-particle":"","family":"Gaertner","given":"Katharina","non-dropping-particle":"","parse-names":false,"suffix":""},{"dropping-particle":"","family":"Ulbrich-Zürni","given":"Susanne","non-dropping-particle":"","parse-names":false,"suffix":""},{"dropping-particle":"","family":"Baumgartner","given":"Stephan","non-dropping-particle":"","parse-names":false,"suffix":""},{"dropping-particle":"","family":"Walach","given":"Harald","non-dropping-particle":"","parse-names":false,"suffix":""},{"dropping-particle":"","family":"Frass","given":"Michael","non-dropping-particle":"","parse-names":false,"suffix":""},{"dropping-particle":"","family":"Weiermayer","given":"Petra","non-dropping-particle":"","parse-names":false,"suffix":""}],"container-title":"Complementary Therapies in Medicine","id":"ITEM-1","issued":{"date-parts":[["2023","12"]]},"page":"102999","title":"Systematic reviews and meta-analyses in Homeopathy: Recommendations for summarising evidence from homeopathic intervention studies (Sum-HomIS recommendations)","type":"article-journal","volume":"79"},"uris":["http://www.mendeley.com/documents/?uuid=3c560217-3a6b-42cc-b939-764f0e5b4773"]}],"mendeley":{"formattedCitation":"(Gaertner et al., 2023)","manualFormatting":"(Gaertner et al., 2023 ; Gao et al., 2024)","plainTextFormattedCitation":"(Gaertner et al., 2023)","previouslyFormattedCitation":"(Gaertner et al., 2023)"},"properties":{"noteIndex":0},"schema":"https://github.com/citation-style-language/schema/raw/master/csl-citation.json"}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5" w:history="1">
        <w:r w:rsidRPr="00294E2E">
          <w:rPr>
            <w:rFonts w:ascii="Cambria" w:eastAsia="Cambria" w:hAnsi="Cambria" w:cs="Cambria"/>
            <w:noProof/>
            <w:color w:val="0000FF"/>
            <w:sz w:val="20"/>
            <w:szCs w:val="20"/>
            <w:lang w:val="en-AU" w:eastAsia="en-ID"/>
          </w:rPr>
          <w:t xml:space="preserve">(Gaertner et al., 2023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caeai.2024.100206","ISSN":"2666920X","author":[{"dropping-particle":"","family":"Gao","given":"Rujun","non-dropping-particle":"","parse-names":false,"suffix":""},{"dropping-particle":"","family":"Merzdorf","given":"Hillary E.","non-dropping-particle":"","parse-names":false,"suffix":""},{"dropping-particle":"","family":"Anwar","given":"Saira","non-dropping-particle":"","parse-names":false,"suffix":""},{"dropping-particle":"","family":"Hipwell","given":"M. Cynthia","non-dropping-particle":"","parse-names":false,"suffix":""},{"dropping-particle":"","family":"Srinivasa","given":"Arun R.","non-dropping-particle":"","parse-names":false,"suffix":""}],"container-title":"Computers and Education: Artificial Intelligence","id":"ITEM-1","issued":{"date-parts":[["2024","6"]]},"page":"100206","title":"Automatic assessment of text-based responses in post-secondary education: A systematic review","type":"article-journal","volume":"6"},"uris":["http://www.mendeley.com/documents/?uuid=bcaaa8ee-0458-4189-bc80-52dfd2048478"]}],"mendeley":{"formattedCitation":"(Gao et al., 2024)","manualFormatting":"Gao et al., 2024)","plainTextFormattedCitation":"(Gao et al., 2024)","previouslyFormattedCitation":"(Gao et al., 2024)"},"properties":{"noteIndex":0},"schema":"https://github.com/citation-style-language/schema/raw/master/csl-citation.json"}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Gao et al., 2024)</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Reading is considered an important skill that must be improved in 21st century learning. The cognitive approach integrates various theories, such as constructivist learning theory, cognitive development theory, </w:t>
      </w:r>
      <w:proofErr w:type="spellStart"/>
      <w:r w:rsidRPr="00294E2E">
        <w:rPr>
          <w:rFonts w:ascii="Cambria" w:eastAsia="Cambria" w:hAnsi="Cambria" w:cs="Cambria"/>
          <w:sz w:val="20"/>
          <w:szCs w:val="20"/>
          <w:lang w:val="en-AU" w:eastAsia="en-ID"/>
        </w:rPr>
        <w:t>sociocognitive</w:t>
      </w:r>
      <w:proofErr w:type="spellEnd"/>
      <w:r w:rsidRPr="00294E2E">
        <w:rPr>
          <w:rFonts w:ascii="Cambria" w:eastAsia="Cambria" w:hAnsi="Cambria" w:cs="Cambria"/>
          <w:sz w:val="20"/>
          <w:szCs w:val="20"/>
          <w:lang w:val="en-AU" w:eastAsia="en-ID"/>
        </w:rPr>
        <w:t xml:space="preserve"> theory, cognitive information processing theory, and adult education theory, all of which form the basis of principles that encourage students to use reading media in constructing new knowledge effectively, as </w:t>
      </w:r>
      <w:r w:rsidRPr="00294E2E">
        <w:rPr>
          <w:rFonts w:ascii="Cambria" w:eastAsia="Cambria" w:hAnsi="Cambria" w:cs="Cambria"/>
          <w:sz w:val="20"/>
          <w:szCs w:val="20"/>
          <w:lang w:val="en-AU" w:eastAsia="en-ID"/>
        </w:rPr>
        <w:lastRenderedPageBreak/>
        <w:t xml:space="preserve">described by </w:t>
      </w:r>
      <w:hyperlink r:id="rId56"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{"citationItems":[{"id":"ITEM-1","itemData":{"DOI":"10.22219/jinop.v2i2.2629","ISSN":"2460-0873","abstract":"ABSTRAKMasalah penelitian adalah rendahnya kemampuan berfikir kreatif mahasiswa dalam menyelesaikan masalah. Tujuan penelitian menghasilkan modul pembelajaran berbasis masalah yang dapat membantu meningkatkan berfikir kreatif mahasiswa.Pengembangan modul menggunakan model 4D Thiagarajan dan Semmel, tetapi yang digunakan hanya 3D yaitu pendefinisian, perancangan, dan pengembangan.Untuk penyebaran tidak dilaksanakan karena tidak bertujuan melakukan generalisasi. Sasaran uji coba produk mahasiswa prodi PPKn STKIP PGRI Blitar angkatan 2014/2015.Istrumen merekam data menggunakan lembar validasi, lembar observasi, tes penguasaan bahan ajar, dan angket respon mahasiswa.Analisis data menggunakan analisis deskriptif kualitatif dan analisis statistik deskriptif. Hasil penelitian (1) berdasarkan kriteria yang telah ditetapkan semua instrumen memenuhi kevalidan (2) kepraktisan modul dengan aspek keterlaksanaan modul mencapai skor 78.17% masuk dalam kategori baik (3) aktivitas dosen dalam pembelajaran mencapai skor 83.06 masuk dalam kategori aktif (4) Dilihat dari aspek keefektifan modul dengan indikator ketuntasan belajar mencapai skor 90.27% dikatakan tuntas, aktivitas mahasiswa mencapai skor 76.61% masuk dalam kategori aktif. Respon mahasiswa atas penggunaan modul mencapai skor 1.66% memberi respon positif.Dengan mengacu pada indikator tersebut dapat disimpulkan bahwa modul PBL ini telah memenuhi syarat valid, praktis dan efektif. Kata Kunci : Modul , Problem Based Learning, Berfikir Kreatif Research problem is lack of creative thinking abilities of students to solve problems. The purpose of resulting of this research is a problem-based learning models which increase the ability of creative thinking of students. This module develop by using 4D model Thiagarajan and Semme, but only used the 3D model they are defining, designing, and developing. Dessemination is not executed because it does not aim to generalize. Target of resulting product are students of major PPKn in STKIP PGRI BLITAR 2014/201. Instruments to record data is using a validation sheets, observation sheets, test mastery of material, and students responses questioner. Data analysis use descriptive analysis of qualitative and descriptive statistic statistical analysis. Research result depends on (1) a criteria which established all the instruments are valid. (2) Practically modules which implementation aspect modules are 78.18% which get good score (3) Lecturer activity in learning are 83.06% which ge…","author":[{"dropping-particle":"","family":"Erawanto","given":"Udin","non-dropping-particle":"","parse-names":false,"suffix":""},{"dropping-particle":"","family":"Santoso","given":"Ekbal","non-dropping-particle":"","parse-names":false,"suffix":""}],"container-title":"JINoP (Jurnal Inovasi Pembelajaran)","id":"ITEM-1","issue":"2","issued":{"date-parts":[["2016","11","26"]]},"page":"427","title":"Pengembangan Modul Pembelajaran Berbasis Masalah Untuk Membantu Meningkatkan Berfikir Kreatif Mahasiswa","type":"article-journal","volume":"2"},"uris":["http://www.mendeley.com/documents/?uuid=28ad91b5-8b6d-43f8-a9c7-6b604cd4e504"]}],"mendeley":{"formattedCitation":"(Erawanto &amp; Santoso, 2016)","manualFormatting":"(Erawanto &amp; Santoso, 2016","plainTextFormattedCitation":"(Erawanto &amp; Santoso, 2016)","previouslyFormattedCitation":"(Erawanto &amp; Santoso, 2016)"},"properties":{"noteIndex":0},"schema":"https://github.com/citation-style-language/schema/raw/master/csl-citation.json"}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(Erawanto &amp; Santoso, 2016</w:t>
        </w:r>
        <w:r w:rsidRPr="00294E2E">
          <w:rPr>
            <w:rFonts w:ascii="Cambria" w:eastAsia="Cambria" w:hAnsi="Cambria" w:cs="Cambria"/>
            <w:color w:val="0000FF"/>
            <w:sz w:val="20"/>
            <w:szCs w:val="20"/>
            <w:lang w:val="en-AU" w:eastAsia="en-ID"/>
          </w:rPr>
          <w:fldChar w:fldCharType="end"/>
        </w:r>
        <w:r w:rsidRPr="00294E2E">
          <w:rPr>
            <w:rFonts w:ascii="Cambria" w:eastAsia="Cambria" w:hAnsi="Cambria" w:cs="Cambria"/>
            <w:color w:val="0000FF"/>
            <w:sz w:val="20"/>
            <w:szCs w:val="20"/>
            <w:lang w:val="en-AU" w:eastAsia="en-ID"/>
          </w:rPr>
          <w:t xml:space="preserve">; </w:t>
        </w:r>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{"citationItems":[{"id":"ITEM-1","itemData":{"DOI":"10.1016/j.kjss.2016.05.002","ISSN":"24523151","abstract":"The main purposes of this research are to develop, implement, and evaluate an instructional model based on the cognitive approach to enhance critical thinking among trainee students and to develop their abilities in teaching critical thinking to learners. The model was designed utilizing 4 main components of research and development processes and implemented with 15 trainee students whose majors were English and Khmer at the Regional Teacher Training Center. The received data was analyzed using scoring rubrics, descriptive statistics, the Wilcoxon test, and content analysis. The results revealed that there were 6 main components of the developed instructional model: principle, objective, learning content, learning instruction, learning materials, and evaluation. The developed instructional model was at the highest level of applicability (X¯ = 4.21, SD = 0.23). Critical thinking learning instruction was designed into 8 steps consisting of: triggering activity, identifying problem, investigating related data, discussing findings, evaluating findings, creating solutions, presenting solutions, and reflecting learning outcome. Trainee students' post critical thinking was much higher than pre-critical thinking implementation, while their abilities in teaching critical thinking were at the exemplary level (X¯ = 20.62, SD = 0.28). Trainee students' perceptions toward learning critical thinking and teaching instruction were at the highest level (X¯ = 4.28, SD = 0.19).","author":[{"dropping-particle":"","family":"Vong","given":"Sam Aun","non-dropping-particle":"","parse-names":false,"suffix":""},{"dropping-particle":"","family":"Kaewurai","given":"Wareerat","non-dropping-particle":"","parse-names":false,"suffix":""}],"container-title":"Kasetsart Journal of Social Sciences","id":"ITEM-1","issue":"1","issued":{"date-parts":[["2017"]]},"page":"88-95","publisher":"Elsevier Ltd","title":"Instructional model development to enhance critical thinking and critical thinking teaching ability of trainee students at regional teaching training center in Takeo province, Cambodia","type":"article-journal","volume":"38"},"uris":["http://www.mendeley.com/documents/?uuid=d8155376-c5e4-4b03-b9d3-c0601176b029"]}],"mendeley":{"formattedCitation":"(Vong &amp; Kaewurai, 2017)","manualFormatting":"Vong &amp; Kaewurai, 2017)","plainTextFormattedCitation":"(Vong &amp; Kaewurai, 2017)","previouslyFormattedCitation":"(Vong &amp; Kaewurai, 2017)"},"properties":{"noteIndex":0},"schema":"https://github.com/citation-style-language/schema/raw/master/csl-citation.json"}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Vong &amp; Kaewurai, 2017)</w:t>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Pre-test and post-test data were collected using test techniques, where the pre-test was conducted before the learning process began, while the post-test was conducted after the application of the learning materials.</w:t>
      </w:r>
      <w:r w:rsidRPr="00294E2E">
        <w:rPr>
          <w:rFonts w:ascii="Times New Roman" w:eastAsia="MS Mincho" w:hAnsi="Times New Roman" w:cs="Times New Roman"/>
          <w:sz w:val="24"/>
          <w:szCs w:val="24"/>
          <w:lang w:val="en-AU" w:eastAsia="en-ID"/>
        </w:rPr>
        <w:t xml:space="preserve"> </w:t>
      </w:r>
    </w:p>
    <w:p w:rsidR="00294E2E" w:rsidRPr="00294E2E" w:rsidRDefault="00294E2E" w:rsidP="00294E2E">
      <w:pPr>
        <w:spacing w:after="0" w:line="240" w:lineRule="auto"/>
        <w:ind w:firstLine="720"/>
        <w:jc w:val="both"/>
        <w:rPr>
          <w:rFonts w:ascii="Times New Roman" w:eastAsia="MS Mincho" w:hAnsi="Times New Roman" w:cs="Times New Roman"/>
          <w:sz w:val="24"/>
          <w:szCs w:val="24"/>
          <w:lang w:val="en-AU" w:eastAsia="en-ID"/>
        </w:rPr>
      </w:pPr>
      <w:r w:rsidRPr="00294E2E">
        <w:rPr>
          <w:rFonts w:ascii="Cambria" w:eastAsia="Cambria" w:hAnsi="Cambria" w:cs="Cambria"/>
          <w:sz w:val="20"/>
          <w:szCs w:val="20"/>
          <w:lang w:val="en-AU" w:eastAsia="en-ID"/>
        </w:rPr>
        <w:t xml:space="preserve">The research instrument used is the System Thinking Inventory (STI), which is formed as a collection of multiple choice questions to measure student learning achievement, focusing on 15 indicators of system thinking, as developed by  </w:t>
      </w:r>
      <w:hyperlink r:id="rId57"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S1474-6670(17)53048-7","ISSN":"14746670","author":[{"dropping-particle":"","family":"Zhang","given":"Zhong-Jun","non-dropping-particle":"","parse-names":false,"suffix":""},{"dropping-particle":"","family":"Yang","given":"Jian-Bo","non-dropping-particle":"","parse-names":false,"suffix":""},{"dropping-particle":"","family":"Xu","given":"Dong-Ling","non-dropping-particle":"","parse-names":false,"suffix":""}],"container-title":"IFAC Proceedings Volumes","id":"ITEM-1","issue":"12","issued":{"date-parts":[["1989","9"]]},"page":"13-18","title":"A Hierarchical Analysis Model for Multiobjective Decisionmaking","type":"article-journal","volume":"22"},"uris":["http://www.mendeley.com/documents/?uuid=d3b5ad23-0a6d-4eed-91cd-e952572d0385"]}],"mendeley":{"formattedCitation":"(Z.-J. Zhang et al., 1989)","plainTextFormattedCitation":"(Z.-J. Zhang et al., 1989)","previouslyFormattedCitation":"(Z.-J. Zhang et al., 1989)"},"properties":{"noteIndex":0},"schema":"https://github.com/citation-style-language/schema/raw/master/csl-citation.json"}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(Z.-J. Zhang et al., 1989)</w:t>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 xml:space="preserve">. Building reading skills is crucial in preparing quality students. By incorporating reading learning, students are given the opportunity to process information, evaluate its sources, and refrain from immediately choosing the seemingly "right" or only answer, as discussed by </w:t>
      </w:r>
      <w:hyperlink r:id="rId58" w:history="1">
        <w:r w:rsidRPr="00294E2E">
          <w:rPr>
            <w:rFonts w:ascii="Cambria" w:eastAsia="Cambria" w:hAnsi="Cambria" w:cs="Cambria"/>
            <w:color w:val="0000FF"/>
            <w:sz w:val="20"/>
            <w:szCs w:val="20"/>
            <w:lang w:val="en-AU" w:eastAsia="en-ID"/>
          </w:rPr>
          <w:fldChar w:fldCharType="begin" w:fldLock="1"/>
        </w:r>
        <w:r w:rsidRPr="00294E2E">
          <w:rPr>
            <w:rFonts w:ascii="Cambria" w:eastAsia="Cambria" w:hAnsi="Cambria" w:cs="Cambria"/>
            <w:color w:val="0000FF"/>
            <w:sz w:val="20"/>
            <w:szCs w:val="20"/>
            <w:lang w:val="en-AU" w:eastAsia="en-ID"/>
          </w:rPr>
          <w:instrText>ADDIN CSL_CITATION {"citationItems":[{"id":"ITEM-1","itemData":{"DOI":"10.1016/j.psychsport.2021.101902","ISSN":"14690292","author":[{"dropping-particle":"","family":"Sturm","given":"David J.","non-dropping-particle":"","parse-names":false,"suffix":""},{"dropping-particle":"","family":"Bachner","given":"Joachim","non-dropping-particle":"","parse-names":false,"suffix":""},{"dropping-particle":"","family":"Renninger","given":"Denise","non-dropping-particle":"","parse-names":false,"suffix":""},{"dropping-particle":"","family":"Haug","given":"Stephan","non-dropping-particle":"","parse-names":false,"suffix":""},{"dropping-particle":"","family":"Demetriou","given":"Yolanda","non-dropping-particle":"","parse-names":false,"suffix":""}],"container-title":"Psychology of Sport and Exercise","id":"ITEM-1","issued":{"date-parts":[["2021","5"]]},"page":"101902","title":"A cluster randomized trial to evaluate need-supportive teaching in physical education on physical activity of sixth-grade girls: A mixed method study","type":"article-journal","volume":"54"},"uris":["http://www.mendeley.com/documents/?uuid=43f6036b-4252-4458-906b-71c15d7b00b4"]}],"mendeley":{"formattedCitation":"(Sturm et al., 2021)","plainTextFormattedCitation":"(Sturm et al., 2021)","previouslyFormattedCitation":"(Sturm et al., 2021)"},"properties":{"noteIndex":0},"schema":"https://github.com/citation-style-language/schema/raw/master/csl-citation.json"}</w:instrText>
        </w:r>
        <w:r w:rsidRPr="00294E2E">
          <w:rPr>
            <w:rFonts w:ascii="Cambria" w:eastAsia="Cambria" w:hAnsi="Cambria" w:cs="Cambria"/>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(Sturm et al., 2021)</w:t>
        </w:r>
        <w:r w:rsidRPr="00294E2E">
          <w:rPr>
            <w:rFonts w:ascii="Cambria" w:eastAsia="Cambria" w:hAnsi="Cambria" w:cs="Cambria"/>
            <w:color w:val="0000FF"/>
            <w:sz w:val="20"/>
            <w:szCs w:val="20"/>
            <w:lang w:val="en-AU" w:eastAsia="en-ID"/>
          </w:rPr>
          <w:fldChar w:fldCharType="end"/>
        </w:r>
      </w:hyperlink>
      <w:r w:rsidRPr="00294E2E">
        <w:rPr>
          <w:rFonts w:ascii="Cambria" w:eastAsia="Cambria" w:hAnsi="Cambria" w:cs="Cambria"/>
          <w:sz w:val="20"/>
          <w:szCs w:val="20"/>
          <w:lang w:val="en-AU" w:eastAsia="en-ID"/>
        </w:rPr>
        <w:t>.</w:t>
      </w:r>
      <w:r w:rsidRPr="00294E2E">
        <w:rPr>
          <w:rFonts w:ascii="Times New Roman" w:eastAsia="MS Mincho" w:hAnsi="Times New Roman" w:cs="Times New Roman"/>
          <w:sz w:val="24"/>
          <w:szCs w:val="24"/>
          <w:lang w:val="en-AU" w:eastAsia="en-ID"/>
        </w:rPr>
        <w:t xml:space="preserve"> </w:t>
      </w:r>
    </w:p>
    <w:p w:rsidR="00294E2E" w:rsidRPr="00294E2E" w:rsidRDefault="00294E2E" w:rsidP="00294E2E">
      <w:pPr>
        <w:spacing w:after="0" w:line="240" w:lineRule="auto"/>
        <w:ind w:firstLine="720"/>
        <w:jc w:val="both"/>
        <w:rPr>
          <w:rFonts w:ascii="Cambria" w:eastAsia="Cambria" w:hAnsi="Cambria" w:cs="Cambria"/>
          <w:sz w:val="20"/>
          <w:szCs w:val="20"/>
          <w:lang w:val="en-AU" w:eastAsia="en-ID"/>
        </w:rPr>
      </w:pPr>
      <w:r w:rsidRPr="00294E2E">
        <w:rPr>
          <w:rFonts w:ascii="Cambria" w:eastAsia="Cambria" w:hAnsi="Cambria" w:cs="Cambria"/>
          <w:sz w:val="20"/>
          <w:szCs w:val="20"/>
          <w:lang w:val="en-AU" w:eastAsia="en-ID"/>
        </w:rPr>
        <w:t xml:space="preserve">To respond to these challenges, students in primary school conducted an analysis of Indonesian language textbooks, focusing on the information processing and evaluative activities provided to them, as described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j.tsc.2024.101513","ISSN":"18711871","author":[{"dropping-particle":"","family":"Fernandes","given":"Ricky","non-dropping-particle":"","parse-names":false,"suffix":""},{"dropping-particle":"","family":"Willison","given":"John","non-dropping-particle":"","parse-names":false,"suffix":""},{"dropping-particle":"","family":"Boyle","given":"Christopher","non-dropping-particle":"","parse-names":false,"suffix":""}],"container-title":"Thinking Skills and Creativity","id":"ITEM-1","issued":{"date-parts":[["2024","6"]]},"page":"101513","title":"Characteristics of facilitated critical thinking when students listen to and speak English as an additional language in Indonesia","type":"article-journal","volume":"52"},"uris":["http://www.mendeley.com/documents/?uuid=63a0c975-c2df-4e96-99eb-ae786c719193"]}],"mendeley":{"formattedCitation":"(Fernandes et al., 2024)","manualFormatting":"(Fernandes et al., 2024 ; Crosthwaite et al., 2021)","plainTextFormattedCitation":"(Fernandes et al., 2024)","previouslyFormattedCitation":"(Fernandes et al., 2024)"},"properties":{"noteIndex":0},"schema":"https://github.com/citation-style-language/schema/raw/master/csl-citation.json"}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59" w:history="1">
        <w:r w:rsidRPr="00294E2E">
          <w:rPr>
            <w:rFonts w:ascii="Cambria" w:eastAsia="Cambria" w:hAnsi="Cambria" w:cs="Cambria"/>
            <w:noProof/>
            <w:color w:val="0000FF"/>
            <w:sz w:val="20"/>
            <w:szCs w:val="20"/>
            <w:lang w:val="en-AU" w:eastAsia="en-ID"/>
          </w:rPr>
          <w:t xml:space="preserve">(Fernandes et al., 2024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acorp.2021.100003","ISSN":"26667991","author":[{"dropping-particle":"","family":"Crosthwaite","given":"Peter","non-dropping-particle":"","parse-names":false,"suffix":""},{"dropping-particle":"","family":"Luciana","given":"","non-dropping-particle":"","parse-names":false,"suffix":""},{"dropping-particle":"","family":"Schweinberger","given":"Martin","non-dropping-particle":"","parse-names":false,"suffix":""}],"container-title":"Applied Corpus Linguistics","id":"ITEM-1","issue":"1","issued":{"date-parts":[["2021","4"]]},"page":"100003","title":"Voices from the periphery: Perceptions of Indonesian primary vs secondary pre-service teacher trainees about corpora and data-driven learning in the L2 English classroom","type":"article-journal","volume":"1"},"uris":["http://www.mendeley.com/documents/?uuid=93890c11-3dca-4201-9a30-5f7794157d01"]}],"mendeley":{"formattedCitation":"(Crosthwaite et al., 2021)","manualFormatting":"Crosthwaite et al., 2021)","plainTextFormattedCitation":"(Crosthwaite et al., 2021)","previouslyFormattedCitation":"(Crosthwaite et al., 2021)"},"properties":{"noteIndex":0},"schema":"https://github.com/citation-style-language/schema/raw/master/csl-citation.json"}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Crosthwaite et al., 2021)</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Before and after the learning, each student completed a self-assessment of their overall understanding of the learning and their cross-cultural knowledge and skills. Although the importance of reading comprehension in group discussions may appear to be a conceptual unity in the literature, in reality, the field of psychology has yet to fully understand speed reading in students, as emphasized by </w:t>
      </w:r>
      <w:r w:rsidRPr="00294E2E">
        <w:rPr>
          <w:rFonts w:ascii="Cambria" w:eastAsia="Cambria" w:hAnsi="Cambria" w:cs="Cambria"/>
          <w:sz w:val="20"/>
          <w:szCs w:val="20"/>
          <w:lang w:val="en-AU" w:eastAsia="en-ID"/>
        </w:rPr>
        <w:fldChar w:fldCharType="begin" w:fldLock="1"/>
      </w:r>
      <w:r w:rsidRPr="00294E2E">
        <w:rPr>
          <w:rFonts w:ascii="Cambria" w:eastAsia="Cambria" w:hAnsi="Cambria" w:cs="Cambria"/>
          <w:sz w:val="20"/>
          <w:szCs w:val="20"/>
          <w:lang w:val="en-AU" w:eastAsia="en-ID"/>
        </w:rPr>
        <w:instrText>ADDIN CSL_CITATION {"citationItems":[{"id":"ITEM-1","itemData":{"DOI":"10.1016/S1041-6080(00)80007-2","ISSN":"10416080","author":[{"dropping-particle":"","family":"Roberts","given":"Richard D","non-dropping-particle":"","parse-names":false,"suffix":""},{"dropping-particle":"","family":"Stankov","given":"Lazar","non-dropping-particle":"","parse-names":false,"suffix":""}],"container-title":"Learning and Individual Differences","id":"ITEM-1","issue":"1","issued":{"date-parts":[["1999","1"]]},"page":"1-120","title":"Individual differences in speed of mental processing and human cognitive abilities: Toward a taxonomic model","type":"article-journal","volume":"11"},"uris":["http://www.mendeley.com/documents/?uuid=93a887df-cbc9-4161-95a0-9f1924d0dd26"]}],"mendeley":{"formattedCitation":"(Roberts &amp; Stankov, 1999)","manualFormatting":"(Roberts &amp; Stankov, 1999 ; Formatting Citation)","plainTextFormattedCitation":"(Roberts &amp; Stankov, 1999)","previouslyFormattedCitation":"(Roberts &amp; Stankov, 1999)"},"properties":{"noteIndex":0},"schema":"https://github.com/citation-style-language/schema/raw/master/csl-citation.json"}</w:instrText>
      </w:r>
      <w:r w:rsidRPr="00294E2E">
        <w:rPr>
          <w:rFonts w:ascii="Cambria" w:eastAsia="Cambria" w:hAnsi="Cambria" w:cs="Cambria"/>
          <w:sz w:val="20"/>
          <w:szCs w:val="20"/>
          <w:lang w:val="en-AU" w:eastAsia="en-ID"/>
        </w:rPr>
        <w:fldChar w:fldCharType="separate"/>
      </w:r>
      <w:hyperlink r:id="rId60" w:history="1">
        <w:r w:rsidRPr="00294E2E">
          <w:rPr>
            <w:rFonts w:ascii="Cambria" w:eastAsia="Cambria" w:hAnsi="Cambria" w:cs="Cambria"/>
            <w:noProof/>
            <w:color w:val="0000FF"/>
            <w:sz w:val="20"/>
            <w:szCs w:val="20"/>
            <w:lang w:val="en-AU" w:eastAsia="en-ID"/>
          </w:rPr>
          <w:t xml:space="preserve">(Roberts &amp; Stankov, 1999 ; </w:t>
        </w:r>
        <w:r w:rsidRPr="00294E2E">
          <w:rPr>
            <w:rFonts w:ascii="Cambria" w:eastAsia="Cambria" w:hAnsi="Cambria" w:cs="Cambria"/>
            <w:noProof/>
            <w:color w:val="0000FF"/>
            <w:sz w:val="20"/>
            <w:szCs w:val="20"/>
            <w:lang w:val="en-AU" w:eastAsia="en-ID"/>
          </w:rPr>
          <w:fldChar w:fldCharType="begin" w:fldLock="1"/>
        </w:r>
        <w:r w:rsidRPr="00294E2E">
          <w:rPr>
            <w:rFonts w:ascii="Cambria" w:eastAsia="Cambria" w:hAnsi="Cambria" w:cs="Cambria"/>
            <w:noProof/>
            <w:color w:val="0000FF"/>
            <w:sz w:val="20"/>
            <w:szCs w:val="20"/>
            <w:lang w:val="en-AU" w:eastAsia="en-ID"/>
          </w:rPr>
          <w:instrText>ADDIN CSL_CITATION {"citationItems":[{"id":"ITEM-1","itemData":{"DOI":"10.1016/j.fsisyn.2022.100313","ISSN":"2589871X","author":[{"dropping-particle":"","family":"Reedy","given":"Paul","non-dropping-particle":"","parse-names":false,"suffix":""}],"container-title":"Forensic Science International: Synergy","id":"ITEM-1","issued":{"date-parts":[["2023"]]},"page":"100313","title":"Interpol review of digital evidence for 2019–2022","type":"article-journal","volume":"6"},"uris":["http://www.mendeley.com/documents/?uuid=e61b5262-9fa4-4858-8962-77c000401981"]}],"mendeley":{"formattedCitation":"(Reedy, 2023)","manualFormatting":"Formatting Citation)","plainTextFormattedCitation":"(Reedy, 2023)","previouslyFormattedCitation":"(Reedy, 2023)"},"properties":{"noteIndex":0},"schema":"https://github.com/citation-style-language/schema/raw/master/csl-citation.json"}</w:instrText>
        </w:r>
        <w:r w:rsidRPr="00294E2E">
          <w:rPr>
            <w:rFonts w:ascii="Cambria" w:eastAsia="Cambria" w:hAnsi="Cambria" w:cs="Cambria"/>
            <w:noProof/>
            <w:color w:val="0000FF"/>
            <w:sz w:val="20"/>
            <w:szCs w:val="20"/>
            <w:lang w:val="en-AU" w:eastAsia="en-ID"/>
          </w:rPr>
          <w:fldChar w:fldCharType="separate"/>
        </w:r>
        <w:r w:rsidRPr="00294E2E">
          <w:rPr>
            <w:rFonts w:ascii="Cambria" w:eastAsia="Cambria" w:hAnsi="Cambria" w:cs="Cambria"/>
            <w:noProof/>
            <w:color w:val="0000FF"/>
            <w:sz w:val="20"/>
            <w:szCs w:val="20"/>
            <w:lang w:val="en-AU" w:eastAsia="en-ID"/>
          </w:rPr>
          <w:t>Formatting Citation)</w:t>
        </w:r>
        <w:r w:rsidRPr="00294E2E">
          <w:rPr>
            <w:rFonts w:ascii="Cambria" w:eastAsia="Cambria" w:hAnsi="Cambria" w:cs="Cambria"/>
            <w:noProof/>
            <w:color w:val="0000FF"/>
            <w:sz w:val="20"/>
            <w:szCs w:val="20"/>
            <w:lang w:val="en-AU" w:eastAsia="en-ID"/>
          </w:rPr>
          <w:fldChar w:fldCharType="end"/>
        </w:r>
      </w:hyperlink>
      <w:r w:rsidRPr="00294E2E">
        <w:rPr>
          <w:rFonts w:ascii="Cambria" w:eastAsia="Cambria" w:hAnsi="Cambria" w:cs="Cambria"/>
          <w:sz w:val="20"/>
          <w:szCs w:val="20"/>
          <w:lang w:val="en-AU" w:eastAsia="en-ID"/>
        </w:rPr>
        <w:fldChar w:fldCharType="end"/>
      </w:r>
      <w:r w:rsidRPr="00294E2E">
        <w:rPr>
          <w:rFonts w:ascii="Cambria" w:eastAsia="Cambria" w:hAnsi="Cambria" w:cs="Cambria"/>
          <w:sz w:val="20"/>
          <w:szCs w:val="20"/>
          <w:lang w:val="en-AU" w:eastAsia="en-ID"/>
        </w:rPr>
        <w:t xml:space="preserve">. </w:t>
      </w:r>
    </w:p>
    <w:p w:rsidR="00294E2E" w:rsidRPr="00294E2E" w:rsidRDefault="00294E2E" w:rsidP="00294E2E">
      <w:pPr>
        <w:spacing w:after="0" w:line="240" w:lineRule="auto"/>
        <w:ind w:firstLine="720"/>
        <w:jc w:val="both"/>
        <w:rPr>
          <w:rFonts w:ascii="Cambria" w:eastAsia="Cambria" w:hAnsi="Cambria" w:cs="Cambria"/>
          <w:sz w:val="24"/>
          <w:szCs w:val="24"/>
          <w:lang w:val="en-AU" w:eastAsia="en-ID"/>
        </w:rPr>
      </w:pPr>
    </w:p>
    <w:p w:rsidR="00294E2E" w:rsidRPr="00294E2E" w:rsidRDefault="00294E2E" w:rsidP="00294E2E">
      <w:pPr>
        <w:spacing w:after="0" w:line="240" w:lineRule="auto"/>
        <w:jc w:val="both"/>
        <w:rPr>
          <w:rFonts w:ascii="Cambria" w:eastAsia="Cambria" w:hAnsi="Cambria" w:cs="Cambria"/>
          <w:b/>
          <w:bCs/>
          <w:sz w:val="24"/>
          <w:szCs w:val="24"/>
          <w:lang w:val="en-AU" w:eastAsia="en-ID"/>
        </w:rPr>
      </w:pPr>
      <w:r w:rsidRPr="00294E2E">
        <w:rPr>
          <w:rFonts w:ascii="Cambria" w:eastAsia="Cambria" w:hAnsi="Cambria" w:cs="Cambria"/>
          <w:b/>
          <w:bCs/>
          <w:sz w:val="24"/>
          <w:szCs w:val="24"/>
          <w:lang w:val="en-AU" w:eastAsia="en-ID"/>
        </w:rPr>
        <w:t>Development</w:t>
      </w:r>
    </w:p>
    <w:p w:rsidR="00294E2E" w:rsidRPr="00294E2E" w:rsidRDefault="00294E2E" w:rsidP="00294E2E">
      <w:pPr>
        <w:spacing w:after="0" w:line="240" w:lineRule="auto"/>
        <w:ind w:left="142" w:firstLine="578"/>
        <w:contextualSpacing/>
        <w:jc w:val="both"/>
        <w:rPr>
          <w:rFonts w:ascii="Cambria" w:eastAsia="Cambria" w:hAnsi="Cambria" w:cs="Cambria"/>
          <w:sz w:val="20"/>
          <w:szCs w:val="20"/>
          <w:lang w:val="x-none" w:eastAsia="x-none"/>
        </w:rPr>
      </w:pPr>
      <w:r w:rsidRPr="00294E2E">
        <w:rPr>
          <w:rFonts w:ascii="Cambria" w:eastAsia="Cambria" w:hAnsi="Cambria" w:cs="Cambria"/>
          <w:sz w:val="20"/>
          <w:szCs w:val="20"/>
          <w:lang w:val="x-none" w:eastAsia="x-none"/>
        </w:rPr>
        <w:t xml:space="preserve">At this development stage, several activities are carried out, including preparing teaching materials that are in accordance with the syllabus. Innovative educators design curricula to promote respectful relationships between students and teachers, prioritizing a more student-oriented approach </w:t>
      </w:r>
      <w:hyperlink r:id="rId61" w:history="1">
        <w:r w:rsidRPr="00294E2E">
          <w:rPr>
            <w:rFonts w:ascii="Cambria" w:eastAsia="Cambria" w:hAnsi="Cambria" w:cs="Cambria"/>
            <w:color w:val="0000FF"/>
            <w:sz w:val="20"/>
            <w:szCs w:val="20"/>
            <w:lang w:val="x-none" w:eastAsia="x-none"/>
          </w:rPr>
          <w:fldChar w:fldCharType="begin" w:fldLock="1"/>
        </w:r>
        <w:r w:rsidRPr="00294E2E">
          <w:rPr>
            <w:rFonts w:ascii="Cambria" w:eastAsia="Cambria" w:hAnsi="Cambria" w:cs="Cambria"/>
            <w:color w:val="0000FF"/>
            <w:sz w:val="20"/>
            <w:szCs w:val="20"/>
            <w:lang w:val="x-none" w:eastAsia="x-none"/>
          </w:rPr>
          <w:instrText>ADDIN CSL_CITATION {"citationItems":[{"id":"ITEM-1","itemData":{"DOI":"10.1016/j.tate.2021.103600","ISSN":"0742051X","author":[{"dropping-particle":"","family":"Jones","given":"Shelley","non-dropping-particle":"","parse-names":false,"suffix":""}],"container-title":"Teaching and Teacher Education","id":"ITEM-1","issued":{"date-parts":[["2022","3"]]},"page":"103600","title":"Storying gender equality in Northwest Uganda: Educators develop contextually- and culturally responsive stories in professional development courses","type":"article-journal","volume":"111"},"uris":["http://www.mendeley.com/documents/?uuid=e98ca904-fc55-4140-bc6d-862718b20d3b"]}],"mendeley":{"formattedCitation":"(Jones, 2022)","manualFormatting":"(Jones, 2022 ; Patterson et al., 2022)","plainTextFormattedCitation":"(Jones, 2022)","previouslyFormattedCitation":"(Jones, 2022)"},"properties":{"noteIndex":0},"schema":"https://github.com/citation-style-language/schema/raw/master/csl-citation.json"}</w:instrText>
        </w:r>
        <w:r w:rsidRPr="00294E2E">
          <w:rPr>
            <w:rFonts w:ascii="Cambria" w:eastAsia="Cambria" w:hAnsi="Cambria" w:cs="Cambria"/>
            <w:color w:val="0000FF"/>
            <w:sz w:val="20"/>
            <w:szCs w:val="20"/>
            <w:lang w:val="x-none" w:eastAsia="x-none"/>
          </w:rPr>
          <w:fldChar w:fldCharType="separate"/>
        </w:r>
        <w:r w:rsidRPr="00294E2E">
          <w:rPr>
            <w:rFonts w:ascii="Cambria" w:eastAsia="Cambria" w:hAnsi="Cambria" w:cs="Cambria"/>
            <w:noProof/>
            <w:color w:val="0000FF"/>
            <w:sz w:val="20"/>
            <w:szCs w:val="20"/>
            <w:lang w:val="x-none" w:eastAsia="x-none"/>
          </w:rPr>
          <w:t>(Jones, 2022</w:t>
        </w:r>
        <w:r w:rsidRPr="00294E2E">
          <w:rPr>
            <w:rFonts w:ascii="Cambria" w:eastAsia="Cambria" w:hAnsi="Cambria" w:cs="Cambria"/>
            <w:noProof/>
            <w:color w:val="0000FF"/>
            <w:sz w:val="20"/>
            <w:szCs w:val="20"/>
            <w:lang w:val="en-US" w:eastAsia="x-none"/>
          </w:rPr>
          <w:t xml:space="preserve"> ; </w:t>
        </w:r>
        <w:r w:rsidRPr="00294E2E">
          <w:rPr>
            <w:rFonts w:ascii="Cambria" w:eastAsia="Cambria" w:hAnsi="Cambria" w:cs="Cambria"/>
            <w:noProof/>
            <w:color w:val="0000FF"/>
            <w:sz w:val="20"/>
            <w:szCs w:val="20"/>
            <w:lang w:val="en-US" w:eastAsia="x-none"/>
          </w:rPr>
          <w:fldChar w:fldCharType="begin" w:fldLock="1"/>
        </w:r>
        <w:r w:rsidRPr="00294E2E">
          <w:rPr>
            <w:rFonts w:ascii="Cambria" w:eastAsia="Cambria" w:hAnsi="Cambria" w:cs="Cambria"/>
            <w:noProof/>
            <w:color w:val="0000FF"/>
            <w:sz w:val="20"/>
            <w:szCs w:val="20"/>
            <w:lang w:val="en-US" w:eastAsia="x-none"/>
          </w:rPr>
          <w:instrText>ADDIN CSL_CITATION {"citationItems":[{"id":"ITEM-1","itemData":{"DOI":"10.1016/j.tate.2022.103899","ISSN":"0742051X","author":[{"dropping-particle":"","family":"Patterson","given":"Timothy","non-dropping-particle":"","parse-names":false,"suffix":""},{"dropping-particle":"","family":"Bridgelal","given":"Ishwar","non-dropping-particle":"","parse-names":false,"suffix":""},{"dropping-particle":"","family":"Kaplan","given":"Avi","non-dropping-particle":"","parse-names":false,"suffix":""}],"container-title":"Teaching and Teacher Education","id":"ITEM-1","issued":{"date-parts":[["2022","12"]]},"page":"103899","title":"Becoming a social studies teacher: An integrative systems perspective on identity content, structure, and processes","type":"article-journal","volume":"120"},"uris":["http://www.mendeley.com/documents/?uuid=4ea5ab4c-d50c-457f-9247-7890bc413a85"]}],"mendeley":{"formattedCitation":"(Patterson et al., 2022)","manualFormatting":"Patterson et al., 2022)","plainTextFormattedCitation":"(Patterson et al., 2022)","previouslyFormattedCitation":"(Patterson et al., 2022)"},"properties":{"noteIndex":0},"schema":"https://github.com/citation-style-language/schema/raw/master/csl-citation.json"}</w:instrText>
        </w:r>
        <w:r w:rsidRPr="00294E2E">
          <w:rPr>
            <w:rFonts w:ascii="Cambria" w:eastAsia="Cambria" w:hAnsi="Cambria" w:cs="Cambria"/>
            <w:noProof/>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Patterson et al., 2022)</w:t>
        </w:r>
        <w:r w:rsidRPr="00294E2E">
          <w:rPr>
            <w:rFonts w:ascii="Cambria" w:eastAsia="Cambria" w:hAnsi="Cambria" w:cs="Cambria"/>
            <w:noProof/>
            <w:color w:val="0000FF"/>
            <w:sz w:val="20"/>
            <w:szCs w:val="20"/>
            <w:lang w:val="en-US" w:eastAsia="x-none"/>
          </w:rPr>
          <w:fldChar w:fldCharType="end"/>
        </w:r>
        <w:r w:rsidRPr="00294E2E">
          <w:rPr>
            <w:rFonts w:ascii="Cambria" w:eastAsia="Cambria" w:hAnsi="Cambria" w:cs="Cambria"/>
            <w:color w:val="0000FF"/>
            <w:sz w:val="20"/>
            <w:szCs w:val="20"/>
            <w:lang w:val="x-none" w:eastAsia="x-none"/>
          </w:rPr>
          <w:fldChar w:fldCharType="end"/>
        </w:r>
      </w:hyperlink>
      <w:r w:rsidRPr="00294E2E">
        <w:rPr>
          <w:rFonts w:ascii="Cambria" w:eastAsia="Cambria" w:hAnsi="Cambria" w:cs="Cambria"/>
          <w:sz w:val="20"/>
          <w:szCs w:val="20"/>
          <w:lang w:val="x-none" w:eastAsia="x-none"/>
        </w:rPr>
        <w:t xml:space="preserve">. Previous research has demonstrated the effectiveness of curriculum studies in understanding educational institutions' curricula and identifying opportunities to improve teaching methods. Various methods are used to deliver the curriculum and integrate it into the educational framework </w:t>
      </w:r>
      <w:hyperlink r:id="rId62" w:history="1">
        <w:r w:rsidRPr="00294E2E">
          <w:rPr>
            <w:rFonts w:ascii="Cambria" w:eastAsia="Cambria" w:hAnsi="Cambria" w:cs="Cambria"/>
            <w:color w:val="0000FF"/>
            <w:sz w:val="20"/>
            <w:szCs w:val="20"/>
            <w:lang w:val="x-none" w:eastAsia="x-none"/>
          </w:rPr>
          <w:fldChar w:fldCharType="begin" w:fldLock="1"/>
        </w:r>
        <w:r w:rsidRPr="00294E2E">
          <w:rPr>
            <w:rFonts w:ascii="Cambria" w:eastAsia="Cambria" w:hAnsi="Cambria" w:cs="Cambria"/>
            <w:color w:val="0000FF"/>
            <w:sz w:val="20"/>
            <w:szCs w:val="20"/>
            <w:lang w:val="x-none" w:eastAsia="x-none"/>
          </w:rPr>
          <w:instrText>ADDIN CSL_CITATION {"citationItems":[{"id":"ITEM-1","itemData":{"DOI":"10.1016/j.nurpra.2021.11.009","ISSN":"15554155","author":[{"dropping-particle":"","family":"Keating","given":"Stacen A.","non-dropping-particle":"","parse-names":false,"suffix":""},{"dropping-particle":"","family":"Vetter","given":"Mary Jo","non-dropping-particle":"","parse-names":false,"suffix":""},{"dropping-particle":"","family":"Klar","given":"Robin Toft","non-dropping-particle":"","parse-names":false,"suffix":""},{"dropping-particle":"","family":"Wright","given":"Fay","non-dropping-particle":"","parse-names":false,"suffix":""}],"container-title":"The Journal for Nurse Practitioners","id":"ITEM-1","issue":"4","issued":{"date-parts":[["2022","4"]]},"page":"424-428","title":"Integrating Climate Change in the Curriculum: Using Instructional Design Methods to Create an Educational Innovation for Nurse Practitioners in a Doctor of Nursing Practice Program","type":"article-journal","volume":"18"},"uris":["http://www.mendeley.com/documents/?uuid=f677ac46-3e1e-46a8-8cf8-361b99c53952"]}],"mendeley":{"formattedCitation":"(Keating et al., 2022)","manualFormatting":"(Keating et al., 2022 ; Tegzes et al., 2023)","plainTextFormattedCitation":"(Keating et al., 2022)","previouslyFormattedCitation":"(Keating et al., 2022)"},"properties":{"noteIndex":0},"schema":"https://github.com/citation-style-language/schema/raw/master/csl-citation.json"}</w:instrText>
        </w:r>
        <w:r w:rsidRPr="00294E2E">
          <w:rPr>
            <w:rFonts w:ascii="Cambria" w:eastAsia="Cambria" w:hAnsi="Cambria" w:cs="Cambria"/>
            <w:color w:val="0000FF"/>
            <w:sz w:val="20"/>
            <w:szCs w:val="20"/>
            <w:lang w:val="x-none" w:eastAsia="x-none"/>
          </w:rPr>
          <w:fldChar w:fldCharType="separate"/>
        </w:r>
        <w:r w:rsidRPr="00294E2E">
          <w:rPr>
            <w:rFonts w:ascii="Cambria" w:eastAsia="Cambria" w:hAnsi="Cambria" w:cs="Cambria"/>
            <w:noProof/>
            <w:color w:val="0000FF"/>
            <w:sz w:val="20"/>
            <w:szCs w:val="20"/>
            <w:lang w:val="x-none" w:eastAsia="x-none"/>
          </w:rPr>
          <w:t>(Keating et al., 2022</w:t>
        </w:r>
        <w:r w:rsidRPr="00294E2E">
          <w:rPr>
            <w:rFonts w:ascii="Cambria" w:eastAsia="Cambria" w:hAnsi="Cambria" w:cs="Cambria"/>
            <w:noProof/>
            <w:color w:val="0000FF"/>
            <w:sz w:val="20"/>
            <w:szCs w:val="20"/>
            <w:lang w:val="en-US" w:eastAsia="x-none"/>
          </w:rPr>
          <w:t xml:space="preserve"> ; </w:t>
        </w:r>
        <w:r w:rsidRPr="00294E2E">
          <w:rPr>
            <w:rFonts w:ascii="Cambria" w:eastAsia="Cambria" w:hAnsi="Cambria" w:cs="Cambria"/>
            <w:noProof/>
            <w:color w:val="0000FF"/>
            <w:sz w:val="20"/>
            <w:szCs w:val="20"/>
            <w:lang w:val="en-US" w:eastAsia="x-none"/>
          </w:rPr>
          <w:fldChar w:fldCharType="begin" w:fldLock="1"/>
        </w:r>
        <w:r w:rsidRPr="00294E2E">
          <w:rPr>
            <w:rFonts w:ascii="Cambria" w:eastAsia="Cambria" w:hAnsi="Cambria" w:cs="Cambria"/>
            <w:noProof/>
            <w:color w:val="0000FF"/>
            <w:sz w:val="20"/>
            <w:szCs w:val="20"/>
            <w:lang w:val="en-US" w:eastAsia="x-none"/>
          </w:rPr>
          <w:instrText>ADDIN CSL_CITATION {"citationItems":[{"id":"ITEM-1","itemData":{"DOI":"10.1016/j.xjep.2023.100626","ISSN":"24054526","author":[{"dropping-particle":"","family":"Tegzes","given":"John H.","non-dropping-particle":"","parse-names":false,"suffix":""},{"dropping-particle":"","family":"King","given":"Sharla","non-dropping-particle":"","parse-names":false,"suffix":""},{"dropping-particle":"","family":"Blue","given":"Amy","non-dropping-particle":"","parse-names":false,"suffix":""},{"dropping-particle":"","family":"Langlois","given":"Sylvia","non-dropping-particle":"","parse-names":false,"suffix":""}],"container-title":"Journal of Interprofessional Education &amp; Practice","id":"ITEM-1","issued":{"date-parts":[["2023","6"]]},"page":"100626","title":"A Proposed Framework for Interprofessional Curriculum Integration","type":"article-journal","volume":"31"},"uris":["http://www.mendeley.com/documents/?uuid=ddbe7f16-74ea-46ce-980f-48de4d1aa495"]}],"mendeley":{"formattedCitation":"(Tegzes et al., 2023)","manualFormatting":"Tegzes et al., 2023)","plainTextFormattedCitation":"(Tegzes et al., 2023)","previouslyFormattedCitation":"(Tegzes et al., 2023)"},"properties":{"noteIndex":0},"schema":"https://github.com/citation-style-language/schema/raw/master/csl-citation.json"}</w:instrText>
        </w:r>
        <w:r w:rsidRPr="00294E2E">
          <w:rPr>
            <w:rFonts w:ascii="Cambria" w:eastAsia="Cambria" w:hAnsi="Cambria" w:cs="Cambria"/>
            <w:noProof/>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Tegzes et al., 2023)</w:t>
        </w:r>
        <w:r w:rsidRPr="00294E2E">
          <w:rPr>
            <w:rFonts w:ascii="Cambria" w:eastAsia="Cambria" w:hAnsi="Cambria" w:cs="Cambria"/>
            <w:noProof/>
            <w:color w:val="0000FF"/>
            <w:sz w:val="20"/>
            <w:szCs w:val="20"/>
            <w:lang w:val="en-US" w:eastAsia="x-none"/>
          </w:rPr>
          <w:fldChar w:fldCharType="end"/>
        </w:r>
        <w:r w:rsidRPr="00294E2E">
          <w:rPr>
            <w:rFonts w:ascii="Cambria" w:eastAsia="Cambria" w:hAnsi="Cambria" w:cs="Cambria"/>
            <w:color w:val="0000FF"/>
            <w:sz w:val="20"/>
            <w:szCs w:val="20"/>
            <w:lang w:val="x-none" w:eastAsia="x-none"/>
          </w:rPr>
          <w:fldChar w:fldCharType="end"/>
        </w:r>
      </w:hyperlink>
      <w:r w:rsidRPr="00294E2E">
        <w:rPr>
          <w:rFonts w:ascii="Cambria" w:eastAsia="Cambria" w:hAnsi="Cambria" w:cs="Cambria"/>
          <w:sz w:val="20"/>
          <w:szCs w:val="20"/>
          <w:lang w:val="x-none" w:eastAsia="x-none"/>
        </w:rPr>
        <w:t>. Before the COVID-19 pandemic, traditional classrooms tended to use lecture-based teaching methods, which lacked encouragement of inclusivity, active participation, negotiation, and reading comprehension. Students are usually passive listeners, with note-taking as the main learning tool</w:t>
      </w:r>
      <w:r w:rsidRPr="00294E2E">
        <w:rPr>
          <w:rFonts w:ascii="Cambria" w:eastAsia="Cambria" w:hAnsi="Cambria" w:cs="Cambria"/>
          <w:sz w:val="20"/>
          <w:szCs w:val="20"/>
          <w:lang w:val="en-US" w:eastAsia="x-none"/>
        </w:rPr>
        <w:t xml:space="preserve">  </w:t>
      </w:r>
      <w:r w:rsidRPr="00294E2E">
        <w:rPr>
          <w:rFonts w:ascii="Cambria" w:eastAsia="Cambria" w:hAnsi="Cambria" w:cs="Cambria"/>
          <w:sz w:val="20"/>
          <w:szCs w:val="20"/>
          <w:lang w:val="en-US" w:eastAsia="x-none"/>
        </w:rPr>
        <w:fldChar w:fldCharType="begin" w:fldLock="1"/>
      </w:r>
      <w:r w:rsidRPr="00294E2E">
        <w:rPr>
          <w:rFonts w:ascii="Cambria" w:eastAsia="Cambria" w:hAnsi="Cambria" w:cs="Cambria"/>
          <w:sz w:val="20"/>
          <w:szCs w:val="20"/>
          <w:lang w:val="en-US" w:eastAsia="x-none"/>
        </w:rPr>
        <w:instrText>ADDIN CSL_CITATION {"citationItems":[{"id":"ITEM-1","itemData":{"DOI":"10.1016/j.heliyon.2021.e08282","ISSN":"24058440","author":[{"dropping-particle":"","family":"Tong","given":"Duong Huu","non-dropping-particle":"","parse-names":false,"suffix":""},{"dropping-particle":"","family":"Uyen","given":"Bui Phuong","non-dropping-particle":"","parse-names":false,"suffix":""},{"dropping-particle":"","family":"Anh Quoc","given":"Ngo","non-dropping-particle":"Van","parse-names":false,"suffix":""}],"container-title":"Heliyon","id":"ITEM-1","issue":"11","issued":{"date-parts":[["2021","11"]]},"page":"e08282","title":"The improvement of 10th students' mathematical communication skills through learning ellipse topics","type":"article-journal","volume":"7"},"uris":["http://www.mendeley.com/documents/?uuid=fb9c7a14-d127-4dc4-9f95-4a89b02d69e3"]}],"mendeley":{"formattedCitation":"(Tong et al., 2021)","manualFormatting":"(Tong et al., 2021 ; Heo, 2022)","plainTextFormattedCitation":"(Tong et al., 2021)","previouslyFormattedCitation":"(Tong et al., 2021)"},"properties":{"noteIndex":0},"schema":"https://github.com/citation-style-language/schema/raw/master/csl-citation.json"}</w:instrText>
      </w:r>
      <w:r w:rsidRPr="00294E2E">
        <w:rPr>
          <w:rFonts w:ascii="Cambria" w:eastAsia="Cambria" w:hAnsi="Cambria" w:cs="Cambria"/>
          <w:sz w:val="20"/>
          <w:szCs w:val="20"/>
          <w:lang w:val="en-US" w:eastAsia="x-none"/>
        </w:rPr>
        <w:fldChar w:fldCharType="separate"/>
      </w:r>
      <w:hyperlink r:id="rId63" w:history="1">
        <w:r w:rsidRPr="00294E2E">
          <w:rPr>
            <w:rFonts w:ascii="Cambria" w:eastAsia="Cambria" w:hAnsi="Cambria" w:cs="Cambria"/>
            <w:noProof/>
            <w:color w:val="0000FF"/>
            <w:sz w:val="20"/>
            <w:szCs w:val="20"/>
            <w:lang w:val="en-US" w:eastAsia="x-none"/>
          </w:rPr>
          <w:t xml:space="preserve">(Tong et al., 2021 ; </w:t>
        </w:r>
        <w:r w:rsidRPr="00294E2E">
          <w:rPr>
            <w:rFonts w:ascii="Cambria" w:eastAsia="Cambria" w:hAnsi="Cambria" w:cs="Cambria"/>
            <w:noProof/>
            <w:color w:val="0000FF"/>
            <w:sz w:val="20"/>
            <w:szCs w:val="20"/>
            <w:lang w:val="en-US" w:eastAsia="x-none"/>
          </w:rPr>
          <w:fldChar w:fldCharType="begin" w:fldLock="1"/>
        </w:r>
        <w:r w:rsidRPr="00294E2E">
          <w:rPr>
            <w:rFonts w:ascii="Cambria" w:eastAsia="Cambria" w:hAnsi="Cambria" w:cs="Cambria"/>
            <w:noProof/>
            <w:color w:val="0000FF"/>
            <w:sz w:val="20"/>
            <w:szCs w:val="20"/>
            <w:lang w:val="en-US" w:eastAsia="x-none"/>
          </w:rPr>
          <w:instrText>ADDIN CSL_CITATION {"citationItems":[{"id":"ITEM-1","itemData":{"DOI":"10.1016/j.linged.2022.101055","ISSN":"08985898","author":[{"dropping-particle":"","family":"Heo","given":"Saem","non-dropping-particle":"","parse-names":false,"suffix":""}],"container-title":"Linguistics and Education","id":"ITEM-1","issued":{"date-parts":[["2022","8"]]},"page":"101055","title":"Teacher scaffolding and immersion language learning of refugee-background students in an elementary immersion classroom","type":"article-journal","volume":"70"},"uris":["http://www.mendeley.com/documents/?uuid=3db4efa0-8e59-4f00-9240-d42c1c784ca2"]}],"mendeley":{"formattedCitation":"(Heo, 2022)","manualFormatting":"Heo, 2022)","plainTextFormattedCitation":"(Heo, 2022)","previouslyFormattedCitation":"(Heo, 2022)"},"properties":{"noteIndex":0},"schema":"https://github.com/citation-style-language/schema/raw/master/csl-citation.json"}</w:instrText>
        </w:r>
        <w:r w:rsidRPr="00294E2E">
          <w:rPr>
            <w:rFonts w:ascii="Cambria" w:eastAsia="Cambria" w:hAnsi="Cambria" w:cs="Cambria"/>
            <w:noProof/>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Heo, 2022)</w:t>
        </w:r>
        <w:r w:rsidRPr="00294E2E">
          <w:rPr>
            <w:rFonts w:ascii="Cambria" w:eastAsia="Cambria" w:hAnsi="Cambria" w:cs="Cambria"/>
            <w:noProof/>
            <w:color w:val="0000FF"/>
            <w:sz w:val="20"/>
            <w:szCs w:val="20"/>
            <w:lang w:val="en-US" w:eastAsia="x-none"/>
          </w:rPr>
          <w:fldChar w:fldCharType="end"/>
        </w:r>
      </w:hyperlink>
      <w:r w:rsidRPr="00294E2E">
        <w:rPr>
          <w:rFonts w:ascii="Cambria" w:eastAsia="Cambria" w:hAnsi="Cambria" w:cs="Cambria"/>
          <w:sz w:val="20"/>
          <w:szCs w:val="20"/>
          <w:lang w:val="en-US" w:eastAsia="x-none"/>
        </w:rPr>
        <w:fldChar w:fldCharType="end"/>
      </w:r>
      <w:r w:rsidRPr="00294E2E">
        <w:rPr>
          <w:rFonts w:ascii="Cambria" w:eastAsia="Cambria" w:hAnsi="Cambria" w:cs="Cambria"/>
          <w:sz w:val="20"/>
          <w:szCs w:val="20"/>
          <w:lang w:val="x-none" w:eastAsia="x-none"/>
        </w:rPr>
        <w:t xml:space="preserve">. However, the "new normal" era initiated by the pandemic has resulted in a shift towards more descriptive teaching methods, which emphasize student development through active participation </w:t>
      </w:r>
      <w:hyperlink r:id="rId64" w:history="1">
        <w:r w:rsidRPr="00294E2E">
          <w:rPr>
            <w:rFonts w:ascii="Cambria" w:eastAsia="Cambria" w:hAnsi="Cambria" w:cs="Cambria"/>
            <w:color w:val="0000FF"/>
            <w:sz w:val="20"/>
            <w:szCs w:val="20"/>
            <w:lang w:val="x-none" w:eastAsia="x-none"/>
          </w:rPr>
          <w:fldChar w:fldCharType="begin" w:fldLock="1"/>
        </w:r>
        <w:r w:rsidRPr="00294E2E">
          <w:rPr>
            <w:rFonts w:ascii="Cambria" w:eastAsia="Cambria" w:hAnsi="Cambria" w:cs="Cambria"/>
            <w:color w:val="0000FF"/>
            <w:sz w:val="20"/>
            <w:szCs w:val="20"/>
            <w:lang w:val="x-none" w:eastAsia="x-none"/>
          </w:rPr>
          <w:instrText>ADDIN CSL_CITATION {"citationItems":[{"id":"ITEM-1","itemData":{"DOI":"10.1016/j.actpsy.2024.104233","ISSN":"00016918","author":[{"dropping-particle":"","family":"Lin","given":"Jie","non-dropping-particle":"","parse-names":false,"suffix":""},{"dropping-particle":"","family":"Wang","given":"Yongliang","non-dropping-particle":"","parse-names":false,"suffix":""}],"container-title":"Acta Psychologica","id":"ITEM-1","issued":{"date-parts":[["2024","5"]]},"page":"104233","title":"Unpacking the mediating role of classroom interaction between student satisfaction and perceived online learning among Chinese EFL tertiary learners in the new normal of post-COVID-19","type":"article-journal","volume":"245"},"uris":["http://www.mendeley.com/documents/?uuid=1ff16ae3-1d06-4664-98d8-0483e05d4ac5"]}],"mendeley":{"formattedCitation":"(J. Lin &amp; Wang, 2024)","plainTextFormattedCitation":"(J. Lin &amp; Wang, 2024)","previouslyFormattedCitation":"(J. Lin &amp; Wang, 2024)"},"properties":{"noteIndex":0},"schema":"https://github.com/citation-style-language/schema/raw/master/csl-citation.json"}</w:instrText>
        </w:r>
        <w:r w:rsidRPr="00294E2E">
          <w:rPr>
            <w:rFonts w:ascii="Cambria" w:eastAsia="Cambria" w:hAnsi="Cambria" w:cs="Cambria"/>
            <w:color w:val="0000FF"/>
            <w:sz w:val="20"/>
            <w:szCs w:val="20"/>
            <w:lang w:val="x-none" w:eastAsia="x-none"/>
          </w:rPr>
          <w:fldChar w:fldCharType="separate"/>
        </w:r>
        <w:r w:rsidRPr="00294E2E">
          <w:rPr>
            <w:rFonts w:ascii="Cambria" w:eastAsia="Cambria" w:hAnsi="Cambria" w:cs="Cambria"/>
            <w:noProof/>
            <w:color w:val="0000FF"/>
            <w:sz w:val="20"/>
            <w:szCs w:val="20"/>
            <w:lang w:val="x-none" w:eastAsia="x-none"/>
          </w:rPr>
          <w:t>(J. Lin &amp; Wang, 2024)</w:t>
        </w:r>
        <w:r w:rsidRPr="00294E2E">
          <w:rPr>
            <w:rFonts w:ascii="Cambria" w:eastAsia="Cambria" w:hAnsi="Cambria" w:cs="Cambria"/>
            <w:color w:val="0000FF"/>
            <w:sz w:val="20"/>
            <w:szCs w:val="20"/>
            <w:lang w:val="x-none" w:eastAsia="x-none"/>
          </w:rPr>
          <w:fldChar w:fldCharType="end"/>
        </w:r>
      </w:hyperlink>
      <w:r w:rsidRPr="00294E2E">
        <w:rPr>
          <w:rFonts w:ascii="Cambria" w:eastAsia="Cambria" w:hAnsi="Cambria" w:cs="Cambria"/>
          <w:sz w:val="20"/>
          <w:szCs w:val="20"/>
          <w:lang w:val="x-none" w:eastAsia="x-none"/>
        </w:rPr>
        <w:t xml:space="preserve">. Preparing a Learning Implementation Plan (RPP), compiling material according to the syllabus, and evaluation are important aspects at this stage. Reading comprehension has been a major focus of research and education across disciplines such as philosophy, psychology, and education for more than a century. This involves the development of reading skills that researchers should observe, because balanced reading skills, combined with the ability to think critically, contribute to cultivating interest in reading at any time and place. Schools must develop strategies to </w:t>
      </w:r>
      <w:proofErr w:type="spellStart"/>
      <w:r w:rsidRPr="00294E2E">
        <w:rPr>
          <w:rFonts w:ascii="Cambria" w:eastAsia="Cambria" w:hAnsi="Cambria" w:cs="Cambria"/>
          <w:sz w:val="20"/>
          <w:szCs w:val="20"/>
          <w:lang w:val="x-none" w:eastAsia="x-none"/>
        </w:rPr>
        <w:t>instill</w:t>
      </w:r>
      <w:proofErr w:type="spellEnd"/>
      <w:r w:rsidRPr="00294E2E">
        <w:rPr>
          <w:rFonts w:ascii="Cambria" w:eastAsia="Cambria" w:hAnsi="Cambria" w:cs="Cambria"/>
          <w:sz w:val="20"/>
          <w:szCs w:val="20"/>
          <w:lang w:val="x-none" w:eastAsia="x-none"/>
        </w:rPr>
        <w:t xml:space="preserve"> this mindset </w:t>
      </w:r>
      <w:r w:rsidRPr="00294E2E">
        <w:rPr>
          <w:rFonts w:ascii="Cambria" w:eastAsia="Cambria" w:hAnsi="Cambria" w:cs="Cambria"/>
          <w:sz w:val="20"/>
          <w:szCs w:val="20"/>
          <w:lang w:val="x-none" w:eastAsia="x-none"/>
        </w:rPr>
        <w:fldChar w:fldCharType="begin" w:fldLock="1"/>
      </w:r>
      <w:r w:rsidRPr="00294E2E">
        <w:rPr>
          <w:rFonts w:ascii="Cambria" w:eastAsia="Cambria" w:hAnsi="Cambria" w:cs="Cambria"/>
          <w:sz w:val="20"/>
          <w:szCs w:val="20"/>
          <w:lang w:val="x-none" w:eastAsia="x-none"/>
        </w:rPr>
        <w:instrText>ADDIN CSL_CITATION {"citationItems":[{"id":"ITEM-1","itemData":{"DOI":"10.1016/j.edurev.2023.100554","ISSN":"1747938X","author":[{"dropping-particle":"","family":"Bui","given":"Phuong","non-dropping-particle":"","parse-names":false,"suffix":""},{"dropping-particle":"","family":"Pongsakdi","given":"Nonmanut","non-dropping-particle":"","parse-names":false,"suffix":""},{"dropping-particle":"","family":"McMullen","given":"Jake","non-dropping-particle":"","parse-names":false,"suffix":""},{"dropping-particle":"","family":"Lehtinen","given":"Erno","non-dropping-particle":"","parse-names":false,"suffix":""},{"dropping-particle":"","family":"Hannula-Sormunen","given":"Minna M.","non-dropping-particle":"","parse-names":false,"suffix":""}],"container-title":"Educational Research Review","id":"ITEM-1","issued":{"date-parts":[["2023","8"]]},"page":"100554","title":"A systematic review of mindset interventions in mathematics classrooms: What works and what does not?","type":"article-journal","volume":"40"},"uris":["http://www.mendeley.com/documents/?uuid=292f315f-d5d5-4726-8d38-e033ce1e7b6f"]}],"mendeley":{"formattedCitation":"(Bui et al., 2023)","manualFormatting":"(Bui et al., 2023 ; D. Wang et al., 2024)","plainTextFormattedCitation":"(Bui et al., 2023)","previouslyFormattedCitation":"(Bui et al., 2023)"},"properties":{"noteIndex":0},"schema":"https://github.com/citation-style-language/schema/raw/master/csl-citation.json"}</w:instrText>
      </w:r>
      <w:r w:rsidRPr="00294E2E">
        <w:rPr>
          <w:rFonts w:ascii="Cambria" w:eastAsia="Cambria" w:hAnsi="Cambria" w:cs="Cambria"/>
          <w:sz w:val="20"/>
          <w:szCs w:val="20"/>
          <w:lang w:val="x-none" w:eastAsia="x-none"/>
        </w:rPr>
        <w:fldChar w:fldCharType="separate"/>
      </w:r>
      <w:hyperlink r:id="rId65" w:history="1">
        <w:r w:rsidRPr="00294E2E">
          <w:rPr>
            <w:rFonts w:ascii="Cambria" w:eastAsia="Cambria" w:hAnsi="Cambria" w:cs="Cambria"/>
            <w:noProof/>
            <w:color w:val="0000FF"/>
            <w:sz w:val="20"/>
            <w:szCs w:val="20"/>
            <w:lang w:val="x-none" w:eastAsia="x-none"/>
          </w:rPr>
          <w:t>(Bui et al., 2023</w:t>
        </w:r>
        <w:r w:rsidRPr="00294E2E">
          <w:rPr>
            <w:rFonts w:ascii="Cambria" w:eastAsia="Cambria" w:hAnsi="Cambria" w:cs="Cambria"/>
            <w:noProof/>
            <w:color w:val="0000FF"/>
            <w:sz w:val="20"/>
            <w:szCs w:val="20"/>
            <w:lang w:val="en-US" w:eastAsia="x-none"/>
          </w:rPr>
          <w:t xml:space="preserve"> ; </w:t>
        </w:r>
        <w:r w:rsidRPr="00294E2E">
          <w:rPr>
            <w:rFonts w:ascii="Cambria" w:eastAsia="Cambria" w:hAnsi="Cambria" w:cs="Cambria"/>
            <w:noProof/>
            <w:color w:val="0000FF"/>
            <w:sz w:val="20"/>
            <w:szCs w:val="20"/>
            <w:lang w:val="en-US" w:eastAsia="x-none"/>
          </w:rPr>
          <w:fldChar w:fldCharType="begin" w:fldLock="1"/>
        </w:r>
        <w:r w:rsidRPr="00294E2E">
          <w:rPr>
            <w:rFonts w:ascii="Cambria" w:eastAsia="Cambria" w:hAnsi="Cambria" w:cs="Cambria"/>
            <w:noProof/>
            <w:color w:val="0000FF"/>
            <w:sz w:val="20"/>
            <w:szCs w:val="20"/>
            <w:lang w:val="en-US" w:eastAsia="x-none"/>
          </w:rPr>
          <w:instrText>ADDIN CSL_CITATION {"citationItems":[{"id":"ITEM-1","itemData":{"DOI":"10.1016/j.jbusres.2024.114645","ISSN":"01482963","author":[{"dropping-particle":"","family":"Wang","given":"Dan","non-dropping-particle":"","parse-names":false,"suffix":""},{"dropping-particle":"","family":"Donohue","given":"Ross","non-dropping-particle":"","parse-names":false,"suffix":""},{"dropping-particle":"","family":"Guo","given":"Feng","non-dropping-particle":"","parse-names":false,"suffix":""},{"dropping-particle":"","family":"Yang","given":"Mingjun","non-dropping-particle":"","parse-names":false,"suffix":""},{"dropping-particle":"","family":"Luu","given":"Tuan","non-dropping-particle":"","parse-names":false,"suffix":""}],"container-title":"Journal of Business Research","id":"ITEM-1","issued":{"date-parts":[["2024","4"]]},"page":"114645","title":"A paradox theory lens for developing cross-cultural competence: Mindset, behavior, and work design","type":"article-journal","volume":"177"},"uris":["http://www.mendeley.com/documents/?uuid=0923c614-d116-41c0-8088-1365de00ba45"]}],"mendeley":{"formattedCitation":"(D. Wang et al., 2024)","manualFormatting":"D. Wang et al., 2024)","plainTextFormattedCitation":"(D. Wang et al., 2024)","previouslyFormattedCitation":"(D. Wang et al., 2024)"},"properties":{"noteIndex":0},"schema":"https://github.com/citation-style-language/schema/raw/master/csl-citation.json"}</w:instrText>
        </w:r>
        <w:r w:rsidRPr="00294E2E">
          <w:rPr>
            <w:rFonts w:ascii="Cambria" w:eastAsia="Cambria" w:hAnsi="Cambria" w:cs="Cambria"/>
            <w:noProof/>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D. Wang et al., 2024)</w:t>
        </w:r>
        <w:r w:rsidRPr="00294E2E">
          <w:rPr>
            <w:rFonts w:ascii="Cambria" w:eastAsia="Cambria" w:hAnsi="Cambria" w:cs="Cambria"/>
            <w:noProof/>
            <w:color w:val="0000FF"/>
            <w:sz w:val="20"/>
            <w:szCs w:val="20"/>
            <w:lang w:val="en-US" w:eastAsia="x-none"/>
          </w:rPr>
          <w:fldChar w:fldCharType="end"/>
        </w:r>
      </w:hyperlink>
      <w:r w:rsidRPr="00294E2E">
        <w:rPr>
          <w:rFonts w:ascii="Cambria" w:eastAsia="Cambria" w:hAnsi="Cambria" w:cs="Cambria"/>
          <w:sz w:val="20"/>
          <w:szCs w:val="20"/>
          <w:lang w:val="x-none" w:eastAsia="x-none"/>
        </w:rPr>
        <w:fldChar w:fldCharType="end"/>
      </w:r>
      <w:r w:rsidRPr="00294E2E">
        <w:rPr>
          <w:rFonts w:ascii="Cambria" w:eastAsia="Cambria" w:hAnsi="Cambria" w:cs="Cambria"/>
          <w:sz w:val="20"/>
          <w:szCs w:val="20"/>
          <w:lang w:val="x-none" w:eastAsia="x-none"/>
        </w:rPr>
        <w:t xml:space="preserve">. The 5E learning model is in accordance with constructivist approaches and principles. This model stage involves participation, exploration, explanation, elaboration, and evaluation. Each step has a different purpose from the student's perspective, emphasizing the importance of linking past and current learning experiences. In addition, this model supports evaluation that is useful for students and teachers to evaluate learning and understanding </w:t>
      </w:r>
      <w:hyperlink r:id="rId66" w:history="1">
        <w:r w:rsidRPr="00294E2E">
          <w:rPr>
            <w:rFonts w:ascii="Cambria" w:eastAsia="Cambria" w:hAnsi="Cambria" w:cs="Cambria"/>
            <w:color w:val="0000FF"/>
            <w:sz w:val="20"/>
            <w:szCs w:val="20"/>
            <w:lang w:val="x-none" w:eastAsia="x-none"/>
          </w:rPr>
          <w:fldChar w:fldCharType="begin" w:fldLock="1"/>
        </w:r>
        <w:r w:rsidRPr="00294E2E">
          <w:rPr>
            <w:rFonts w:ascii="Cambria" w:eastAsia="Cambria" w:hAnsi="Cambria" w:cs="Cambria"/>
            <w:color w:val="0000FF"/>
            <w:sz w:val="20"/>
            <w:szCs w:val="20"/>
            <w:lang w:val="x-none" w:eastAsia="x-none"/>
          </w:rPr>
          <w:instrText>ADDIN CSL_CITATION {"citationItems":[{"id":"ITEM-1","itemData":{"DOI":"10.1016/j.compedu.2024.105016","ISSN":"03601315","author":[{"dropping-particle":"","family":"Kong","given":"Siu-Cheung","non-dropping-particle":"","parse-names":false,"suffix":""},{"dropping-particle":"","family":"Wang","given":"Yi-Qing","non-dropping-particle":"","parse-names":false,"suffix":""}],"container-title":"Computers &amp; Education","id":"ITEM-1","issued":{"date-parts":[["2024","7"]]},"page":"105016","title":"The impact of school support for professional development on teachers' adoption of student-centered pedagogy, students’ cognitive learning and abilities: A three-level analysis","type":"article-journal","volume":"215"},"uris":["http://www.mendeley.com/documents/?uuid=c19e404f-d7f7-4a24-90c9-b0aa645386b1"]}],"mendeley":{"formattedCitation":"(Kong &amp; Wang, 2024)","plainTextFormattedCitation":"(Kong &amp; Wang, 2024)","previouslyFormattedCitation":"(Kong &amp; Wang, 2024)"},"properties":{"noteIndex":0},"schema":"https://github.com/citation-style-language/schema/raw/master/csl-citation.json"}</w:instrText>
        </w:r>
        <w:r w:rsidRPr="00294E2E">
          <w:rPr>
            <w:rFonts w:ascii="Cambria" w:eastAsia="Cambria" w:hAnsi="Cambria" w:cs="Cambria"/>
            <w:color w:val="0000FF"/>
            <w:sz w:val="20"/>
            <w:szCs w:val="20"/>
            <w:lang w:val="x-none" w:eastAsia="x-none"/>
          </w:rPr>
          <w:fldChar w:fldCharType="separate"/>
        </w:r>
        <w:r w:rsidRPr="00294E2E">
          <w:rPr>
            <w:rFonts w:ascii="Cambria" w:eastAsia="Cambria" w:hAnsi="Cambria" w:cs="Cambria"/>
            <w:noProof/>
            <w:color w:val="0000FF"/>
            <w:sz w:val="20"/>
            <w:szCs w:val="20"/>
            <w:lang w:val="x-none" w:eastAsia="x-none"/>
          </w:rPr>
          <w:t>(Kong &amp; Wang, 2024)</w:t>
        </w:r>
        <w:r w:rsidRPr="00294E2E">
          <w:rPr>
            <w:rFonts w:ascii="Cambria" w:eastAsia="Cambria" w:hAnsi="Cambria" w:cs="Cambria"/>
            <w:color w:val="0000FF"/>
            <w:sz w:val="20"/>
            <w:szCs w:val="20"/>
            <w:lang w:val="x-none" w:eastAsia="x-none"/>
          </w:rPr>
          <w:fldChar w:fldCharType="end"/>
        </w:r>
      </w:hyperlink>
      <w:r w:rsidRPr="00294E2E">
        <w:rPr>
          <w:rFonts w:ascii="Cambria" w:eastAsia="Cambria" w:hAnsi="Cambria" w:cs="Cambria"/>
          <w:sz w:val="20"/>
          <w:szCs w:val="20"/>
          <w:lang w:val="x-none" w:eastAsia="x-none"/>
        </w:rPr>
        <w:t>. The development of teaching materials is carried out to meet the needs of teachers and students. The results of this stage are in the form of teaching material products that are structured and in accordance with the required competencies, as well as questionnaires designed to measure validity and collect data from research subjects</w:t>
      </w:r>
      <w:r w:rsidRPr="00294E2E">
        <w:rPr>
          <w:rFonts w:ascii="Cambria" w:eastAsia="Cambria" w:hAnsi="Cambria" w:cs="Cambria"/>
          <w:sz w:val="20"/>
          <w:szCs w:val="20"/>
          <w:lang w:val="en-US" w:eastAsia="x-none"/>
        </w:rPr>
        <w:t xml:space="preserve">  </w:t>
      </w:r>
      <w:hyperlink r:id="rId67" w:history="1">
        <w:r w:rsidRPr="00294E2E">
          <w:rPr>
            <w:rFonts w:ascii="Cambria" w:eastAsia="Cambria" w:hAnsi="Cambria" w:cs="Cambria"/>
            <w:color w:val="0000FF"/>
            <w:sz w:val="20"/>
            <w:szCs w:val="20"/>
            <w:lang w:val="en-US" w:eastAsia="x-none"/>
          </w:rPr>
          <w:fldChar w:fldCharType="begin" w:fldLock="1"/>
        </w:r>
        <w:r w:rsidRPr="00294E2E">
          <w:rPr>
            <w:rFonts w:ascii="Cambria" w:eastAsia="Cambria" w:hAnsi="Cambria" w:cs="Cambria"/>
            <w:color w:val="0000FF"/>
            <w:sz w:val="20"/>
            <w:szCs w:val="20"/>
            <w:lang w:val="en-US" w:eastAsia="x-none"/>
          </w:rPr>
          <w:instrText>ADDIN CSL_CITATION {"citationItems":[{"id":"ITEM-1","itemData":{"DOI":"10.1016/j.ijme.2021.100561","ISSN":"14728117","author":[{"dropping-particle":"","family":"Wu","given":"Yenchun Jim","non-dropping-particle":"","parse-names":false,"suffix":""},{"dropping-particle":"","family":"Chen","given":"Jeng-Chung","non-dropping-particle":"","parse-names":false,"suffix":""}],"container-title":"The International Journal of Management Education","id":"ITEM-1","issue":"3","issued":{"date-parts":[["2021","11"]]},"page":"100561","title":"Stimulating innovation with an innovative curriculum: A curriculum design for a course on new product development","type":"article-journal","volume":"19"},"uris":["http://www.mendeley.com/documents/?uuid=daf915e5-a1a6-4c35-80e6-66fd6ebbc501"]}],"mendeley":{"formattedCitation":"(Y. J. Wu &amp; Chen, 2021)","plainTextFormattedCitation":"(Y. J. Wu &amp; Chen, 2021)","previouslyFormattedCitation":"(Y. J. Wu &amp; Chen, 2021)"},"properties":{"noteIndex":0},"schema":"https://github.com/citation-style-language/schema/raw/master/csl-citation.json"}</w:instrText>
        </w:r>
        <w:r w:rsidRPr="00294E2E">
          <w:rPr>
            <w:rFonts w:ascii="Cambria" w:eastAsia="Cambria" w:hAnsi="Cambria" w:cs="Cambria"/>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(Y. J. Wu &amp; Chen, 2021)</w:t>
        </w:r>
        <w:r w:rsidRPr="00294E2E">
          <w:rPr>
            <w:rFonts w:ascii="Cambria" w:eastAsia="Cambria" w:hAnsi="Cambria" w:cs="Cambria"/>
            <w:color w:val="0000FF"/>
            <w:sz w:val="20"/>
            <w:szCs w:val="20"/>
            <w:lang w:val="en-US" w:eastAsia="x-none"/>
          </w:rPr>
          <w:fldChar w:fldCharType="end"/>
        </w:r>
      </w:hyperlink>
      <w:r w:rsidRPr="00294E2E">
        <w:rPr>
          <w:rFonts w:ascii="Cambria" w:eastAsia="Cambria" w:hAnsi="Cambria" w:cs="Cambria"/>
          <w:sz w:val="20"/>
          <w:szCs w:val="20"/>
          <w:lang w:val="x-none" w:eastAsia="x-none"/>
        </w:rPr>
        <w:t>.</w:t>
      </w:r>
    </w:p>
    <w:p w:rsidR="00294E2E" w:rsidRPr="00294E2E" w:rsidRDefault="00294E2E" w:rsidP="00294E2E">
      <w:pPr>
        <w:spacing w:after="0" w:line="240" w:lineRule="auto"/>
        <w:ind w:left="142" w:firstLine="578"/>
        <w:contextualSpacing/>
        <w:jc w:val="both"/>
        <w:rPr>
          <w:rFonts w:ascii="Cambria" w:eastAsia="Cambria" w:hAnsi="Cambria" w:cs="Cambria"/>
          <w:b/>
          <w:bCs/>
          <w:sz w:val="20"/>
          <w:szCs w:val="20"/>
          <w:lang w:val="x-none" w:eastAsia="x-none"/>
        </w:rPr>
      </w:pPr>
    </w:p>
    <w:p w:rsidR="00294E2E" w:rsidRPr="00294E2E" w:rsidRDefault="00294E2E" w:rsidP="00294E2E">
      <w:pPr>
        <w:spacing w:after="0" w:line="240" w:lineRule="auto"/>
        <w:jc w:val="both"/>
        <w:rPr>
          <w:rFonts w:ascii="Cambria" w:eastAsia="Cambria" w:hAnsi="Cambria" w:cs="Cambria"/>
          <w:b/>
          <w:bCs/>
          <w:sz w:val="24"/>
          <w:szCs w:val="24"/>
          <w:lang w:val="en-US" w:eastAsia="en-ID"/>
        </w:rPr>
      </w:pPr>
      <w:r w:rsidRPr="00294E2E">
        <w:rPr>
          <w:rFonts w:ascii="Cambria" w:eastAsia="Cambria" w:hAnsi="Cambria" w:cs="Cambria"/>
          <w:b/>
          <w:bCs/>
          <w:sz w:val="24"/>
          <w:szCs w:val="24"/>
          <w:lang w:val="en-US" w:eastAsia="en-ID"/>
        </w:rPr>
        <w:t>Implementation stage</w:t>
      </w:r>
    </w:p>
    <w:p w:rsidR="00294E2E" w:rsidRPr="00294E2E" w:rsidRDefault="00294E2E" w:rsidP="00294E2E">
      <w:pPr>
        <w:spacing w:after="0" w:line="240" w:lineRule="auto"/>
        <w:ind w:left="426" w:firstLine="294"/>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When using teaching materials, there are several important elements to consider, including:</w:t>
      </w: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1. Need for teaching materials:</w:t>
      </w:r>
    </w:p>
    <w:p w:rsidR="00294E2E" w:rsidRPr="00294E2E" w:rsidRDefault="00294E2E" w:rsidP="00294E2E">
      <w:pPr>
        <w:spacing w:after="0" w:line="240" w:lineRule="auto"/>
        <w:ind w:left="709"/>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    In the current technological era, the development of educational teaching materials has become very important to meet the increasingly diverse needs of students. Teaching materials play a crucial role in learning Indonesian because they function as a guide in implementing learning activities, which aim to achieve the desired learning goals. In this context, the teacher's role in developing teaching materials is an indicator of how effectively learning objectives can be achieved.</w:t>
      </w: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lastRenderedPageBreak/>
        <w:t>2. Test and evaluate:</w:t>
      </w:r>
    </w:p>
    <w:p w:rsidR="00294E2E" w:rsidRPr="00294E2E" w:rsidRDefault="00294E2E" w:rsidP="00294E2E">
      <w:pPr>
        <w:spacing w:after="0" w:line="240" w:lineRule="auto"/>
        <w:ind w:left="709"/>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    After the product is deemed suitable by experts, the next stage is individual trials, then trials in small groups, and finally field trials. If deficiencies are found during testing, an evaluation needs to be carried out at that stage to improve the teaching materials being developed. Evaluation at this stage is not only limited to the design and development stage, or product implementation, but is carried out at all stages of ADDIE model development.</w:t>
      </w:r>
    </w:p>
    <w:p w:rsidR="00294E2E" w:rsidRPr="00294E2E" w:rsidRDefault="00294E2E" w:rsidP="00294E2E">
      <w:pPr>
        <w:spacing w:after="0" w:line="240" w:lineRule="auto"/>
        <w:jc w:val="both"/>
        <w:rPr>
          <w:rFonts w:ascii="Cambria" w:eastAsia="Cambria" w:hAnsi="Cambria" w:cs="Cambria"/>
          <w:b/>
          <w:bCs/>
          <w:sz w:val="24"/>
          <w:szCs w:val="24"/>
          <w:lang w:val="en-US" w:eastAsia="en-ID"/>
        </w:rPr>
      </w:pPr>
      <w:r w:rsidRPr="00294E2E">
        <w:rPr>
          <w:rFonts w:ascii="Cambria" w:eastAsia="Cambria" w:hAnsi="Cambria" w:cs="Cambria"/>
          <w:b/>
          <w:bCs/>
          <w:sz w:val="24"/>
          <w:szCs w:val="24"/>
          <w:lang w:val="en-US" w:eastAsia="en-ID"/>
        </w:rPr>
        <w:t>Evaluation</w:t>
      </w:r>
    </w:p>
    <w:p w:rsidR="00294E2E" w:rsidRPr="00294E2E" w:rsidRDefault="00294E2E" w:rsidP="00294E2E">
      <w:pPr>
        <w:spacing w:after="0" w:line="240" w:lineRule="auto"/>
        <w:ind w:left="426" w:firstLine="294"/>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Evaluation is an important process that aims to evaluate the success of teaching materials that have been developed, as well as to assess whether they meet expectations at the initial development stage. Usually, the formal evaluation stage is carried out at the end of the four stages mentioned previously. </w:t>
      </w:r>
      <w:bookmarkStart w:id="5" w:name="_Hlk166750350"/>
      <w:r w:rsidRPr="00294E2E">
        <w:rPr>
          <w:rFonts w:ascii="Cambria" w:eastAsia="Cambria" w:hAnsi="Cambria" w:cs="Cambria"/>
          <w:sz w:val="20"/>
          <w:szCs w:val="20"/>
          <w:lang w:val="en-US" w:eastAsia="x-none"/>
        </w:rPr>
        <w:t xml:space="preserve">However, formative evaluation is also carried out at each stage to immediately identify areas of necessary improvement. The evaluation stage is the final step in the ADDIE model for developing teaching materials  </w:t>
      </w:r>
      <w:hyperlink r:id="rId68" w:history="1">
        <w:r w:rsidRPr="00294E2E">
          <w:rPr>
            <w:rFonts w:ascii="Cambria" w:eastAsia="Cambria" w:hAnsi="Cambria" w:cs="Cambria"/>
            <w:color w:val="0000FF"/>
            <w:sz w:val="20"/>
            <w:szCs w:val="20"/>
            <w:lang w:val="en-US" w:eastAsia="x-none"/>
          </w:rPr>
          <w:fldChar w:fldCharType="begin" w:fldLock="1"/>
        </w:r>
        <w:r w:rsidRPr="00294E2E">
          <w:rPr>
            <w:rFonts w:ascii="Cambria" w:eastAsia="Cambria" w:hAnsi="Cambria" w:cs="Cambria"/>
            <w:color w:val="0000FF"/>
            <w:sz w:val="20"/>
            <w:szCs w:val="20"/>
            <w:lang w:val="en-US" w:eastAsia="x-none"/>
          </w:rPr>
          <w:instrText>ADDIN CSL_CITATION {"citationItems":[{"id":"ITEM-1","itemData":{"DOI":"10.1016/j.caeai.2021.100030","ISSN":"2666920X","author":[{"dropping-particle":"","family":"Yu","given":"Shih-Jou","non-dropping-particle":"","parse-names":false,"suffix":""},{"dropping-particle":"","family":"Hsueh","given":"Yu-Ling","non-dropping-particle":"","parse-names":false,"suffix":""},{"dropping-particle":"","family":"Sun","given":"Jerry Chih-Yuan","non-dropping-particle":"","parse-names":false,"suffix":""},{"dropping-particle":"","family":"Liu","given":"Hao-Ze","non-dropping-particle":"","parse-names":false,"suffix":""}],"container-title":"Computers and Education: Artificial Intelligence","id":"ITEM-1","issued":{"date-parts":[["2021"]]},"page":"100030","title":"Developing an intelligent virtual reality interactive system based on the ADDIE model for learning pour-over coffee brewing","type":"article-journal","volume":"2"},"uris":["http://www.mendeley.com/documents/?uuid=92ff841f-bbcb-46aa-a244-2a3e3ef51864"]}],"mendeley":{"formattedCitation":"(Yu et al., 2021)","plainTextFormattedCitation":"(Yu et al., 2021)","previouslyFormattedCitation":"(Yu et al., 2021)"},"properties":{"noteIndex":0},"schema":"https://github.com/citation-style-language/schema/raw/master/csl-citation.json"}</w:instrText>
        </w:r>
        <w:r w:rsidRPr="00294E2E">
          <w:rPr>
            <w:rFonts w:ascii="Cambria" w:eastAsia="Cambria" w:hAnsi="Cambria" w:cs="Cambria"/>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(Yu et al., 2021)</w:t>
        </w:r>
        <w:r w:rsidRPr="00294E2E">
          <w:rPr>
            <w:rFonts w:ascii="Cambria" w:eastAsia="Cambria" w:hAnsi="Cambria" w:cs="Cambria"/>
            <w:color w:val="0000FF"/>
            <w:sz w:val="20"/>
            <w:szCs w:val="20"/>
            <w:lang w:val="en-US" w:eastAsia="x-none"/>
          </w:rPr>
          <w:fldChar w:fldCharType="end"/>
        </w:r>
      </w:hyperlink>
      <w:r w:rsidRPr="00294E2E">
        <w:rPr>
          <w:rFonts w:ascii="Cambria" w:eastAsia="Cambria" w:hAnsi="Cambria" w:cs="Cambria"/>
          <w:sz w:val="20"/>
          <w:szCs w:val="20"/>
          <w:lang w:val="en-US" w:eastAsia="x-none"/>
        </w:rPr>
        <w:t xml:space="preserve">. The aim is to provide an assessment of the teaching materials that have been developed, ensure their effectiveness, and check their suitability to the learning objectives that have been set </w:t>
      </w:r>
      <w:bookmarkEnd w:id="5"/>
      <w:r w:rsidRPr="00294E2E">
        <w:rPr>
          <w:rFonts w:ascii="Times New Roman" w:eastAsia="MS Mincho" w:hAnsi="Times New Roman" w:cs="Times New Roman"/>
          <w:sz w:val="24"/>
          <w:szCs w:val="24"/>
          <w:lang w:val="x-none" w:eastAsia="x-none"/>
        </w:rPr>
        <w:fldChar w:fldCharType="begin"/>
      </w:r>
      <w:r w:rsidRPr="00294E2E">
        <w:rPr>
          <w:rFonts w:ascii="Times New Roman" w:eastAsia="MS Mincho" w:hAnsi="Times New Roman" w:cs="Times New Roman"/>
          <w:sz w:val="24"/>
          <w:szCs w:val="24"/>
          <w:lang w:val="x-none" w:eastAsia="x-none"/>
        </w:rPr>
        <w:instrText>HYPERLINK "(Conrad%20et%20al.,%202024)."</w:instrText>
      </w:r>
      <w:r w:rsidRPr="00294E2E">
        <w:rPr>
          <w:rFonts w:ascii="Times New Roman" w:eastAsia="MS Mincho" w:hAnsi="Times New Roman" w:cs="Times New Roman"/>
          <w:sz w:val="24"/>
          <w:szCs w:val="24"/>
          <w:lang w:val="x-none" w:eastAsia="x-none"/>
        </w:rPr>
        <w:fldChar w:fldCharType="separate"/>
      </w:r>
      <w:r w:rsidRPr="00294E2E">
        <w:rPr>
          <w:rFonts w:ascii="Cambria" w:eastAsia="Cambria" w:hAnsi="Cambria" w:cs="Cambria"/>
          <w:color w:val="0000FF"/>
          <w:sz w:val="20"/>
          <w:szCs w:val="20"/>
          <w:lang w:val="en-US" w:eastAsia="x-none"/>
        </w:rPr>
        <w:fldChar w:fldCharType="begin" w:fldLock="1"/>
      </w:r>
      <w:r w:rsidRPr="00294E2E">
        <w:rPr>
          <w:rFonts w:ascii="Cambria" w:eastAsia="Cambria" w:hAnsi="Cambria" w:cs="Cambria"/>
          <w:color w:val="0000FF"/>
          <w:sz w:val="20"/>
          <w:szCs w:val="20"/>
          <w:lang w:val="en-US" w:eastAsia="x-none"/>
        </w:rPr>
        <w:instrText>ADDIN CSL_CITATION {"citationItems":[{"id":"ITEM-1","itemData":{"DOI":"10.1016/j.cexr.2024.100053","ISSN":"29496780","author":[{"dropping-particle":"","family":"Conrad","given":"Matthias","non-dropping-particle":"","parse-names":false,"suffix":""},{"dropping-particle":"","family":"Kablitz","given":"David","non-dropping-particle":"","parse-names":false,"suffix":""},{"dropping-particle":"","family":"Schumann","given":"Stephan","non-dropping-particle":"","parse-names":false,"suffix":""}],"container-title":"Computers &amp; Education: X Reality","id":"ITEM-1","issued":{"date-parts":[["2024"]]},"page":"100053","title":"Learning effectiveness of immersive virtual reality in education and training: A systematic review of findings","type":"article-journal","volume":"4"},"uris":["http://www.mendeley.com/documents/?uuid=b49465e3-e630-4d1b-aa2f-1565bac449dd"]}],"mendeley":{"formattedCitation":"(Conrad et al., 2024)","plainTextFormattedCitation":"(Conrad et al., 2024)","previouslyFormattedCitation":"(Conrad et al., 2024)"},"properties":{"noteIndex":0},"schema":"https://github.com/citation-style-language/schema/raw/master/csl-citation.json"}</w:instrText>
      </w:r>
      <w:r w:rsidRPr="00294E2E">
        <w:rPr>
          <w:rFonts w:ascii="Cambria" w:eastAsia="Cambria" w:hAnsi="Cambria" w:cs="Cambria"/>
          <w:color w:val="0000FF"/>
          <w:sz w:val="20"/>
          <w:szCs w:val="20"/>
          <w:lang w:val="en-US" w:eastAsia="x-none"/>
        </w:rPr>
        <w:fldChar w:fldCharType="separate"/>
      </w:r>
      <w:r w:rsidRPr="00294E2E">
        <w:rPr>
          <w:rFonts w:ascii="Cambria" w:eastAsia="Cambria" w:hAnsi="Cambria" w:cs="Cambria"/>
          <w:noProof/>
          <w:color w:val="0000FF"/>
          <w:sz w:val="20"/>
          <w:szCs w:val="20"/>
          <w:lang w:val="en-US" w:eastAsia="x-none"/>
        </w:rPr>
        <w:t>(Conrad et al., 2024)</w:t>
      </w:r>
      <w:r w:rsidRPr="00294E2E">
        <w:rPr>
          <w:rFonts w:ascii="Cambria" w:eastAsia="Cambria" w:hAnsi="Cambria" w:cs="Cambria"/>
          <w:color w:val="0000FF"/>
          <w:sz w:val="20"/>
          <w:szCs w:val="20"/>
          <w:lang w:val="en-US" w:eastAsia="x-none"/>
        </w:rPr>
        <w:fldChar w:fldCharType="end"/>
      </w:r>
      <w:r w:rsidRPr="00294E2E">
        <w:rPr>
          <w:rFonts w:ascii="Cambria" w:eastAsia="Cambria" w:hAnsi="Cambria" w:cs="Cambria"/>
          <w:color w:val="0000FF"/>
          <w:sz w:val="20"/>
          <w:szCs w:val="20"/>
          <w:lang w:val="en-US" w:eastAsia="x-none"/>
        </w:rPr>
        <w:t>.</w:t>
      </w:r>
      <w:r w:rsidRPr="00294E2E">
        <w:rPr>
          <w:rFonts w:ascii="Cambria" w:eastAsia="Cambria" w:hAnsi="Cambria" w:cs="Cambria"/>
          <w:color w:val="0000FF"/>
          <w:sz w:val="20"/>
          <w:szCs w:val="20"/>
          <w:lang w:val="en-US" w:eastAsia="x-none"/>
        </w:rPr>
        <w:fldChar w:fldCharType="end"/>
      </w:r>
    </w:p>
    <w:p w:rsidR="00294E2E" w:rsidRPr="00294E2E" w:rsidRDefault="00294E2E" w:rsidP="00294E2E">
      <w:pPr>
        <w:spacing w:after="0" w:line="240" w:lineRule="auto"/>
        <w:ind w:left="426"/>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426"/>
        <w:contextualSpacing/>
        <w:jc w:val="both"/>
        <w:rPr>
          <w:rFonts w:ascii="Cambria" w:eastAsia="Cambria" w:hAnsi="Cambria" w:cs="Cambria"/>
          <w:b/>
          <w:bCs/>
          <w:sz w:val="20"/>
          <w:szCs w:val="20"/>
          <w:lang w:val="en-US" w:eastAsia="x-none"/>
        </w:rPr>
      </w:pPr>
      <w:r w:rsidRPr="00294E2E">
        <w:rPr>
          <w:rFonts w:ascii="Cambria" w:eastAsia="Cambria" w:hAnsi="Cambria" w:cs="Cambria"/>
          <w:b/>
          <w:bCs/>
          <w:sz w:val="20"/>
          <w:szCs w:val="20"/>
          <w:lang w:val="en-US" w:eastAsia="x-none"/>
        </w:rPr>
        <w:t>Indonesian Studies Expert</w:t>
      </w:r>
    </w:p>
    <w:p w:rsidR="00294E2E" w:rsidRPr="00294E2E" w:rsidRDefault="00294E2E" w:rsidP="00294E2E">
      <w:pPr>
        <w:spacing w:after="0" w:line="240" w:lineRule="auto"/>
        <w:ind w:left="426" w:firstLine="58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The overall evaluation by Indonesian language experts showed that the teaching materials achieved 85% of the maximum total score of 100%, indicating general suitability for application. According to the guidelines, products with a score of 75% or more are considered suitable for use in learning. Each criterion also meets or exceeds the 75% threshold.</w:t>
      </w:r>
    </w:p>
    <w:p w:rsidR="00294E2E" w:rsidRPr="00294E2E" w:rsidRDefault="00294E2E" w:rsidP="00294E2E">
      <w:pPr>
        <w:spacing w:after="0" w:line="240" w:lineRule="auto"/>
        <w:ind w:left="426" w:firstLine="294"/>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426" w:firstLine="58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Even though these three criteria do not reach the maximum score of 100%, they are still considered adequate, with mastery of the material reaching a score of 75%, depth of material reaching a score of 85%, and suitability of the language to the student's level of development reaching a score of 85%. Thus, the overall score is 91.6%. However, improvement does not depend on percentage scores alone; input and suggestions from experts are also considered. Evaluation of the feasibility of this teaching material also considers each component and subcomponent. For example, in the content appropriateness component, the material completeness subcomponent achieved a score of 75%, meeting the minimum standard without the need for revision. Furthermore, the depth of the material received a score of 85%, indicating a high level of feasibility and application in teaching materials.</w:t>
      </w:r>
    </w:p>
    <w:p w:rsidR="00294E2E" w:rsidRPr="00294E2E" w:rsidRDefault="00294E2E" w:rsidP="00294E2E">
      <w:pPr>
        <w:spacing w:after="0" w:line="240" w:lineRule="auto"/>
        <w:ind w:left="426" w:firstLine="588"/>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426" w:firstLine="58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The subcomponents of material accuracy and learning support materials both scored 100%, indicating that they are feasible to implement without revision. Regarding language appropriateness, the subcomponent of assessing language suitability to students' development levels received a score of 91.6%, with the predicate "very appropriate". In addition, the communicative subcomponents and coherence and unity of ideas each achieved a score of 100%, thus qualifying as very suitable for implementation without revision. However, it should be noted that the percentage score is not the sole determining factor for product suitability, and further action can be taken.</w:t>
      </w:r>
    </w:p>
    <w:p w:rsidR="00294E2E" w:rsidRPr="00294E2E" w:rsidRDefault="00294E2E" w:rsidP="00294E2E">
      <w:pPr>
        <w:spacing w:after="0" w:line="240" w:lineRule="auto"/>
        <w:ind w:left="426" w:firstLine="588"/>
        <w:contextualSpacing/>
        <w:jc w:val="both"/>
        <w:rPr>
          <w:rFonts w:ascii="Cambria" w:eastAsia="Cambria" w:hAnsi="Cambria" w:cs="Cambria"/>
          <w:sz w:val="20"/>
          <w:szCs w:val="20"/>
          <w:lang w:val="en-US" w:eastAsia="x-none"/>
        </w:rPr>
      </w:pPr>
    </w:p>
    <w:p w:rsidR="00294E2E" w:rsidRPr="00294E2E" w:rsidRDefault="00294E2E" w:rsidP="00294E2E">
      <w:pPr>
        <w:spacing w:after="0" w:line="240" w:lineRule="auto"/>
        <w:ind w:left="142"/>
        <w:contextualSpacing/>
        <w:rPr>
          <w:rFonts w:ascii="Cambria" w:eastAsia="Cambria" w:hAnsi="Cambria" w:cs="Cambria"/>
          <w:b/>
          <w:bCs/>
          <w:sz w:val="20"/>
          <w:szCs w:val="20"/>
          <w:lang w:val="en-US" w:eastAsia="x-none"/>
        </w:rPr>
      </w:pPr>
      <w:r w:rsidRPr="00294E2E">
        <w:rPr>
          <w:rFonts w:ascii="Cambria" w:eastAsia="Cambria" w:hAnsi="Cambria" w:cs="Cambria"/>
          <w:b/>
          <w:bCs/>
          <w:sz w:val="20"/>
          <w:szCs w:val="20"/>
          <w:lang w:val="en-US" w:eastAsia="x-none"/>
        </w:rPr>
        <w:t>Analysis of validation results from graphic expert data</w:t>
      </w:r>
    </w:p>
    <w:p w:rsidR="00294E2E" w:rsidRPr="00294E2E" w:rsidRDefault="00294E2E" w:rsidP="00294E2E">
      <w:pPr>
        <w:spacing w:after="0" w:line="240" w:lineRule="auto"/>
        <w:ind w:left="142" w:firstLine="578"/>
        <w:contextualSpacing/>
        <w:jc w:val="both"/>
        <w:rPr>
          <w:rFonts w:ascii="Cambria" w:eastAsia="Cambria" w:hAnsi="Cambria" w:cs="Cambria"/>
          <w:b/>
          <w:bCs/>
          <w:sz w:val="20"/>
          <w:szCs w:val="20"/>
          <w:lang w:val="en-US" w:eastAsia="x-none"/>
        </w:rPr>
      </w:pPr>
      <w:r w:rsidRPr="00294E2E">
        <w:rPr>
          <w:rFonts w:ascii="Cambria" w:eastAsia="Cambria" w:hAnsi="Cambria" w:cs="Cambria"/>
          <w:sz w:val="20"/>
          <w:szCs w:val="20"/>
          <w:lang w:val="en-US" w:eastAsia="x-none"/>
        </w:rPr>
        <w:t>Evaluation of all graphic aspects, including cover and content, resulted in a score of 89%. Based on the product suitability guidelines explained in Chapter III, this score shows that the teaching material is suitable and can be used. However, this data is not the only consideration for improving a product. Assessment of each subcomponent and input from experts also play an important role in improving the product</w:t>
      </w:r>
      <w:r w:rsidRPr="00294E2E">
        <w:rPr>
          <w:rFonts w:ascii="Cambria" w:eastAsia="Cambria" w:hAnsi="Cambria" w:cs="Cambria"/>
          <w:b/>
          <w:bCs/>
          <w:sz w:val="20"/>
          <w:szCs w:val="20"/>
          <w:lang w:val="en-US" w:eastAsia="x-none"/>
        </w:rPr>
        <w:t>.</w:t>
      </w:r>
    </w:p>
    <w:p w:rsidR="00294E2E" w:rsidRPr="00294E2E" w:rsidRDefault="00294E2E" w:rsidP="00294E2E">
      <w:pPr>
        <w:spacing w:after="0" w:line="240" w:lineRule="auto"/>
        <w:ind w:left="142" w:firstLine="578"/>
        <w:contextualSpacing/>
        <w:jc w:val="both"/>
        <w:rPr>
          <w:rFonts w:ascii="Cambria" w:eastAsia="Cambria" w:hAnsi="Cambria" w:cs="Cambria"/>
          <w:sz w:val="20"/>
          <w:szCs w:val="20"/>
          <w:lang w:val="en-US" w:eastAsia="x-none"/>
        </w:rPr>
      </w:pPr>
      <w:r w:rsidRPr="00294E2E">
        <w:rPr>
          <w:rFonts w:ascii="Cambria" w:eastAsia="Cambria" w:hAnsi="Cambria" w:cs="Cambria"/>
          <w:sz w:val="20"/>
          <w:szCs w:val="20"/>
          <w:lang w:val="en-US" w:eastAsia="x-none"/>
        </w:rPr>
        <w:t xml:space="preserve">For cover images, the percentage values for each subcomponent are as follows: 87.5% for layout, 75% for typography, and 75% for illustrations. The scores show that the three subcomponents meet the standards and are suitable for use. </w:t>
      </w:r>
      <w:proofErr w:type="gramStart"/>
      <w:r w:rsidRPr="00294E2E">
        <w:rPr>
          <w:rFonts w:ascii="Cambria" w:eastAsia="Cambria" w:hAnsi="Cambria" w:cs="Cambria"/>
          <w:sz w:val="20"/>
          <w:szCs w:val="20"/>
          <w:lang w:val="en-US" w:eastAsia="x-none"/>
        </w:rPr>
        <w:t>Likewise</w:t>
      </w:r>
      <w:proofErr w:type="gramEnd"/>
      <w:r w:rsidRPr="00294E2E">
        <w:rPr>
          <w:rFonts w:ascii="Cambria" w:eastAsia="Cambria" w:hAnsi="Cambria" w:cs="Cambria"/>
          <w:sz w:val="20"/>
          <w:szCs w:val="20"/>
          <w:lang w:val="en-US" w:eastAsia="x-none"/>
        </w:rPr>
        <w:t xml:space="preserve"> for graphic content, with percentage values of 100% for layout, 91.6% for typography, and 100% for illustrations. With a value above 75%, all subcomponents in the graphic content component are considered feasible and suitable for use.</w:t>
      </w:r>
    </w:p>
    <w:p w:rsidR="005B5AEC" w:rsidRPr="00723B12" w:rsidRDefault="005B5AEC" w:rsidP="002A02C2">
      <w:pPr>
        <w:pStyle w:val="Alishlah21heading1"/>
        <w:rPr>
          <w:rFonts w:eastAsia="Arial"/>
        </w:rPr>
      </w:pPr>
      <w:r w:rsidRPr="00723B12">
        <w:rPr>
          <w:rFonts w:eastAsia="Arial"/>
        </w:rPr>
        <w:t xml:space="preserve">CONCLUSION </w:t>
      </w:r>
    </w:p>
    <w:p w:rsidR="002B31FD" w:rsidRDefault="00294E2E" w:rsidP="00727D5A">
      <w:pPr>
        <w:pStyle w:val="Alishlah31text"/>
      </w:pPr>
      <w:r w:rsidRPr="00294E2E">
        <w:t xml:space="preserve">In the 21st century era characterized by rapid technological advancements, the importance of strengthening Indonesia's cultural identity has become increasingly clear in order to keep the spirit of nationalism alive. To achieve this goal, the ADDIE concept emerges as a relevant solution. In this </w:t>
      </w:r>
      <w:r w:rsidRPr="00294E2E">
        <w:lastRenderedPageBreak/>
        <w:t>conceptual framework, each component is Analysis, Design, Development, Implementation, and Evaluation, each of which has a role and contribution appropriate to its field. The hope is that this can become a solid foundation and become a driver of progress in the world of education in strengthening Indonesia's cultural heritage, so that the spirit of nationalism remains firm in the 21st century era</w:t>
      </w:r>
      <w:r w:rsidR="002B31FD" w:rsidRPr="004841C5">
        <w:t>.</w:t>
      </w:r>
    </w:p>
    <w:p w:rsidR="002B31FD" w:rsidRPr="00234749" w:rsidRDefault="002B31FD" w:rsidP="002B31FD">
      <w:pPr>
        <w:pStyle w:val="Alishlah62Acknowledgments"/>
      </w:pPr>
      <w:r>
        <w:rPr>
          <w:b/>
        </w:rPr>
        <w:t>Acknowledgments:</w:t>
      </w:r>
      <w:r w:rsidRPr="00234749">
        <w:t xml:space="preserve"> </w:t>
      </w:r>
      <w:r w:rsidR="00294E2E" w:rsidRPr="00294E2E">
        <w:t xml:space="preserve">The author expresses her gratitude to all informants who have contributed as sources in this research. In addition, the author would also like to thank Yogyakarta State University and Mrs. </w:t>
      </w:r>
      <w:proofErr w:type="spellStart"/>
      <w:r w:rsidR="00294E2E" w:rsidRPr="00294E2E">
        <w:t>Unik</w:t>
      </w:r>
      <w:proofErr w:type="spellEnd"/>
      <w:r w:rsidR="00294E2E" w:rsidRPr="00294E2E">
        <w:t xml:space="preserve"> Ambar </w:t>
      </w:r>
      <w:proofErr w:type="spellStart"/>
      <w:r w:rsidR="00294E2E" w:rsidRPr="00294E2E">
        <w:t>Wati</w:t>
      </w:r>
      <w:proofErr w:type="spellEnd"/>
      <w:r w:rsidR="00294E2E" w:rsidRPr="00294E2E">
        <w:t xml:space="preserve"> as the thesis supervisor. gratitude is also extended to the teachers at SD Negeri 15 </w:t>
      </w:r>
      <w:proofErr w:type="spellStart"/>
      <w:r w:rsidR="00294E2E" w:rsidRPr="00294E2E">
        <w:t>Meyangan</w:t>
      </w:r>
      <w:proofErr w:type="spellEnd"/>
      <w:r w:rsidR="00294E2E" w:rsidRPr="00294E2E">
        <w:t>, including the Principal</w:t>
      </w:r>
      <w:r w:rsidRPr="00234749">
        <w:t>.</w:t>
      </w:r>
    </w:p>
    <w:p w:rsidR="002B31FD" w:rsidRDefault="002B31FD" w:rsidP="002B31FD">
      <w:pPr>
        <w:pStyle w:val="Alishlah62Acknowledgments"/>
        <w:rPr>
          <w:rFonts w:eastAsia="Arial"/>
        </w:rPr>
      </w:pPr>
      <w:r w:rsidRPr="004841C5">
        <w:rPr>
          <w:b/>
        </w:rPr>
        <w:t>Conflicts of Interest:</w:t>
      </w:r>
      <w:r w:rsidRPr="004841C5">
        <w:t xml:space="preserve"> </w:t>
      </w:r>
      <w:r w:rsidR="0002425C" w:rsidRPr="0002425C">
        <w:t xml:space="preserve">The authors declare no conflict of </w:t>
      </w:r>
      <w:proofErr w:type="gramStart"/>
      <w:r w:rsidR="0002425C" w:rsidRPr="0002425C">
        <w:t>interest.</w:t>
      </w:r>
      <w:r w:rsidRPr="004841C5">
        <w:t>.</w:t>
      </w:r>
      <w:proofErr w:type="gramEnd"/>
    </w:p>
    <w:p w:rsidR="002B31FD" w:rsidRPr="00EA356C" w:rsidRDefault="005B5AEC" w:rsidP="002B31FD">
      <w:pPr>
        <w:pStyle w:val="Alishlah21heading1"/>
        <w:numPr>
          <w:ilvl w:val="0"/>
          <w:numId w:val="0"/>
        </w:numPr>
        <w:rPr>
          <w:rFonts w:eastAsia="Arial"/>
        </w:rPr>
      </w:pPr>
      <w:r w:rsidRPr="00723B12">
        <w:rPr>
          <w:rFonts w:eastAsia="Arial"/>
        </w:rPr>
        <w:t>REFERENCES</w:t>
      </w:r>
      <w:bookmarkStart w:id="6" w:name="_GoBack"/>
      <w:bookmarkEnd w:id="6"/>
    </w:p>
    <w:p w:rsidR="0002425C" w:rsidRPr="0002425C" w:rsidRDefault="002B31FD"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fldChar w:fldCharType="begin" w:fldLock="1"/>
      </w:r>
      <w:r>
        <w:instrText xml:space="preserve">ADDIN Mendeley Bibliography CSL_BIBLIOGRAPHY </w:instrText>
      </w:r>
      <w:r>
        <w:fldChar w:fldCharType="separate"/>
      </w:r>
      <w:r w:rsidR="0002425C" w:rsidRPr="0002425C">
        <w:rPr>
          <w:rFonts w:ascii="Cambria" w:eastAsia="MS Mincho" w:hAnsi="Cambria" w:cs="Times New Roman"/>
          <w:noProof/>
          <w:sz w:val="20"/>
          <w:szCs w:val="24"/>
          <w:lang w:val="en-AU" w:eastAsia="en-ID"/>
        </w:rPr>
        <w:t xml:space="preserve"> </w:t>
      </w:r>
      <w:r w:rsidR="0002425C" w:rsidRPr="0002425C">
        <w:rPr>
          <w:rFonts w:ascii="Cambria" w:eastAsia="MS Mincho" w:hAnsi="Cambria" w:cs="Times New Roman"/>
          <w:noProof/>
          <w:sz w:val="20"/>
          <w:szCs w:val="24"/>
          <w:lang w:val="en-AU" w:eastAsia="en-ID"/>
        </w:rPr>
        <w:t xml:space="preserve">Adams, B., Thomas, L., Moens, M., &amp; Valcke, M. (2023). University teachers as versatile masters: Evaluating the effectiveness of a professional development programme on student-centred teaching competencies. </w:t>
      </w:r>
      <w:r w:rsidR="0002425C" w:rsidRPr="0002425C">
        <w:rPr>
          <w:rFonts w:ascii="Cambria" w:eastAsia="MS Mincho" w:hAnsi="Cambria" w:cs="Times New Roman"/>
          <w:i/>
          <w:iCs/>
          <w:noProof/>
          <w:sz w:val="20"/>
          <w:szCs w:val="24"/>
          <w:lang w:val="en-AU" w:eastAsia="en-ID"/>
        </w:rPr>
        <w:t>Studies in Educational Evaluation</w:t>
      </w:r>
      <w:r w:rsidR="0002425C" w:rsidRPr="0002425C">
        <w:rPr>
          <w:rFonts w:ascii="Cambria" w:eastAsia="MS Mincho" w:hAnsi="Cambria" w:cs="Times New Roman"/>
          <w:noProof/>
          <w:sz w:val="20"/>
          <w:szCs w:val="24"/>
          <w:lang w:val="en-AU" w:eastAsia="en-ID"/>
        </w:rPr>
        <w:t xml:space="preserve">, </w:t>
      </w:r>
      <w:r w:rsidR="0002425C" w:rsidRPr="0002425C">
        <w:rPr>
          <w:rFonts w:ascii="Cambria" w:eastAsia="MS Mincho" w:hAnsi="Cambria" w:cs="Times New Roman"/>
          <w:i/>
          <w:iCs/>
          <w:noProof/>
          <w:sz w:val="20"/>
          <w:szCs w:val="24"/>
          <w:lang w:val="en-AU" w:eastAsia="en-ID"/>
        </w:rPr>
        <w:t>77</w:t>
      </w:r>
      <w:r w:rsidR="0002425C" w:rsidRPr="0002425C">
        <w:rPr>
          <w:rFonts w:ascii="Cambria" w:eastAsia="MS Mincho" w:hAnsi="Cambria" w:cs="Times New Roman"/>
          <w:noProof/>
          <w:sz w:val="20"/>
          <w:szCs w:val="24"/>
          <w:lang w:val="en-AU" w:eastAsia="en-ID"/>
        </w:rPr>
        <w:t xml:space="preserve">, 101260. </w:t>
      </w:r>
      <w:hyperlink r:id="rId69" w:history="1">
        <w:r w:rsidR="0002425C" w:rsidRPr="0002425C">
          <w:rPr>
            <w:rFonts w:ascii="Cambria" w:eastAsia="MS Mincho" w:hAnsi="Cambria" w:cs="Times New Roman"/>
            <w:noProof/>
            <w:color w:val="0000FF"/>
            <w:sz w:val="20"/>
            <w:szCs w:val="24"/>
            <w:u w:val="single"/>
            <w:lang w:val="en-AU" w:eastAsia="en-ID"/>
          </w:rPr>
          <w:t>https://doi.org/10.1016/j.stueduc.2023.101260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Akyeampong, K., Lussier, K., Pryor, J., &amp; Westbrook, J. (2013). Improving teaching and learning of basic maths and reading in Africa: Does teacher preparation count? </w:t>
      </w:r>
      <w:r w:rsidRPr="0002425C">
        <w:rPr>
          <w:rFonts w:ascii="Cambria" w:eastAsia="MS Mincho" w:hAnsi="Cambria" w:cs="Times New Roman"/>
          <w:i/>
          <w:iCs/>
          <w:noProof/>
          <w:sz w:val="20"/>
          <w:szCs w:val="24"/>
          <w:lang w:val="en-AU" w:eastAsia="en-ID"/>
        </w:rPr>
        <w:t>International Journal of Educational Development</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33</w:t>
      </w:r>
      <w:r w:rsidRPr="0002425C">
        <w:rPr>
          <w:rFonts w:ascii="Cambria" w:eastAsia="MS Mincho" w:hAnsi="Cambria" w:cs="Times New Roman"/>
          <w:noProof/>
          <w:sz w:val="20"/>
          <w:szCs w:val="24"/>
          <w:lang w:val="en-AU" w:eastAsia="en-ID"/>
        </w:rPr>
        <w:t xml:space="preserve">(3), 272–282. </w:t>
      </w:r>
      <w:hyperlink r:id="rId70" w:history="1">
        <w:r w:rsidRPr="0002425C">
          <w:rPr>
            <w:rFonts w:ascii="Cambria" w:eastAsia="MS Mincho" w:hAnsi="Cambria" w:cs="Times New Roman"/>
            <w:noProof/>
            <w:color w:val="0000FF"/>
            <w:sz w:val="20"/>
            <w:szCs w:val="24"/>
            <w:u w:val="single"/>
            <w:lang w:val="en-AU" w:eastAsia="en-ID"/>
          </w:rPr>
          <w:t>https://doi.org/10.1016/j.ijedudev.2012.09.006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Alam, A., Astuti, I., &amp; Suratman, D. (2022). Development of Web Programming Interactive Learning Multimedia in Vocational Middle School. </w:t>
      </w:r>
      <w:r w:rsidRPr="0002425C">
        <w:rPr>
          <w:rFonts w:ascii="Cambria" w:eastAsia="MS Mincho" w:hAnsi="Cambria" w:cs="Times New Roman"/>
          <w:i/>
          <w:iCs/>
          <w:noProof/>
          <w:sz w:val="20"/>
          <w:szCs w:val="24"/>
          <w:lang w:val="en-AU" w:eastAsia="en-ID"/>
        </w:rPr>
        <w:t>JTP - Jurnal Teknologi Pendidikan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24</w:t>
      </w:r>
      <w:r w:rsidRPr="0002425C">
        <w:rPr>
          <w:rFonts w:ascii="Cambria" w:eastAsia="MS Mincho" w:hAnsi="Cambria" w:cs="Times New Roman"/>
          <w:noProof/>
          <w:sz w:val="20"/>
          <w:szCs w:val="24"/>
          <w:lang w:val="en-AU" w:eastAsia="en-ID"/>
        </w:rPr>
        <w:t xml:space="preserve">(1), 50–62. </w:t>
      </w:r>
      <w:hyperlink r:id="rId71" w:history="1">
        <w:r w:rsidRPr="0002425C">
          <w:rPr>
            <w:rFonts w:ascii="Cambria" w:eastAsia="MS Mincho" w:hAnsi="Cambria" w:cs="Times New Roman"/>
            <w:noProof/>
            <w:color w:val="0000FF"/>
            <w:sz w:val="20"/>
            <w:szCs w:val="24"/>
            <w:u w:val="single"/>
            <w:lang w:val="en-AU" w:eastAsia="en-ID"/>
          </w:rPr>
          <w:t>https://doi.org/10.21009/jtp.v24i1.24242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Ali, O., Murray, P. A., Momin, M., Dwivedi, Y. K., &amp; Malik, T. (2024). The effects of artificial intelligence applications in educational settings: Challenges and strategies. </w:t>
      </w:r>
      <w:r w:rsidRPr="0002425C">
        <w:rPr>
          <w:rFonts w:ascii="Cambria" w:eastAsia="MS Mincho" w:hAnsi="Cambria" w:cs="Times New Roman"/>
          <w:i/>
          <w:iCs/>
          <w:noProof/>
          <w:sz w:val="20"/>
          <w:szCs w:val="24"/>
          <w:lang w:val="en-AU" w:eastAsia="en-ID"/>
        </w:rPr>
        <w:t>Technological Forecasting and Social Change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199</w:t>
      </w:r>
      <w:r w:rsidRPr="0002425C">
        <w:rPr>
          <w:rFonts w:ascii="Cambria" w:eastAsia="MS Mincho" w:hAnsi="Cambria" w:cs="Times New Roman"/>
          <w:noProof/>
          <w:sz w:val="20"/>
          <w:szCs w:val="24"/>
          <w:lang w:val="en-AU" w:eastAsia="en-ID"/>
        </w:rPr>
        <w:t xml:space="preserve">, 123076. </w:t>
      </w:r>
      <w:hyperlink r:id="rId72" w:history="1">
        <w:r w:rsidRPr="0002425C">
          <w:rPr>
            <w:rFonts w:ascii="Cambria" w:eastAsia="MS Mincho" w:hAnsi="Cambria" w:cs="Times New Roman"/>
            <w:noProof/>
            <w:color w:val="0000FF"/>
            <w:sz w:val="20"/>
            <w:szCs w:val="24"/>
            <w:u w:val="single"/>
            <w:lang w:val="en-AU" w:eastAsia="en-ID"/>
          </w:rPr>
          <w:t>https://doi.org/10.1016/j.techfore.2023.123076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Attig, M., Hoferichter, F., Steinmann, I., &amp; Strietholt, R. (2024). Teaching quality and student reading outcomes: Evidence from a longitudinal study from grade 5 to 7. </w:t>
      </w:r>
      <w:r w:rsidRPr="0002425C">
        <w:rPr>
          <w:rFonts w:ascii="Cambria" w:eastAsia="MS Mincho" w:hAnsi="Cambria" w:cs="Times New Roman"/>
          <w:i/>
          <w:iCs/>
          <w:noProof/>
          <w:sz w:val="20"/>
          <w:szCs w:val="24"/>
          <w:lang w:val="en-AU" w:eastAsia="en-ID"/>
        </w:rPr>
        <w:t>Studies in Educational Evaluation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81</w:t>
      </w:r>
      <w:r w:rsidRPr="0002425C">
        <w:rPr>
          <w:rFonts w:ascii="Cambria" w:eastAsia="MS Mincho" w:hAnsi="Cambria" w:cs="Times New Roman"/>
          <w:noProof/>
          <w:sz w:val="20"/>
          <w:szCs w:val="24"/>
          <w:lang w:val="en-AU" w:eastAsia="en-ID"/>
        </w:rPr>
        <w:t xml:space="preserve">, 101347. </w:t>
      </w:r>
      <w:hyperlink r:id="rId73" w:history="1">
        <w:r w:rsidRPr="0002425C">
          <w:rPr>
            <w:rFonts w:ascii="Cambria" w:eastAsia="MS Mincho" w:hAnsi="Cambria" w:cs="Times New Roman"/>
            <w:noProof/>
            <w:color w:val="0000FF"/>
            <w:sz w:val="20"/>
            <w:szCs w:val="24"/>
            <w:u w:val="single"/>
            <w:lang w:val="en-AU" w:eastAsia="en-ID"/>
          </w:rPr>
          <w:t>https://doi.org/10.1016/j.stueduc.2024.101347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Bailey, B., Sellwood, D., Rillotta, F., Raghavendra, P., &amp; Arciuli, J. (2022). A trial of online ABRACADABRA literacy instruction with supplementary parent-led shared book reading for children with autism. </w:t>
      </w:r>
      <w:r w:rsidRPr="0002425C">
        <w:rPr>
          <w:rFonts w:ascii="Cambria" w:eastAsia="MS Mincho" w:hAnsi="Cambria" w:cs="Times New Roman"/>
          <w:i/>
          <w:iCs/>
          <w:noProof/>
          <w:sz w:val="20"/>
          <w:szCs w:val="24"/>
          <w:lang w:val="en-AU" w:eastAsia="en-ID"/>
        </w:rPr>
        <w:t>Research in Developmental Disabilities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124</w:t>
      </w:r>
      <w:r w:rsidRPr="0002425C">
        <w:rPr>
          <w:rFonts w:ascii="Cambria" w:eastAsia="MS Mincho" w:hAnsi="Cambria" w:cs="Times New Roman"/>
          <w:noProof/>
          <w:sz w:val="20"/>
          <w:szCs w:val="24"/>
          <w:lang w:val="en-AU" w:eastAsia="en-ID"/>
        </w:rPr>
        <w:t xml:space="preserve">, 104198. </w:t>
      </w:r>
      <w:hyperlink r:id="rId74" w:history="1">
        <w:r w:rsidRPr="0002425C">
          <w:rPr>
            <w:rFonts w:ascii="Cambria" w:eastAsia="MS Mincho" w:hAnsi="Cambria" w:cs="Times New Roman"/>
            <w:noProof/>
            <w:color w:val="0000FF"/>
            <w:sz w:val="20"/>
            <w:szCs w:val="24"/>
            <w:u w:val="single"/>
            <w:lang w:val="en-AU" w:eastAsia="en-ID"/>
          </w:rPr>
          <w:t>https://doi.org/10.1016/j.ridd.2022.104198</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Bangeni, B. (2024). Reading (in) law: A critical appraisal of the impact of language on disciplinary novices’ cognitive reading strategies. </w:t>
      </w:r>
      <w:r w:rsidRPr="0002425C">
        <w:rPr>
          <w:rFonts w:ascii="Cambria" w:eastAsia="MS Mincho" w:hAnsi="Cambria" w:cs="Times New Roman"/>
          <w:i/>
          <w:iCs/>
          <w:noProof/>
          <w:sz w:val="20"/>
          <w:szCs w:val="24"/>
          <w:lang w:val="en-AU" w:eastAsia="en-ID"/>
        </w:rPr>
        <w:t>Language &amp; Communication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94</w:t>
      </w:r>
      <w:r w:rsidRPr="0002425C">
        <w:rPr>
          <w:rFonts w:ascii="Cambria" w:eastAsia="MS Mincho" w:hAnsi="Cambria" w:cs="Times New Roman"/>
          <w:noProof/>
          <w:sz w:val="20"/>
          <w:szCs w:val="24"/>
          <w:lang w:val="en-AU" w:eastAsia="en-ID"/>
        </w:rPr>
        <w:t xml:space="preserve">, 69–84. </w:t>
      </w:r>
      <w:hyperlink r:id="rId75" w:history="1">
        <w:r w:rsidRPr="0002425C">
          <w:rPr>
            <w:rFonts w:ascii="Cambria" w:eastAsia="MS Mincho" w:hAnsi="Cambria" w:cs="Times New Roman"/>
            <w:noProof/>
            <w:color w:val="0000FF"/>
            <w:sz w:val="20"/>
            <w:szCs w:val="24"/>
            <w:u w:val="single"/>
            <w:lang w:val="en-AU" w:eastAsia="en-ID"/>
          </w:rPr>
          <w:t>https://doi.org/10.1016/j.langcom.2023.12.001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Bardosh, K., Jean, L., Desir, L., Yoss, S., Poovey, B., Beau de Rochars, M. V., &amp; Noland, G. S. (2023). Was lockdown worth it? community perspectives and experiences of the Covid-19 pandemic in remote southwestern Haiti. </w:t>
      </w:r>
      <w:r w:rsidRPr="0002425C">
        <w:rPr>
          <w:rFonts w:ascii="Cambria" w:eastAsia="MS Mincho" w:hAnsi="Cambria" w:cs="Times New Roman"/>
          <w:i/>
          <w:iCs/>
          <w:noProof/>
          <w:sz w:val="20"/>
          <w:szCs w:val="24"/>
          <w:lang w:val="en-AU" w:eastAsia="en-ID"/>
        </w:rPr>
        <w:t>Social Science &amp; Medicine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331</w:t>
      </w:r>
      <w:r w:rsidRPr="0002425C">
        <w:rPr>
          <w:rFonts w:ascii="Cambria" w:eastAsia="MS Mincho" w:hAnsi="Cambria" w:cs="Times New Roman"/>
          <w:noProof/>
          <w:sz w:val="20"/>
          <w:szCs w:val="24"/>
          <w:lang w:val="en-AU" w:eastAsia="en-ID"/>
        </w:rPr>
        <w:t xml:space="preserve">, 116076. </w:t>
      </w:r>
      <w:hyperlink r:id="rId76" w:history="1">
        <w:r w:rsidRPr="0002425C">
          <w:rPr>
            <w:rFonts w:ascii="Cambria" w:eastAsia="MS Mincho" w:hAnsi="Cambria" w:cs="Times New Roman"/>
            <w:noProof/>
            <w:color w:val="0000FF"/>
            <w:sz w:val="20"/>
            <w:szCs w:val="24"/>
            <w:u w:val="single"/>
            <w:lang w:val="en-AU" w:eastAsia="en-ID"/>
          </w:rPr>
          <w:t>https://doi.org/10.1016/j.socscimed.2023.116076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Bashith, A. (2017). Evaluasi Program Praktik Kerja Lapangan Dalam Pemberlakuan Magang Pada Kurikulum Jurusan Pendidikan Ilmu Pengetahuan Sosial Berbasis Kkni. </w:t>
      </w:r>
      <w:r w:rsidRPr="0002425C">
        <w:rPr>
          <w:rFonts w:ascii="Cambria" w:eastAsia="MS Mincho" w:hAnsi="Cambria" w:cs="Times New Roman"/>
          <w:i/>
          <w:iCs/>
          <w:noProof/>
          <w:sz w:val="20"/>
          <w:szCs w:val="24"/>
          <w:lang w:val="en-AU" w:eastAsia="en-ID"/>
        </w:rPr>
        <w:t>J-PIPS (Jurnal Pendidikan Ilmu Pengetahuan Sosial)</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w:t>
      </w:r>
      <w:r w:rsidRPr="0002425C">
        <w:rPr>
          <w:rFonts w:ascii="Cambria" w:eastAsia="MS Mincho" w:hAnsi="Cambria" w:cs="Times New Roman"/>
          <w:noProof/>
          <w:sz w:val="20"/>
          <w:szCs w:val="24"/>
          <w:lang w:val="en-AU" w:eastAsia="en-ID"/>
        </w:rPr>
        <w:t xml:space="preserve">(2), 112. </w:t>
      </w:r>
      <w:hyperlink r:id="rId77" w:history="1">
        <w:r w:rsidRPr="0002425C">
          <w:rPr>
            <w:rFonts w:ascii="Cambria" w:eastAsia="MS Mincho" w:hAnsi="Cambria" w:cs="Times New Roman"/>
            <w:noProof/>
            <w:color w:val="0000FF"/>
            <w:sz w:val="20"/>
            <w:szCs w:val="24"/>
            <w:u w:val="single"/>
            <w:lang w:val="en-AU" w:eastAsia="en-ID"/>
          </w:rPr>
          <w:t>https://doi.org/10.18860/jpips.v3i2.6859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Berg, D. A. G., Skaalvik, E. M., Asil, M., Hill, M. F., Uthus, M., Tangen, T. N., &amp; Smith, J. K. (2023). Teacher self-efficacy and reasons for choosing initial teacher education programmes in Norway and New Zealand.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125</w:t>
      </w:r>
      <w:r w:rsidRPr="0002425C">
        <w:rPr>
          <w:rFonts w:ascii="Cambria" w:eastAsia="MS Mincho" w:hAnsi="Cambria" w:cs="Times New Roman"/>
          <w:noProof/>
          <w:sz w:val="20"/>
          <w:szCs w:val="24"/>
          <w:lang w:val="en-AU" w:eastAsia="en-ID"/>
        </w:rPr>
        <w:t xml:space="preserve">, 104041. </w:t>
      </w:r>
      <w:hyperlink r:id="rId78" w:history="1">
        <w:r w:rsidRPr="0002425C">
          <w:rPr>
            <w:rFonts w:ascii="Cambria" w:eastAsia="MS Mincho" w:hAnsi="Cambria" w:cs="Times New Roman"/>
            <w:noProof/>
            <w:color w:val="0000FF"/>
            <w:sz w:val="20"/>
            <w:szCs w:val="24"/>
            <w:u w:val="single"/>
            <w:lang w:val="en-AU" w:eastAsia="en-ID"/>
          </w:rPr>
          <w:t>https://doi.org/10.1016/j.tate.2023.104041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Bui, P., Pongsakdi, N., McMullen, J., Lehtinen, E., &amp; Hannula-Sormunen, M. M. (2023). A systematic review of mindset interventions in mathematics classrooms: What works and what does not? </w:t>
      </w:r>
      <w:r w:rsidRPr="0002425C">
        <w:rPr>
          <w:rFonts w:ascii="Cambria" w:eastAsia="MS Mincho" w:hAnsi="Cambria" w:cs="Times New Roman"/>
          <w:i/>
          <w:iCs/>
          <w:noProof/>
          <w:sz w:val="20"/>
          <w:szCs w:val="24"/>
          <w:lang w:val="en-AU" w:eastAsia="en-ID"/>
        </w:rPr>
        <w:t>Educational Research Review</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40</w:t>
      </w:r>
      <w:r w:rsidRPr="0002425C">
        <w:rPr>
          <w:rFonts w:ascii="Cambria" w:eastAsia="MS Mincho" w:hAnsi="Cambria" w:cs="Times New Roman"/>
          <w:noProof/>
          <w:sz w:val="20"/>
          <w:szCs w:val="24"/>
          <w:lang w:val="en-AU" w:eastAsia="en-ID"/>
        </w:rPr>
        <w:t xml:space="preserve">, 100554. </w:t>
      </w:r>
      <w:hyperlink r:id="rId79" w:history="1">
        <w:r w:rsidRPr="0002425C">
          <w:rPr>
            <w:rFonts w:ascii="Cambria" w:eastAsia="MS Mincho" w:hAnsi="Cambria" w:cs="Times New Roman"/>
            <w:noProof/>
            <w:color w:val="0000FF"/>
            <w:sz w:val="20"/>
            <w:szCs w:val="24"/>
            <w:u w:val="single"/>
            <w:lang w:val="en-AU" w:eastAsia="en-ID"/>
          </w:rPr>
          <w:t>https://doi.org/10.1016/j.edurev.2023.100554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Carvalho, K. (2023). Exploring a social pragmatic approach to overcoming barriers to interprofessional communication and across functional boundaries: A qualitative case study. </w:t>
      </w:r>
      <w:r w:rsidRPr="0002425C">
        <w:rPr>
          <w:rFonts w:ascii="Cambria" w:eastAsia="MS Mincho" w:hAnsi="Cambria" w:cs="Times New Roman"/>
          <w:i/>
          <w:iCs/>
          <w:noProof/>
          <w:sz w:val="20"/>
          <w:szCs w:val="24"/>
          <w:lang w:val="en-AU" w:eastAsia="en-ID"/>
        </w:rPr>
        <w:t>Journal of Interprofessional Education &amp; Practice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32</w:t>
      </w:r>
      <w:r w:rsidRPr="0002425C">
        <w:rPr>
          <w:rFonts w:ascii="Cambria" w:eastAsia="MS Mincho" w:hAnsi="Cambria" w:cs="Times New Roman"/>
          <w:noProof/>
          <w:sz w:val="20"/>
          <w:szCs w:val="24"/>
          <w:lang w:val="en-AU" w:eastAsia="en-ID"/>
        </w:rPr>
        <w:t xml:space="preserve">, 100649. </w:t>
      </w:r>
      <w:hyperlink r:id="rId80" w:history="1">
        <w:r w:rsidRPr="0002425C">
          <w:rPr>
            <w:rFonts w:ascii="Cambria" w:eastAsia="MS Mincho" w:hAnsi="Cambria" w:cs="Times New Roman"/>
            <w:noProof/>
            <w:color w:val="0000FF"/>
            <w:sz w:val="20"/>
            <w:szCs w:val="24"/>
            <w:u w:val="single"/>
            <w:lang w:val="en-AU" w:eastAsia="en-ID"/>
          </w:rPr>
          <w:t>https://doi.org/10.1016/j.xjep.2023.100649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Cervetti, G. N., &amp; Pearson, P. D. (2023). Reading comprehension in troubled times. In </w:t>
      </w:r>
      <w:r w:rsidRPr="0002425C">
        <w:rPr>
          <w:rFonts w:ascii="Cambria" w:eastAsia="MS Mincho" w:hAnsi="Cambria" w:cs="Times New Roman"/>
          <w:i/>
          <w:iCs/>
          <w:noProof/>
          <w:sz w:val="20"/>
          <w:szCs w:val="24"/>
          <w:lang w:val="en-AU" w:eastAsia="en-ID"/>
        </w:rPr>
        <w:t>International Encyclopedia of Education(Fourth Edition)</w:t>
      </w:r>
      <w:r w:rsidRPr="0002425C">
        <w:rPr>
          <w:rFonts w:ascii="Cambria" w:eastAsia="MS Mincho" w:hAnsi="Cambria" w:cs="Times New Roman"/>
          <w:noProof/>
          <w:sz w:val="20"/>
          <w:szCs w:val="24"/>
          <w:lang w:val="en-AU" w:eastAsia="en-ID"/>
        </w:rPr>
        <w:t xml:space="preserve"> (pp. 319–329). Elsevier.</w:t>
      </w:r>
      <w:hyperlink r:id="rId81" w:history="1">
        <w:r w:rsidRPr="0002425C">
          <w:rPr>
            <w:rFonts w:ascii="Cambria" w:eastAsia="MS Mincho" w:hAnsi="Cambria" w:cs="Times New Roman"/>
            <w:noProof/>
            <w:color w:val="0000FF"/>
            <w:sz w:val="20"/>
            <w:szCs w:val="24"/>
            <w:u w:val="single"/>
            <w:lang w:val="en-AU" w:eastAsia="en-ID"/>
          </w:rPr>
          <w:t xml:space="preserve"> https://doi.org/10.1016/B978-0-12-818630-5.07046-9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Chalkley, A. E., Mandelid, M. B., Thurston, M., Daly-Smith, A., Singh, A., Huiberts, I., Archbold, V. S. J., Resaland, G. K., &amp; Tjomsland, H. E. (2022). “Go beyond your own comfort zone and challenge yourself”: A comparison on the use of physically active learning in Norway, the Netherlands and the UK. </w:t>
      </w:r>
      <w:r w:rsidRPr="0002425C">
        <w:rPr>
          <w:rFonts w:ascii="Cambria" w:eastAsia="MS Mincho" w:hAnsi="Cambria" w:cs="Times New Roman"/>
          <w:i/>
          <w:iCs/>
          <w:noProof/>
          <w:sz w:val="20"/>
          <w:szCs w:val="24"/>
          <w:lang w:val="en-AU" w:eastAsia="en-ID"/>
        </w:rPr>
        <w:t xml:space="preserve">Teaching </w:t>
      </w:r>
      <w:r w:rsidRPr="0002425C">
        <w:rPr>
          <w:rFonts w:ascii="Cambria" w:eastAsia="MS Mincho" w:hAnsi="Cambria" w:cs="Times New Roman"/>
          <w:i/>
          <w:iCs/>
          <w:noProof/>
          <w:sz w:val="20"/>
          <w:szCs w:val="24"/>
          <w:lang w:val="en-AU" w:eastAsia="en-ID"/>
        </w:rPr>
        <w:lastRenderedPageBreak/>
        <w:t>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118</w:t>
      </w:r>
      <w:r w:rsidRPr="0002425C">
        <w:rPr>
          <w:rFonts w:ascii="Cambria" w:eastAsia="MS Mincho" w:hAnsi="Cambria" w:cs="Times New Roman"/>
          <w:noProof/>
          <w:sz w:val="20"/>
          <w:szCs w:val="24"/>
          <w:lang w:val="en-AU" w:eastAsia="en-ID"/>
        </w:rPr>
        <w:t>, 103825.</w:t>
      </w:r>
      <w:hyperlink r:id="rId82" w:history="1">
        <w:r w:rsidRPr="0002425C">
          <w:rPr>
            <w:rFonts w:ascii="Cambria" w:eastAsia="MS Mincho" w:hAnsi="Cambria" w:cs="Times New Roman"/>
            <w:noProof/>
            <w:color w:val="0000FF"/>
            <w:sz w:val="20"/>
            <w:szCs w:val="24"/>
            <w:u w:val="single"/>
            <w:lang w:val="en-AU" w:eastAsia="en-ID"/>
          </w:rPr>
          <w:t xml:space="preserve"> https://doi.org/10.1016/j.tate.2022.103825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Chan, M. L. A., Lee, P.-M. N., &amp; Wong, M. F. F. (2024). Impact of coronavirus pandemic to cultivate self-discipline and self-directed learning in junior nurse students through high-fidelity simulation: a descriptive qualitative study. </w:t>
      </w:r>
      <w:r w:rsidRPr="0002425C">
        <w:rPr>
          <w:rFonts w:ascii="Cambria" w:eastAsia="MS Mincho" w:hAnsi="Cambria" w:cs="Times New Roman"/>
          <w:i/>
          <w:iCs/>
          <w:noProof/>
          <w:sz w:val="20"/>
          <w:szCs w:val="24"/>
          <w:lang w:val="en-AU" w:eastAsia="en-ID"/>
        </w:rPr>
        <w:t>Teaching and Learning in Nursing</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w:t>
      </w:r>
      <w:r w:rsidRPr="0002425C">
        <w:rPr>
          <w:rFonts w:ascii="Cambria" w:eastAsia="MS Mincho" w:hAnsi="Cambria" w:cs="Times New Roman"/>
          <w:noProof/>
          <w:sz w:val="20"/>
          <w:szCs w:val="24"/>
          <w:lang w:val="en-AU" w:eastAsia="en-ID"/>
        </w:rPr>
        <w:t xml:space="preserve">(1), e106–e112. </w:t>
      </w:r>
      <w:hyperlink r:id="rId83" w:history="1">
        <w:r w:rsidRPr="0002425C">
          <w:rPr>
            <w:rFonts w:ascii="Cambria" w:eastAsia="MS Mincho" w:hAnsi="Cambria" w:cs="Times New Roman"/>
            <w:noProof/>
            <w:color w:val="0000FF"/>
            <w:sz w:val="20"/>
            <w:szCs w:val="24"/>
            <w:u w:val="single"/>
            <w:lang w:val="en-AU" w:eastAsia="en-ID"/>
          </w:rPr>
          <w:t>https://doi.org/10.1016/j.teln.2023.09.015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Charalambous, C. Y., Kyriakides, L., &amp; Philippou, G. N. (2012). Developing a test for exploring student performance in a complex domain: Challenges faced, decisions made, and implications drawn. </w:t>
      </w:r>
      <w:r w:rsidRPr="0002425C">
        <w:rPr>
          <w:rFonts w:ascii="Cambria" w:eastAsia="MS Mincho" w:hAnsi="Cambria" w:cs="Times New Roman"/>
          <w:i/>
          <w:iCs/>
          <w:noProof/>
          <w:sz w:val="20"/>
          <w:szCs w:val="24"/>
          <w:lang w:val="en-AU" w:eastAsia="en-ID"/>
        </w:rPr>
        <w:t>Studies in Educational Evaluation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38</w:t>
      </w:r>
      <w:r w:rsidRPr="0002425C">
        <w:rPr>
          <w:rFonts w:ascii="Cambria" w:eastAsia="MS Mincho" w:hAnsi="Cambria" w:cs="Times New Roman"/>
          <w:noProof/>
          <w:sz w:val="20"/>
          <w:szCs w:val="24"/>
          <w:lang w:val="en-AU" w:eastAsia="en-ID"/>
        </w:rPr>
        <w:t xml:space="preserve">(3–4), 93–106. </w:t>
      </w:r>
      <w:hyperlink r:id="rId84" w:history="1">
        <w:r w:rsidRPr="0002425C">
          <w:rPr>
            <w:rFonts w:ascii="Cambria" w:eastAsia="MS Mincho" w:hAnsi="Cambria" w:cs="Times New Roman"/>
            <w:noProof/>
            <w:color w:val="0000FF"/>
            <w:sz w:val="20"/>
            <w:szCs w:val="24"/>
            <w:u w:val="single"/>
            <w:lang w:val="en-AU" w:eastAsia="en-ID"/>
          </w:rPr>
          <w:t>https://doi.org/10.1016/j.stueduc.2012.08.001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Chen, X., Zou, D., Xie, H., &amp; Wang, F. L. (2024). Technology-enhanced higher education: Text mining and bibliometrics. </w:t>
      </w:r>
      <w:r w:rsidRPr="0002425C">
        <w:rPr>
          <w:rFonts w:ascii="Cambria" w:eastAsia="MS Mincho" w:hAnsi="Cambria" w:cs="Times New Roman"/>
          <w:i/>
          <w:iCs/>
          <w:noProof/>
          <w:sz w:val="20"/>
          <w:szCs w:val="24"/>
          <w:lang w:val="en-AU" w:eastAsia="en-ID"/>
        </w:rPr>
        <w:t>Heliyon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w:t>
      </w:r>
      <w:r w:rsidRPr="0002425C">
        <w:rPr>
          <w:rFonts w:ascii="Cambria" w:eastAsia="MS Mincho" w:hAnsi="Cambria" w:cs="Times New Roman"/>
          <w:noProof/>
          <w:sz w:val="20"/>
          <w:szCs w:val="24"/>
          <w:lang w:val="en-AU" w:eastAsia="en-ID"/>
        </w:rPr>
        <w:t>(4), e25776.</w:t>
      </w:r>
      <w:hyperlink r:id="rId85" w:history="1">
        <w:r w:rsidRPr="0002425C">
          <w:rPr>
            <w:rFonts w:ascii="Cambria" w:eastAsia="MS Mincho" w:hAnsi="Cambria" w:cs="Times New Roman"/>
            <w:noProof/>
            <w:color w:val="0000FF"/>
            <w:sz w:val="20"/>
            <w:szCs w:val="24"/>
            <w:u w:val="single"/>
            <w:lang w:val="en-AU" w:eastAsia="en-ID"/>
          </w:rPr>
          <w:t xml:space="preserve"> https://doi.org/10.1016/j.heliyon.2024.e25776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Conrad, M., Kablitz, D., &amp; Schumann, S. (2024). Learning effectiveness of immersive virtual reality in education and training: A systematic review of findings. </w:t>
      </w:r>
      <w:r w:rsidRPr="0002425C">
        <w:rPr>
          <w:rFonts w:ascii="Cambria" w:eastAsia="MS Mincho" w:hAnsi="Cambria" w:cs="Times New Roman"/>
          <w:i/>
          <w:iCs/>
          <w:noProof/>
          <w:sz w:val="20"/>
          <w:szCs w:val="24"/>
          <w:lang w:val="en-AU" w:eastAsia="en-ID"/>
        </w:rPr>
        <w:t>Computers &amp; Education: X Reality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4</w:t>
      </w:r>
      <w:r w:rsidRPr="0002425C">
        <w:rPr>
          <w:rFonts w:ascii="Cambria" w:eastAsia="MS Mincho" w:hAnsi="Cambria" w:cs="Times New Roman"/>
          <w:noProof/>
          <w:sz w:val="20"/>
          <w:szCs w:val="24"/>
          <w:lang w:val="en-AU" w:eastAsia="en-ID"/>
        </w:rPr>
        <w:t xml:space="preserve">, 100053. </w:t>
      </w:r>
      <w:hyperlink r:id="rId86" w:history="1">
        <w:r w:rsidRPr="0002425C">
          <w:rPr>
            <w:rFonts w:ascii="Cambria" w:eastAsia="MS Mincho" w:hAnsi="Cambria" w:cs="Times New Roman"/>
            <w:noProof/>
            <w:color w:val="0000FF"/>
            <w:sz w:val="20"/>
            <w:szCs w:val="24"/>
            <w:u w:val="single"/>
            <w:lang w:val="en-AU" w:eastAsia="en-ID"/>
          </w:rPr>
          <w:t>https://doi.org/10.1016/j.cexr.2024.100053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Crosthwaite, P., Luciana, &amp; Schweinberger, M. (2021). Voices from the periphery: Perceptions of Indonesian primary vs secondary pre-service teacher trainees about corpora and data-driven learning in the L2 English classroom. </w:t>
      </w:r>
      <w:r w:rsidRPr="0002425C">
        <w:rPr>
          <w:rFonts w:ascii="Cambria" w:eastAsia="MS Mincho" w:hAnsi="Cambria" w:cs="Times New Roman"/>
          <w:i/>
          <w:iCs/>
          <w:noProof/>
          <w:sz w:val="20"/>
          <w:szCs w:val="24"/>
          <w:lang w:val="en-AU" w:eastAsia="en-ID"/>
        </w:rPr>
        <w:t>Applied Corpus Linguistics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w:t>
      </w:r>
      <w:r w:rsidRPr="0002425C">
        <w:rPr>
          <w:rFonts w:ascii="Cambria" w:eastAsia="MS Mincho" w:hAnsi="Cambria" w:cs="Times New Roman"/>
          <w:noProof/>
          <w:sz w:val="20"/>
          <w:szCs w:val="24"/>
          <w:lang w:val="en-AU" w:eastAsia="en-ID"/>
        </w:rPr>
        <w:t xml:space="preserve">(1), 100003. </w:t>
      </w:r>
      <w:hyperlink r:id="rId87" w:history="1">
        <w:r w:rsidRPr="0002425C">
          <w:rPr>
            <w:rFonts w:ascii="Cambria" w:eastAsia="MS Mincho" w:hAnsi="Cambria" w:cs="Times New Roman"/>
            <w:noProof/>
            <w:color w:val="0000FF"/>
            <w:sz w:val="20"/>
            <w:szCs w:val="24"/>
            <w:u w:val="single"/>
            <w:lang w:val="en-AU" w:eastAsia="en-ID"/>
          </w:rPr>
          <w:t>https://doi.org/10.1016/j.acorp.2021.100003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Damaianti, V. S. (2021). Strategi Regulasi Diri dalam Peningkatan Motivasi Membaca. </w:t>
      </w:r>
      <w:r w:rsidRPr="0002425C">
        <w:rPr>
          <w:rFonts w:ascii="Cambria" w:eastAsia="MS Mincho" w:hAnsi="Cambria" w:cs="Times New Roman"/>
          <w:i/>
          <w:iCs/>
          <w:noProof/>
          <w:sz w:val="20"/>
          <w:szCs w:val="24"/>
          <w:lang w:val="en-AU" w:eastAsia="en-ID"/>
        </w:rPr>
        <w:t>Deiksis: Jurnal Pendidikan Bahasa Dan Sastra Indonesia</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8</w:t>
      </w:r>
      <w:r w:rsidRPr="0002425C">
        <w:rPr>
          <w:rFonts w:ascii="Cambria" w:eastAsia="MS Mincho" w:hAnsi="Cambria" w:cs="Times New Roman"/>
          <w:noProof/>
          <w:sz w:val="20"/>
          <w:szCs w:val="24"/>
          <w:lang w:val="en-AU" w:eastAsia="en-ID"/>
        </w:rPr>
        <w:t xml:space="preserve">(1), 52. </w:t>
      </w:r>
      <w:hyperlink r:id="rId88" w:history="1">
        <w:r w:rsidRPr="0002425C">
          <w:rPr>
            <w:rFonts w:ascii="Cambria" w:eastAsia="MS Mincho" w:hAnsi="Cambria" w:cs="Times New Roman"/>
            <w:noProof/>
            <w:color w:val="0000FF"/>
            <w:sz w:val="20"/>
            <w:szCs w:val="24"/>
            <w:u w:val="single"/>
            <w:lang w:val="en-AU" w:eastAsia="en-ID"/>
          </w:rPr>
          <w:t>https://doi.org/10.33603/dj.v8i1.4613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Dong, X., Yuan, H., Xue, H., Li, Y., Jia, L., Chen, J., Shi, Y., &amp; Zhang, X. (2024). Factors influencing college students’ self-regulated learning in online learning environment: A systematic review. </w:t>
      </w:r>
      <w:r w:rsidRPr="0002425C">
        <w:rPr>
          <w:rFonts w:ascii="Cambria" w:eastAsia="MS Mincho" w:hAnsi="Cambria" w:cs="Times New Roman"/>
          <w:i/>
          <w:iCs/>
          <w:noProof/>
          <w:sz w:val="20"/>
          <w:szCs w:val="24"/>
          <w:lang w:val="en-AU" w:eastAsia="en-ID"/>
        </w:rPr>
        <w:t>Nurse Education Today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133</w:t>
      </w:r>
      <w:r w:rsidRPr="0002425C">
        <w:rPr>
          <w:rFonts w:ascii="Cambria" w:eastAsia="MS Mincho" w:hAnsi="Cambria" w:cs="Times New Roman"/>
          <w:noProof/>
          <w:sz w:val="20"/>
          <w:szCs w:val="24"/>
          <w:lang w:val="en-AU" w:eastAsia="en-ID"/>
        </w:rPr>
        <w:t xml:space="preserve">, 106071. </w:t>
      </w:r>
      <w:hyperlink r:id="rId89" w:history="1">
        <w:r w:rsidRPr="0002425C">
          <w:rPr>
            <w:rFonts w:ascii="Cambria" w:eastAsia="MS Mincho" w:hAnsi="Cambria" w:cs="Times New Roman"/>
            <w:noProof/>
            <w:color w:val="0000FF"/>
            <w:sz w:val="20"/>
            <w:szCs w:val="24"/>
            <w:u w:val="single"/>
            <w:lang w:val="en-AU" w:eastAsia="en-ID"/>
          </w:rPr>
          <w:t>https://doi.org/10.1016/j.nedt.2023.106071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Erawanto, U., &amp; Santoso, E. (2016). Pengembangan Modul Pembelajaran Berbasis Masalah Untuk Membantu Meningkatkan Berfikir Kreatif Mahasiswa. </w:t>
      </w:r>
      <w:r w:rsidRPr="0002425C">
        <w:rPr>
          <w:rFonts w:ascii="Cambria" w:eastAsia="MS Mincho" w:hAnsi="Cambria" w:cs="Times New Roman"/>
          <w:i/>
          <w:iCs/>
          <w:noProof/>
          <w:sz w:val="20"/>
          <w:szCs w:val="24"/>
          <w:lang w:val="en-AU" w:eastAsia="en-ID"/>
        </w:rPr>
        <w:t>JINoP (Jurnal Inovasi Pembelajaran)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w:t>
      </w:r>
      <w:r w:rsidRPr="0002425C">
        <w:rPr>
          <w:rFonts w:ascii="Cambria" w:eastAsia="MS Mincho" w:hAnsi="Cambria" w:cs="Times New Roman"/>
          <w:noProof/>
          <w:sz w:val="20"/>
          <w:szCs w:val="24"/>
          <w:lang w:val="en-AU" w:eastAsia="en-ID"/>
        </w:rPr>
        <w:t xml:space="preserve">(2), 427. </w:t>
      </w:r>
      <w:hyperlink r:id="rId90" w:history="1">
        <w:r w:rsidRPr="0002425C">
          <w:rPr>
            <w:rFonts w:ascii="Cambria" w:eastAsia="MS Mincho" w:hAnsi="Cambria" w:cs="Times New Roman"/>
            <w:noProof/>
            <w:color w:val="0000FF"/>
            <w:sz w:val="20"/>
            <w:szCs w:val="24"/>
            <w:u w:val="single"/>
            <w:lang w:val="en-AU" w:eastAsia="en-ID"/>
          </w:rPr>
          <w:t>https://doi.org/10.22219/jinop.v2i2.2629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Fernandes, R., Willison, J., &amp; Boyle, C. (2024). Characteristics of facilitated critical thinking when students listen to and speak English as an additional language in Indonesia. </w:t>
      </w:r>
      <w:r w:rsidRPr="0002425C">
        <w:rPr>
          <w:rFonts w:ascii="Cambria" w:eastAsia="MS Mincho" w:hAnsi="Cambria" w:cs="Times New Roman"/>
          <w:i/>
          <w:iCs/>
          <w:noProof/>
          <w:sz w:val="20"/>
          <w:szCs w:val="24"/>
          <w:lang w:val="en-AU" w:eastAsia="en-ID"/>
        </w:rPr>
        <w:t>Thinking Skills and Creativity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52</w:t>
      </w:r>
      <w:r w:rsidRPr="0002425C">
        <w:rPr>
          <w:rFonts w:ascii="Cambria" w:eastAsia="MS Mincho" w:hAnsi="Cambria" w:cs="Times New Roman"/>
          <w:noProof/>
          <w:sz w:val="20"/>
          <w:szCs w:val="24"/>
          <w:lang w:val="en-AU" w:eastAsia="en-ID"/>
        </w:rPr>
        <w:t xml:space="preserve">, 101513. </w:t>
      </w:r>
      <w:hyperlink r:id="rId91" w:history="1">
        <w:r w:rsidRPr="0002425C">
          <w:rPr>
            <w:rFonts w:ascii="Cambria" w:eastAsia="MS Mincho" w:hAnsi="Cambria" w:cs="Times New Roman"/>
            <w:noProof/>
            <w:color w:val="0000FF"/>
            <w:sz w:val="20"/>
            <w:szCs w:val="24"/>
            <w:u w:val="single"/>
            <w:lang w:val="en-AU" w:eastAsia="en-ID"/>
          </w:rPr>
          <w:t>https://doi.org/10.1016/j.tsc.2024.101513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Francois, C., &amp; Hood, M. (2021). Rethinking the role of reading assessments for real learning. </w:t>
      </w:r>
      <w:r w:rsidRPr="0002425C">
        <w:rPr>
          <w:rFonts w:ascii="Cambria" w:eastAsia="MS Mincho" w:hAnsi="Cambria" w:cs="Times New Roman"/>
          <w:i/>
          <w:iCs/>
          <w:noProof/>
          <w:sz w:val="20"/>
          <w:szCs w:val="24"/>
          <w:lang w:val="en-AU" w:eastAsia="en-ID"/>
        </w:rPr>
        <w:t>Journal for Multicultural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15</w:t>
      </w:r>
      <w:r w:rsidRPr="0002425C">
        <w:rPr>
          <w:rFonts w:ascii="Cambria" w:eastAsia="MS Mincho" w:hAnsi="Cambria" w:cs="Times New Roman"/>
          <w:noProof/>
          <w:sz w:val="20"/>
          <w:szCs w:val="24"/>
          <w:lang w:val="en-AU" w:eastAsia="en-ID"/>
        </w:rPr>
        <w:t xml:space="preserve">(3), 299–312. </w:t>
      </w:r>
      <w:hyperlink r:id="rId92" w:history="1">
        <w:r w:rsidRPr="0002425C">
          <w:rPr>
            <w:rFonts w:ascii="Cambria" w:eastAsia="MS Mincho" w:hAnsi="Cambria" w:cs="Times New Roman"/>
            <w:noProof/>
            <w:color w:val="0000FF"/>
            <w:sz w:val="20"/>
            <w:szCs w:val="24"/>
            <w:u w:val="single"/>
            <w:lang w:val="en-AU" w:eastAsia="en-ID"/>
          </w:rPr>
          <w:t>https://doi.org/10.1108/JME-03-2021-0027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Gaertner, K., Ulbrich-Zürni, S., Baumgartner, S., Walach, H., Frass, M., &amp; Weiermayer, P. (2023). Systematic reviews and meta-analyses in Homeopathy: Recommendations for summarising evidence from homeopathic intervention studies (Sum-HomIS recommendations). </w:t>
      </w:r>
      <w:r w:rsidRPr="0002425C">
        <w:rPr>
          <w:rFonts w:ascii="Cambria" w:eastAsia="MS Mincho" w:hAnsi="Cambria" w:cs="Times New Roman"/>
          <w:i/>
          <w:iCs/>
          <w:noProof/>
          <w:sz w:val="20"/>
          <w:szCs w:val="24"/>
          <w:lang w:val="en-AU" w:eastAsia="en-ID"/>
        </w:rPr>
        <w:t>Complementary Therapies in Medicine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79</w:t>
      </w:r>
      <w:r w:rsidRPr="0002425C">
        <w:rPr>
          <w:rFonts w:ascii="Cambria" w:eastAsia="MS Mincho" w:hAnsi="Cambria" w:cs="Times New Roman"/>
          <w:noProof/>
          <w:sz w:val="20"/>
          <w:szCs w:val="24"/>
          <w:lang w:val="en-AU" w:eastAsia="en-ID"/>
        </w:rPr>
        <w:t xml:space="preserve">, 102999. </w:t>
      </w:r>
      <w:hyperlink r:id="rId93" w:history="1">
        <w:r w:rsidRPr="0002425C">
          <w:rPr>
            <w:rFonts w:ascii="Cambria" w:eastAsia="MS Mincho" w:hAnsi="Cambria" w:cs="Times New Roman"/>
            <w:noProof/>
            <w:color w:val="0000FF"/>
            <w:sz w:val="20"/>
            <w:szCs w:val="24"/>
            <w:u w:val="single"/>
            <w:lang w:val="en-AU" w:eastAsia="en-ID"/>
          </w:rPr>
          <w:t>https://doi.org/10.1016/j.ctim.2023.102999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Gao, R., Merzdorf, H. E., Anwar, S., Hipwell, M. C., &amp; Srinivasa, A. R. (2024). Automatic assessment of text-based responses in post-secondary education: A systematic review. </w:t>
      </w:r>
      <w:r w:rsidRPr="0002425C">
        <w:rPr>
          <w:rFonts w:ascii="Cambria" w:eastAsia="MS Mincho" w:hAnsi="Cambria" w:cs="Times New Roman"/>
          <w:i/>
          <w:iCs/>
          <w:noProof/>
          <w:sz w:val="20"/>
          <w:szCs w:val="24"/>
          <w:lang w:val="en-AU" w:eastAsia="en-ID"/>
        </w:rPr>
        <w:t>Computers and Education: Artificial Intelligence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6</w:t>
      </w:r>
      <w:r w:rsidRPr="0002425C">
        <w:rPr>
          <w:rFonts w:ascii="Cambria" w:eastAsia="MS Mincho" w:hAnsi="Cambria" w:cs="Times New Roman"/>
          <w:noProof/>
          <w:sz w:val="20"/>
          <w:szCs w:val="24"/>
          <w:lang w:val="en-AU" w:eastAsia="en-ID"/>
        </w:rPr>
        <w:t xml:space="preserve">, 100206. </w:t>
      </w:r>
      <w:hyperlink r:id="rId94" w:history="1">
        <w:r w:rsidRPr="0002425C">
          <w:rPr>
            <w:rFonts w:ascii="Cambria" w:eastAsia="MS Mincho" w:hAnsi="Cambria" w:cs="Times New Roman"/>
            <w:noProof/>
            <w:color w:val="0000FF"/>
            <w:sz w:val="20"/>
            <w:szCs w:val="24"/>
            <w:u w:val="single"/>
            <w:lang w:val="en-AU" w:eastAsia="en-ID"/>
          </w:rPr>
          <w:t>https://doi.org/10.1016/j.caeai.2024.100206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Gomez Gomez, C. V. (2024). Teaching entrepreneurship in higher education: The application active based learning activities to environmental protection. </w:t>
      </w:r>
      <w:r w:rsidRPr="0002425C">
        <w:rPr>
          <w:rFonts w:ascii="Cambria" w:eastAsia="MS Mincho" w:hAnsi="Cambria" w:cs="Times New Roman"/>
          <w:i/>
          <w:iCs/>
          <w:noProof/>
          <w:sz w:val="20"/>
          <w:szCs w:val="24"/>
          <w:lang w:val="en-AU" w:eastAsia="en-ID"/>
        </w:rPr>
        <w:t>Thinking Skills and Creativity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52</w:t>
      </w:r>
      <w:r w:rsidRPr="0002425C">
        <w:rPr>
          <w:rFonts w:ascii="Cambria" w:eastAsia="MS Mincho" w:hAnsi="Cambria" w:cs="Times New Roman"/>
          <w:noProof/>
          <w:sz w:val="20"/>
          <w:szCs w:val="24"/>
          <w:lang w:val="en-AU" w:eastAsia="en-ID"/>
        </w:rPr>
        <w:t xml:space="preserve">, 101502. </w:t>
      </w:r>
      <w:hyperlink r:id="rId95" w:history="1">
        <w:r w:rsidRPr="0002425C">
          <w:rPr>
            <w:rFonts w:ascii="Cambria" w:eastAsia="MS Mincho" w:hAnsi="Cambria" w:cs="Times New Roman"/>
            <w:noProof/>
            <w:color w:val="0000FF"/>
            <w:sz w:val="20"/>
            <w:szCs w:val="24"/>
            <w:u w:val="single"/>
            <w:lang w:val="en-AU" w:eastAsia="en-ID"/>
          </w:rPr>
          <w:t>https://doi.org/10.1016/j.tsc.2024.101502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Gonzalez, J. E., Kim, H., Anderson, J., &amp; Pollard-Durodola, S. (2024). The Effects of a Science and Social Studies Content Rich Shared Reading Intervention on the Vocabulary Learning of Preschool Dual Language Learners. </w:t>
      </w:r>
      <w:r w:rsidRPr="0002425C">
        <w:rPr>
          <w:rFonts w:ascii="Cambria" w:eastAsia="MS Mincho" w:hAnsi="Cambria" w:cs="Times New Roman"/>
          <w:i/>
          <w:iCs/>
          <w:noProof/>
          <w:sz w:val="20"/>
          <w:szCs w:val="24"/>
          <w:lang w:val="en-AU" w:eastAsia="en-ID"/>
        </w:rPr>
        <w:t>Early Childhood Research Quarterly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66</w:t>
      </w:r>
      <w:r w:rsidRPr="0002425C">
        <w:rPr>
          <w:rFonts w:ascii="Cambria" w:eastAsia="MS Mincho" w:hAnsi="Cambria" w:cs="Times New Roman"/>
          <w:noProof/>
          <w:sz w:val="20"/>
          <w:szCs w:val="24"/>
          <w:lang w:val="en-AU" w:eastAsia="en-ID"/>
        </w:rPr>
        <w:t xml:space="preserve">, 34–47. </w:t>
      </w:r>
      <w:hyperlink r:id="rId96" w:history="1">
        <w:r w:rsidRPr="0002425C">
          <w:rPr>
            <w:rFonts w:ascii="Cambria" w:eastAsia="MS Mincho" w:hAnsi="Cambria" w:cs="Times New Roman"/>
            <w:noProof/>
            <w:color w:val="0000FF"/>
            <w:sz w:val="20"/>
            <w:szCs w:val="24"/>
            <w:u w:val="single"/>
            <w:lang w:val="en-AU" w:eastAsia="en-ID"/>
          </w:rPr>
          <w:t>https://doi.org/10.1016/j.ecresq.2023.08.011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Gorham, T., Majumdar, R., &amp; Ogata, H. (2024). Learning analytics of peer feedback on communicative skills in an EFL course across different learning modalities. </w:t>
      </w:r>
      <w:r w:rsidRPr="0002425C">
        <w:rPr>
          <w:rFonts w:ascii="Cambria" w:eastAsia="MS Mincho" w:hAnsi="Cambria" w:cs="Times New Roman"/>
          <w:i/>
          <w:iCs/>
          <w:noProof/>
          <w:sz w:val="20"/>
          <w:szCs w:val="24"/>
          <w:lang w:val="en-AU" w:eastAsia="en-ID"/>
        </w:rPr>
        <w:t>Studies in Educational Evaluation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81</w:t>
      </w:r>
      <w:r w:rsidRPr="0002425C">
        <w:rPr>
          <w:rFonts w:ascii="Cambria" w:eastAsia="MS Mincho" w:hAnsi="Cambria" w:cs="Times New Roman"/>
          <w:noProof/>
          <w:sz w:val="20"/>
          <w:szCs w:val="24"/>
          <w:lang w:val="en-AU" w:eastAsia="en-ID"/>
        </w:rPr>
        <w:t xml:space="preserve">, 101352. </w:t>
      </w:r>
      <w:hyperlink r:id="rId97" w:history="1">
        <w:r w:rsidRPr="0002425C">
          <w:rPr>
            <w:rFonts w:ascii="Cambria" w:eastAsia="MS Mincho" w:hAnsi="Cambria" w:cs="Times New Roman"/>
            <w:noProof/>
            <w:color w:val="0000FF"/>
            <w:sz w:val="20"/>
            <w:szCs w:val="24"/>
            <w:u w:val="single"/>
            <w:lang w:val="en-AU" w:eastAsia="en-ID"/>
          </w:rPr>
          <w:t>https://doi.org/10.1016/j.stueduc.2024.101352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Habók, A., Oo, T. Z., &amp; Magyar, A. (2024). The effect of reading strategy use on online reading comprehension. </w:t>
      </w:r>
      <w:r w:rsidRPr="0002425C">
        <w:rPr>
          <w:rFonts w:ascii="Cambria" w:eastAsia="MS Mincho" w:hAnsi="Cambria" w:cs="Times New Roman"/>
          <w:i/>
          <w:iCs/>
          <w:noProof/>
          <w:sz w:val="20"/>
          <w:szCs w:val="24"/>
          <w:lang w:val="en-AU" w:eastAsia="en-ID"/>
        </w:rPr>
        <w:t>Heliyon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w:t>
      </w:r>
      <w:r w:rsidRPr="0002425C">
        <w:rPr>
          <w:rFonts w:ascii="Cambria" w:eastAsia="MS Mincho" w:hAnsi="Cambria" w:cs="Times New Roman"/>
          <w:noProof/>
          <w:sz w:val="20"/>
          <w:szCs w:val="24"/>
          <w:lang w:val="en-AU" w:eastAsia="en-ID"/>
        </w:rPr>
        <w:t>(2), e24281.</w:t>
      </w:r>
      <w:hyperlink r:id="rId98" w:history="1">
        <w:r w:rsidRPr="0002425C">
          <w:rPr>
            <w:rFonts w:ascii="Cambria" w:eastAsia="MS Mincho" w:hAnsi="Cambria" w:cs="Times New Roman"/>
            <w:noProof/>
            <w:color w:val="0000FF"/>
            <w:sz w:val="20"/>
            <w:szCs w:val="24"/>
            <w:u w:val="single"/>
            <w:lang w:val="en-AU" w:eastAsia="en-ID"/>
          </w:rPr>
          <w:t xml:space="preserve"> https://doi.org/10.1016/j.heliyon.2024.e24281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Hagan, S. M., &amp; Barron, D. H. (2019). Reviewing Practice-Based Design Research—The Pursuit of a Disciplinary Destination. </w:t>
      </w:r>
      <w:r w:rsidRPr="0002425C">
        <w:rPr>
          <w:rFonts w:ascii="Cambria" w:eastAsia="MS Mincho" w:hAnsi="Cambria" w:cs="Times New Roman"/>
          <w:i/>
          <w:iCs/>
          <w:noProof/>
          <w:sz w:val="20"/>
          <w:szCs w:val="24"/>
          <w:lang w:val="en-AU" w:eastAsia="en-ID"/>
        </w:rPr>
        <w:t>She Ji: The Journal of Design, Economics, and Innovation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w:t>
      </w:r>
      <w:r w:rsidRPr="0002425C">
        <w:rPr>
          <w:rFonts w:ascii="Cambria" w:eastAsia="MS Mincho" w:hAnsi="Cambria" w:cs="Times New Roman"/>
          <w:noProof/>
          <w:sz w:val="20"/>
          <w:szCs w:val="24"/>
          <w:lang w:val="en-AU" w:eastAsia="en-ID"/>
        </w:rPr>
        <w:t xml:space="preserve">(1), 55–73. </w:t>
      </w:r>
      <w:hyperlink r:id="rId99" w:history="1">
        <w:r w:rsidRPr="0002425C">
          <w:rPr>
            <w:rFonts w:ascii="Cambria" w:eastAsia="MS Mincho" w:hAnsi="Cambria" w:cs="Times New Roman"/>
            <w:noProof/>
            <w:color w:val="0000FF"/>
            <w:sz w:val="20"/>
            <w:szCs w:val="24"/>
            <w:u w:val="single"/>
            <w:lang w:val="en-AU" w:eastAsia="en-ID"/>
          </w:rPr>
          <w:t>https://doi.org/10.1016/j.sheji.2018.12.001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Heo, S. (2022). Teacher scaffolding and immersion language learning of refugee-background students in an elementary immersion classroom. </w:t>
      </w:r>
      <w:r w:rsidRPr="0002425C">
        <w:rPr>
          <w:rFonts w:ascii="Cambria" w:eastAsia="MS Mincho" w:hAnsi="Cambria" w:cs="Times New Roman"/>
          <w:i/>
          <w:iCs/>
          <w:noProof/>
          <w:sz w:val="20"/>
          <w:szCs w:val="24"/>
          <w:lang w:val="en-AU" w:eastAsia="en-ID"/>
        </w:rPr>
        <w:t>Linguistics and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70</w:t>
      </w:r>
      <w:r w:rsidRPr="0002425C">
        <w:rPr>
          <w:rFonts w:ascii="Cambria" w:eastAsia="MS Mincho" w:hAnsi="Cambria" w:cs="Times New Roman"/>
          <w:noProof/>
          <w:sz w:val="20"/>
          <w:szCs w:val="24"/>
          <w:lang w:val="en-AU" w:eastAsia="en-ID"/>
        </w:rPr>
        <w:t xml:space="preserve">, 101055. </w:t>
      </w:r>
      <w:hyperlink r:id="rId100" w:history="1">
        <w:r w:rsidRPr="0002425C">
          <w:rPr>
            <w:rFonts w:ascii="Cambria" w:eastAsia="MS Mincho" w:hAnsi="Cambria" w:cs="Times New Roman"/>
            <w:noProof/>
            <w:color w:val="0000FF"/>
            <w:sz w:val="20"/>
            <w:szCs w:val="24"/>
            <w:u w:val="single"/>
            <w:lang w:val="en-AU" w:eastAsia="en-ID"/>
          </w:rPr>
          <w:t>https://doi.org/10.1016/j.linged.2022.101055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Hwang, S., Xu, R., Yao, Y., &amp; Cai, J. (2024). Learning to teach through problem posing: A teacher’s journey in a networked teacher−researcher partnership. </w:t>
      </w:r>
      <w:r w:rsidRPr="0002425C">
        <w:rPr>
          <w:rFonts w:ascii="Cambria" w:eastAsia="MS Mincho" w:hAnsi="Cambria" w:cs="Times New Roman"/>
          <w:i/>
          <w:iCs/>
          <w:noProof/>
          <w:sz w:val="20"/>
          <w:szCs w:val="24"/>
          <w:lang w:val="en-AU" w:eastAsia="en-ID"/>
        </w:rPr>
        <w:t>The Journal of Mathematical Behavior</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73</w:t>
      </w:r>
      <w:r w:rsidRPr="0002425C">
        <w:rPr>
          <w:rFonts w:ascii="Cambria" w:eastAsia="MS Mincho" w:hAnsi="Cambria" w:cs="Times New Roman"/>
          <w:noProof/>
          <w:sz w:val="20"/>
          <w:szCs w:val="24"/>
          <w:lang w:val="en-AU" w:eastAsia="en-ID"/>
        </w:rPr>
        <w:t xml:space="preserve">, 101120. </w:t>
      </w:r>
      <w:hyperlink r:id="rId101" w:history="1">
        <w:r w:rsidRPr="0002425C">
          <w:rPr>
            <w:rFonts w:ascii="Cambria" w:eastAsia="MS Mincho" w:hAnsi="Cambria" w:cs="Times New Roman"/>
            <w:noProof/>
            <w:color w:val="0000FF"/>
            <w:sz w:val="20"/>
            <w:szCs w:val="24"/>
            <w:u w:val="single"/>
            <w:lang w:val="en-AU" w:eastAsia="en-ID"/>
          </w:rPr>
          <w:t>https://doi.org/10.1016/j.jmathb.2023.101120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lastRenderedPageBreak/>
        <w:t xml:space="preserve">Iglesias Rodríguez, A., García Riaza, B., &amp; Sánchez Gómez, M. C. (2017). Collaborative learning and mobile devices: An educational experience in Primary Education. </w:t>
      </w:r>
      <w:r w:rsidRPr="0002425C">
        <w:rPr>
          <w:rFonts w:ascii="Cambria" w:eastAsia="MS Mincho" w:hAnsi="Cambria" w:cs="Times New Roman"/>
          <w:i/>
          <w:iCs/>
          <w:noProof/>
          <w:sz w:val="20"/>
          <w:szCs w:val="24"/>
          <w:lang w:val="en-AU" w:eastAsia="en-ID"/>
        </w:rPr>
        <w:t>Computers in Human Behavior</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72</w:t>
      </w:r>
      <w:r w:rsidRPr="0002425C">
        <w:rPr>
          <w:rFonts w:ascii="Cambria" w:eastAsia="MS Mincho" w:hAnsi="Cambria" w:cs="Times New Roman"/>
          <w:noProof/>
          <w:sz w:val="20"/>
          <w:szCs w:val="24"/>
          <w:lang w:val="en-AU" w:eastAsia="en-ID"/>
        </w:rPr>
        <w:t xml:space="preserve">, 664–677. </w:t>
      </w:r>
      <w:hyperlink r:id="rId102" w:history="1">
        <w:r w:rsidRPr="0002425C">
          <w:rPr>
            <w:rFonts w:ascii="Cambria" w:eastAsia="MS Mincho" w:hAnsi="Cambria" w:cs="Times New Roman"/>
            <w:noProof/>
            <w:color w:val="0000FF"/>
            <w:sz w:val="20"/>
            <w:szCs w:val="24"/>
            <w:u w:val="single"/>
            <w:lang w:val="en-AU" w:eastAsia="en-ID"/>
          </w:rPr>
          <w:t>https://doi.org/10.1016/j.chb.2016.07.019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Inoue, T. (2023). Toward an ecological model of language: from cognitive linguistics to ecological semantics. </w:t>
      </w:r>
      <w:r w:rsidRPr="0002425C">
        <w:rPr>
          <w:rFonts w:ascii="Cambria" w:eastAsia="MS Mincho" w:hAnsi="Cambria" w:cs="Times New Roman"/>
          <w:i/>
          <w:iCs/>
          <w:noProof/>
          <w:sz w:val="20"/>
          <w:szCs w:val="24"/>
          <w:lang w:val="en-AU" w:eastAsia="en-ID"/>
        </w:rPr>
        <w:t>Language Sciences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100</w:t>
      </w:r>
      <w:r w:rsidRPr="0002425C">
        <w:rPr>
          <w:rFonts w:ascii="Cambria" w:eastAsia="MS Mincho" w:hAnsi="Cambria" w:cs="Times New Roman"/>
          <w:noProof/>
          <w:sz w:val="20"/>
          <w:szCs w:val="24"/>
          <w:lang w:val="en-AU" w:eastAsia="en-ID"/>
        </w:rPr>
        <w:t>, 101582.</w:t>
      </w:r>
      <w:hyperlink r:id="rId103" w:history="1">
        <w:r w:rsidRPr="0002425C">
          <w:rPr>
            <w:rFonts w:ascii="Cambria" w:eastAsia="MS Mincho" w:hAnsi="Cambria" w:cs="Times New Roman"/>
            <w:noProof/>
            <w:color w:val="0000FF"/>
            <w:sz w:val="20"/>
            <w:szCs w:val="24"/>
            <w:u w:val="single"/>
            <w:lang w:val="en-AU" w:eastAsia="en-ID"/>
          </w:rPr>
          <w:t xml:space="preserve"> https://doi.org/10.1016/j.langsci.2023.101582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Jones, S. (2022). Storying gender equality in Northwest Uganda: Educators develop contextually- and culturally responsive stories in professional development courses.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111</w:t>
      </w:r>
      <w:r w:rsidRPr="0002425C">
        <w:rPr>
          <w:rFonts w:ascii="Cambria" w:eastAsia="MS Mincho" w:hAnsi="Cambria" w:cs="Times New Roman"/>
          <w:noProof/>
          <w:sz w:val="20"/>
          <w:szCs w:val="24"/>
          <w:lang w:val="en-AU" w:eastAsia="en-ID"/>
        </w:rPr>
        <w:t>, 103600.</w:t>
      </w:r>
      <w:hyperlink r:id="rId104" w:history="1">
        <w:r w:rsidRPr="0002425C">
          <w:rPr>
            <w:rFonts w:ascii="Cambria" w:eastAsia="MS Mincho" w:hAnsi="Cambria" w:cs="Times New Roman"/>
            <w:noProof/>
            <w:color w:val="0000FF"/>
            <w:sz w:val="20"/>
            <w:szCs w:val="24"/>
            <w:u w:val="single"/>
            <w:lang w:val="en-AU" w:eastAsia="en-ID"/>
          </w:rPr>
          <w:t xml:space="preserve"> https://doi.org/10.1016/j.tate.2021.103600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Keating, S. A., Vetter, M. J., Klar, R. T., &amp; Wright, F. (2022). Integrating Climate Change in the Curriculum: Using Instructional Design Methods to Create an Educational Innovation for Nurse Practitioners in a Doctor of Nursing Practice Program. </w:t>
      </w:r>
      <w:r w:rsidRPr="0002425C">
        <w:rPr>
          <w:rFonts w:ascii="Cambria" w:eastAsia="MS Mincho" w:hAnsi="Cambria" w:cs="Times New Roman"/>
          <w:i/>
          <w:iCs/>
          <w:noProof/>
          <w:sz w:val="20"/>
          <w:szCs w:val="24"/>
          <w:lang w:val="en-AU" w:eastAsia="en-ID"/>
        </w:rPr>
        <w:t>The Journal for Nurse Practitioners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18</w:t>
      </w:r>
      <w:r w:rsidRPr="0002425C">
        <w:rPr>
          <w:rFonts w:ascii="Cambria" w:eastAsia="MS Mincho" w:hAnsi="Cambria" w:cs="Times New Roman"/>
          <w:noProof/>
          <w:sz w:val="20"/>
          <w:szCs w:val="24"/>
          <w:lang w:val="en-AU" w:eastAsia="en-ID"/>
        </w:rPr>
        <w:t xml:space="preserve">(4), 424–428. </w:t>
      </w:r>
      <w:hyperlink r:id="rId105" w:history="1">
        <w:r w:rsidRPr="0002425C">
          <w:rPr>
            <w:rFonts w:ascii="Cambria" w:eastAsia="MS Mincho" w:hAnsi="Cambria" w:cs="Times New Roman"/>
            <w:noProof/>
            <w:color w:val="0000FF"/>
            <w:sz w:val="20"/>
            <w:szCs w:val="24"/>
            <w:u w:val="single"/>
            <w:lang w:val="en-AU" w:eastAsia="en-ID"/>
          </w:rPr>
          <w:t>https://doi.org/10.1016/j.nurpra.2021.11.009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Kimhi, Y., Sokol, O., &amp; Lavian, R. H. (2022). Professional competence of teachers: Improving reading comprehension in classes for children with autism spectrum disorder (ASD).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118</w:t>
      </w:r>
      <w:r w:rsidRPr="0002425C">
        <w:rPr>
          <w:rFonts w:ascii="Cambria" w:eastAsia="MS Mincho" w:hAnsi="Cambria" w:cs="Times New Roman"/>
          <w:noProof/>
          <w:sz w:val="20"/>
          <w:szCs w:val="24"/>
          <w:lang w:val="en-AU" w:eastAsia="en-ID"/>
        </w:rPr>
        <w:t xml:space="preserve">, 103829. </w:t>
      </w:r>
      <w:hyperlink r:id="rId106" w:history="1">
        <w:r w:rsidRPr="0002425C">
          <w:rPr>
            <w:rFonts w:ascii="Cambria" w:eastAsia="MS Mincho" w:hAnsi="Cambria" w:cs="Times New Roman"/>
            <w:noProof/>
            <w:color w:val="0000FF"/>
            <w:sz w:val="20"/>
            <w:szCs w:val="24"/>
            <w:u w:val="single"/>
            <w:lang w:val="en-AU" w:eastAsia="en-ID"/>
          </w:rPr>
          <w:t>https://doi.org/10.1016/j.tate.2022.103829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Kong, S.-C., &amp; Wang, Y.-Q. (2024). The impact of school support for professional development on teachers’ adoption of student-centered pedagogy, students’ cognitive learning and abilities: A three-level analysis. </w:t>
      </w:r>
      <w:r w:rsidRPr="0002425C">
        <w:rPr>
          <w:rFonts w:ascii="Cambria" w:eastAsia="MS Mincho" w:hAnsi="Cambria" w:cs="Times New Roman"/>
          <w:i/>
          <w:iCs/>
          <w:noProof/>
          <w:sz w:val="20"/>
          <w:szCs w:val="24"/>
          <w:lang w:val="en-AU" w:eastAsia="en-ID"/>
        </w:rPr>
        <w:t>Computers &amp;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215</w:t>
      </w:r>
      <w:r w:rsidRPr="0002425C">
        <w:rPr>
          <w:rFonts w:ascii="Cambria" w:eastAsia="MS Mincho" w:hAnsi="Cambria" w:cs="Times New Roman"/>
          <w:noProof/>
          <w:sz w:val="20"/>
          <w:szCs w:val="24"/>
          <w:lang w:val="en-AU" w:eastAsia="en-ID"/>
        </w:rPr>
        <w:t xml:space="preserve">, 105016. </w:t>
      </w:r>
      <w:hyperlink r:id="rId107" w:history="1">
        <w:r w:rsidRPr="0002425C">
          <w:rPr>
            <w:rFonts w:ascii="Cambria" w:eastAsia="MS Mincho" w:hAnsi="Cambria" w:cs="Times New Roman"/>
            <w:noProof/>
            <w:color w:val="0000FF"/>
            <w:sz w:val="20"/>
            <w:szCs w:val="24"/>
            <w:u w:val="single"/>
            <w:lang w:val="en-AU" w:eastAsia="en-ID"/>
          </w:rPr>
          <w:t>https://doi.org/10.1016/j.compedu.2024.105016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Kuhn, R. L. (2024). A Landscape of Consciousness: Toward a Taxonomy of Explanations and Implications. </w:t>
      </w:r>
      <w:r w:rsidRPr="0002425C">
        <w:rPr>
          <w:rFonts w:ascii="Cambria" w:eastAsia="MS Mincho" w:hAnsi="Cambria" w:cs="Times New Roman"/>
          <w:i/>
          <w:iCs/>
          <w:noProof/>
          <w:sz w:val="20"/>
          <w:szCs w:val="24"/>
          <w:lang w:val="en-AU" w:eastAsia="en-ID"/>
        </w:rPr>
        <w:t>Progress in Biophysics and Molecular Biology</w:t>
      </w:r>
      <w:r w:rsidRPr="0002425C">
        <w:rPr>
          <w:rFonts w:ascii="Cambria" w:eastAsia="MS Mincho" w:hAnsi="Cambria" w:cs="Times New Roman"/>
          <w:noProof/>
          <w:sz w:val="20"/>
          <w:szCs w:val="24"/>
          <w:lang w:val="en-AU" w:eastAsia="en-ID"/>
        </w:rPr>
        <w:t>.</w:t>
      </w:r>
      <w:hyperlink r:id="rId108" w:history="1">
        <w:r w:rsidRPr="0002425C">
          <w:rPr>
            <w:rFonts w:ascii="Cambria" w:eastAsia="MS Mincho" w:hAnsi="Cambria" w:cs="Times New Roman"/>
            <w:noProof/>
            <w:color w:val="0000FF"/>
            <w:sz w:val="20"/>
            <w:szCs w:val="24"/>
            <w:u w:val="single"/>
            <w:lang w:val="en-AU" w:eastAsia="en-ID"/>
          </w:rPr>
          <w:t xml:space="preserve"> https://doi.org/10.1016/j.pbiomolbio.2023.12.003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Kumbure, M. M., Tarkiainen, A., Stoklasa, J., Luukka, P., &amp; Jantunen, A. (2024). Causal maps in the analysis and unsupervised assessment of the development of expert knowledge: Quantification of the learning effects for knowledge management purposes. </w:t>
      </w:r>
      <w:r w:rsidRPr="0002425C">
        <w:rPr>
          <w:rFonts w:ascii="Cambria" w:eastAsia="MS Mincho" w:hAnsi="Cambria" w:cs="Times New Roman"/>
          <w:i/>
          <w:iCs/>
          <w:noProof/>
          <w:sz w:val="20"/>
          <w:szCs w:val="24"/>
          <w:lang w:val="en-AU" w:eastAsia="en-ID"/>
        </w:rPr>
        <w:t>Expert Systems with Applications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236</w:t>
      </w:r>
      <w:r w:rsidRPr="0002425C">
        <w:rPr>
          <w:rFonts w:ascii="Cambria" w:eastAsia="MS Mincho" w:hAnsi="Cambria" w:cs="Times New Roman"/>
          <w:noProof/>
          <w:sz w:val="20"/>
          <w:szCs w:val="24"/>
          <w:lang w:val="en-AU" w:eastAsia="en-ID"/>
        </w:rPr>
        <w:t xml:space="preserve">, 121232. </w:t>
      </w:r>
      <w:hyperlink r:id="rId109" w:history="1">
        <w:r w:rsidRPr="0002425C">
          <w:rPr>
            <w:rFonts w:ascii="Cambria" w:eastAsia="MS Mincho" w:hAnsi="Cambria" w:cs="Times New Roman"/>
            <w:noProof/>
            <w:color w:val="0000FF"/>
            <w:sz w:val="20"/>
            <w:szCs w:val="24"/>
            <w:u w:val="single"/>
            <w:lang w:val="en-AU" w:eastAsia="en-ID"/>
          </w:rPr>
          <w:t>https://doi.org/10.1016/j.eswa.2023.121232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Kurilovas, E., &amp; Kubilinskiene, S. (2020). Lithuanian case study on evaluating suitability, acceptance and use of IT tools by students – An example of applying Technology Enhanced Learning Research methods in Higher Education. </w:t>
      </w:r>
      <w:r w:rsidRPr="0002425C">
        <w:rPr>
          <w:rFonts w:ascii="Cambria" w:eastAsia="MS Mincho" w:hAnsi="Cambria" w:cs="Times New Roman"/>
          <w:i/>
          <w:iCs/>
          <w:noProof/>
          <w:sz w:val="20"/>
          <w:szCs w:val="24"/>
          <w:lang w:val="en-AU" w:eastAsia="en-ID"/>
        </w:rPr>
        <w:t>Computers in Human Behavior</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107</w:t>
      </w:r>
      <w:r w:rsidRPr="0002425C">
        <w:rPr>
          <w:rFonts w:ascii="Cambria" w:eastAsia="MS Mincho" w:hAnsi="Cambria" w:cs="Times New Roman"/>
          <w:noProof/>
          <w:sz w:val="20"/>
          <w:szCs w:val="24"/>
          <w:lang w:val="en-AU" w:eastAsia="en-ID"/>
        </w:rPr>
        <w:t xml:space="preserve">, 106274. </w:t>
      </w:r>
      <w:hyperlink r:id="rId110" w:history="1">
        <w:r w:rsidRPr="0002425C">
          <w:rPr>
            <w:rFonts w:ascii="Cambria" w:eastAsia="MS Mincho" w:hAnsi="Cambria" w:cs="Times New Roman"/>
            <w:noProof/>
            <w:color w:val="0000FF"/>
            <w:sz w:val="20"/>
            <w:szCs w:val="24"/>
            <w:u w:val="single"/>
            <w:lang w:val="en-AU" w:eastAsia="en-ID"/>
          </w:rPr>
          <w:t>https://doi.org/10.1016/j.chb.2020.106274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Latini, N., Bråten, I., &amp; Salmerón, L. (2020). Does reading medium affect processing and integration of textual and pictorial information? A multimedia eye-tracking study. </w:t>
      </w:r>
      <w:r w:rsidRPr="0002425C">
        <w:rPr>
          <w:rFonts w:ascii="Cambria" w:eastAsia="MS Mincho" w:hAnsi="Cambria" w:cs="Times New Roman"/>
          <w:i/>
          <w:iCs/>
          <w:noProof/>
          <w:sz w:val="20"/>
          <w:szCs w:val="24"/>
          <w:lang w:val="en-AU" w:eastAsia="en-ID"/>
        </w:rPr>
        <w:t>Contemporary Educational Psychology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62</w:t>
      </w:r>
      <w:r w:rsidRPr="0002425C">
        <w:rPr>
          <w:rFonts w:ascii="Cambria" w:eastAsia="MS Mincho" w:hAnsi="Cambria" w:cs="Times New Roman"/>
          <w:noProof/>
          <w:sz w:val="20"/>
          <w:szCs w:val="24"/>
          <w:lang w:val="en-AU" w:eastAsia="en-ID"/>
        </w:rPr>
        <w:t xml:space="preserve">, 101870. </w:t>
      </w:r>
      <w:hyperlink r:id="rId111" w:history="1">
        <w:r w:rsidRPr="0002425C">
          <w:rPr>
            <w:rFonts w:ascii="Cambria" w:eastAsia="MS Mincho" w:hAnsi="Cambria" w:cs="Times New Roman"/>
            <w:noProof/>
            <w:color w:val="0000FF"/>
            <w:sz w:val="20"/>
            <w:szCs w:val="24"/>
            <w:u w:val="single"/>
            <w:lang w:val="en-AU" w:eastAsia="en-ID"/>
          </w:rPr>
          <w:t>https://doi.org/10.1016/j.cedpsych.2020.101870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Li, Q., &amp; Yan, F. (2023). Community theory-based learning framework for Higher education. </w:t>
      </w:r>
      <w:r w:rsidRPr="0002425C">
        <w:rPr>
          <w:rFonts w:ascii="Cambria" w:eastAsia="MS Mincho" w:hAnsi="Cambria" w:cs="Times New Roman"/>
          <w:i/>
          <w:iCs/>
          <w:noProof/>
          <w:sz w:val="20"/>
          <w:szCs w:val="24"/>
          <w:lang w:val="en-AU" w:eastAsia="en-ID"/>
        </w:rPr>
        <w:t>Learning and Motivation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84</w:t>
      </w:r>
      <w:r w:rsidRPr="0002425C">
        <w:rPr>
          <w:rFonts w:ascii="Cambria" w:eastAsia="MS Mincho" w:hAnsi="Cambria" w:cs="Times New Roman"/>
          <w:noProof/>
          <w:sz w:val="20"/>
          <w:szCs w:val="24"/>
          <w:lang w:val="en-AU" w:eastAsia="en-ID"/>
        </w:rPr>
        <w:t xml:space="preserve">, 101913. </w:t>
      </w:r>
      <w:hyperlink r:id="rId112" w:history="1">
        <w:r w:rsidRPr="0002425C">
          <w:rPr>
            <w:rFonts w:ascii="Cambria" w:eastAsia="MS Mincho" w:hAnsi="Cambria" w:cs="Times New Roman"/>
            <w:noProof/>
            <w:color w:val="0000FF"/>
            <w:sz w:val="20"/>
            <w:szCs w:val="24"/>
            <w:u w:val="single"/>
            <w:lang w:val="en-AU" w:eastAsia="en-ID"/>
          </w:rPr>
          <w:t>https://doi.org/10.1016/j.lmot.2023.101913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Lim, J., Whitehead, G. E. K., &amp; Choi, Y. (2021). Interactive e-book reading vs. paper-based reading: Comparing the effects of different mediums on middle school students’ reading comprehension. </w:t>
      </w:r>
      <w:r w:rsidRPr="0002425C">
        <w:rPr>
          <w:rFonts w:ascii="Cambria" w:eastAsia="MS Mincho" w:hAnsi="Cambria" w:cs="Times New Roman"/>
          <w:i/>
          <w:iCs/>
          <w:noProof/>
          <w:sz w:val="20"/>
          <w:szCs w:val="24"/>
          <w:lang w:val="en-AU" w:eastAsia="en-ID"/>
        </w:rPr>
        <w:t>System</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97</w:t>
      </w:r>
      <w:r w:rsidRPr="0002425C">
        <w:rPr>
          <w:rFonts w:ascii="Cambria" w:eastAsia="MS Mincho" w:hAnsi="Cambria" w:cs="Times New Roman"/>
          <w:noProof/>
          <w:sz w:val="20"/>
          <w:szCs w:val="24"/>
          <w:lang w:val="en-AU" w:eastAsia="en-ID"/>
        </w:rPr>
        <w:t xml:space="preserve">, 102434. </w:t>
      </w:r>
      <w:hyperlink r:id="rId113" w:history="1">
        <w:r w:rsidRPr="0002425C">
          <w:rPr>
            <w:rFonts w:ascii="Cambria" w:eastAsia="MS Mincho" w:hAnsi="Cambria" w:cs="Times New Roman"/>
            <w:noProof/>
            <w:color w:val="0000FF"/>
            <w:sz w:val="20"/>
            <w:szCs w:val="24"/>
            <w:u w:val="single"/>
            <w:lang w:val="en-AU" w:eastAsia="en-ID"/>
          </w:rPr>
          <w:t>https://doi.org/10.1016/j.system.2020.102434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Lin, J., &amp; Wang, Y. (2024). Unpacking the mediating role of classroom interaction between student satisfaction and perceived online learning among Chinese EFL tertiary learners in the new normal of post-COVID-19. </w:t>
      </w:r>
      <w:r w:rsidRPr="0002425C">
        <w:rPr>
          <w:rFonts w:ascii="Cambria" w:eastAsia="MS Mincho" w:hAnsi="Cambria" w:cs="Times New Roman"/>
          <w:i/>
          <w:iCs/>
          <w:noProof/>
          <w:sz w:val="20"/>
          <w:szCs w:val="24"/>
          <w:lang w:val="en-AU" w:eastAsia="en-ID"/>
        </w:rPr>
        <w:t>Acta Psychologica</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245</w:t>
      </w:r>
      <w:r w:rsidRPr="0002425C">
        <w:rPr>
          <w:rFonts w:ascii="Cambria" w:eastAsia="MS Mincho" w:hAnsi="Cambria" w:cs="Times New Roman"/>
          <w:noProof/>
          <w:sz w:val="20"/>
          <w:szCs w:val="24"/>
          <w:lang w:val="en-AU" w:eastAsia="en-ID"/>
        </w:rPr>
        <w:t xml:space="preserve">, 104233. </w:t>
      </w:r>
      <w:hyperlink r:id="rId114" w:history="1">
        <w:r w:rsidRPr="0002425C">
          <w:rPr>
            <w:rFonts w:ascii="Cambria" w:eastAsia="MS Mincho" w:hAnsi="Cambria" w:cs="Times New Roman"/>
            <w:noProof/>
            <w:color w:val="0000FF"/>
            <w:sz w:val="20"/>
            <w:szCs w:val="24"/>
            <w:u w:val="single"/>
            <w:lang w:val="en-AU" w:eastAsia="en-ID"/>
          </w:rPr>
          <w:t>https://doi.org/10.1016/j.actpsy.2024.104233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Lin, Y.-R. (2023). An idiom-driven learning strategy to improve low achievers’ science comprehension, motivation, and argumentation. </w:t>
      </w:r>
      <w:r w:rsidRPr="0002425C">
        <w:rPr>
          <w:rFonts w:ascii="Cambria" w:eastAsia="MS Mincho" w:hAnsi="Cambria" w:cs="Times New Roman"/>
          <w:i/>
          <w:iCs/>
          <w:noProof/>
          <w:sz w:val="20"/>
          <w:szCs w:val="24"/>
          <w:lang w:val="en-AU" w:eastAsia="en-ID"/>
        </w:rPr>
        <w:t>Computers &amp;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195</w:t>
      </w:r>
      <w:r w:rsidRPr="0002425C">
        <w:rPr>
          <w:rFonts w:ascii="Cambria" w:eastAsia="MS Mincho" w:hAnsi="Cambria" w:cs="Times New Roman"/>
          <w:noProof/>
          <w:sz w:val="20"/>
          <w:szCs w:val="24"/>
          <w:lang w:val="en-AU" w:eastAsia="en-ID"/>
        </w:rPr>
        <w:t xml:space="preserve">, 104710. </w:t>
      </w:r>
      <w:hyperlink r:id="rId115" w:history="1">
        <w:r w:rsidRPr="0002425C">
          <w:rPr>
            <w:rFonts w:ascii="Cambria" w:eastAsia="MS Mincho" w:hAnsi="Cambria" w:cs="Times New Roman"/>
            <w:noProof/>
            <w:color w:val="0000FF"/>
            <w:sz w:val="20"/>
            <w:szCs w:val="24"/>
            <w:u w:val="single"/>
            <w:lang w:val="en-AU" w:eastAsia="en-ID"/>
          </w:rPr>
          <w:t>https://doi.org/10.1016/j.compedu.2022.104710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Liu, M., Kitto, K., &amp; Buckingham Shum, S. (2021). Combining factor analysis with writing analytics for the formative assessment of written reflection. </w:t>
      </w:r>
      <w:r w:rsidRPr="0002425C">
        <w:rPr>
          <w:rFonts w:ascii="Cambria" w:eastAsia="MS Mincho" w:hAnsi="Cambria" w:cs="Times New Roman"/>
          <w:i/>
          <w:iCs/>
          <w:noProof/>
          <w:sz w:val="20"/>
          <w:szCs w:val="24"/>
          <w:lang w:val="en-AU" w:eastAsia="en-ID"/>
        </w:rPr>
        <w:t>Computers in Human Behavior</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120</w:t>
      </w:r>
      <w:r w:rsidRPr="0002425C">
        <w:rPr>
          <w:rFonts w:ascii="Cambria" w:eastAsia="MS Mincho" w:hAnsi="Cambria" w:cs="Times New Roman"/>
          <w:noProof/>
          <w:sz w:val="20"/>
          <w:szCs w:val="24"/>
          <w:lang w:val="en-AU" w:eastAsia="en-ID"/>
        </w:rPr>
        <w:t xml:space="preserve">, 106733. </w:t>
      </w:r>
      <w:hyperlink r:id="rId116" w:history="1">
        <w:r w:rsidRPr="0002425C">
          <w:rPr>
            <w:rFonts w:ascii="Cambria" w:eastAsia="MS Mincho" w:hAnsi="Cambria" w:cs="Times New Roman"/>
            <w:noProof/>
            <w:color w:val="0000FF"/>
            <w:sz w:val="20"/>
            <w:szCs w:val="24"/>
            <w:u w:val="single"/>
            <w:lang w:val="en-AU" w:eastAsia="en-ID"/>
          </w:rPr>
          <w:t>https://doi.org/10.1016/j.chb.2021.106733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Mahmudah, M. (2016). Urgensi Diantara Dualisme Metode Pembelajaran Ceramah Dalam Kegiatan Belajar Mengajar Untuk Siswa MI/SD. </w:t>
      </w:r>
      <w:r w:rsidRPr="0002425C">
        <w:rPr>
          <w:rFonts w:ascii="Cambria" w:eastAsia="MS Mincho" w:hAnsi="Cambria" w:cs="Times New Roman"/>
          <w:i/>
          <w:iCs/>
          <w:noProof/>
          <w:sz w:val="20"/>
          <w:szCs w:val="24"/>
          <w:lang w:val="en-AU" w:eastAsia="en-ID"/>
        </w:rPr>
        <w:t>Cakrawala: Jurnal Studi Islam</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11</w:t>
      </w:r>
      <w:r w:rsidRPr="0002425C">
        <w:rPr>
          <w:rFonts w:ascii="Cambria" w:eastAsia="MS Mincho" w:hAnsi="Cambria" w:cs="Times New Roman"/>
          <w:noProof/>
          <w:sz w:val="20"/>
          <w:szCs w:val="24"/>
          <w:lang w:val="en-AU" w:eastAsia="en-ID"/>
        </w:rPr>
        <w:t xml:space="preserve">(1), 116–129. </w:t>
      </w:r>
      <w:hyperlink r:id="rId117" w:history="1">
        <w:r w:rsidRPr="0002425C">
          <w:rPr>
            <w:rFonts w:ascii="Cambria" w:eastAsia="MS Mincho" w:hAnsi="Cambria" w:cs="Times New Roman"/>
            <w:noProof/>
            <w:color w:val="0000FF"/>
            <w:sz w:val="20"/>
            <w:szCs w:val="24"/>
            <w:u w:val="single"/>
            <w:lang w:val="en-AU" w:eastAsia="en-ID"/>
          </w:rPr>
          <w:t>https://doi.org/10.31603/cakrawala.v11i1.107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Mak, M., Faber, M., &amp; Willems, R. M. (2023). Different kinds of simulation during literary reading: Insights from a combined fMRI and eye-tracking study. </w:t>
      </w:r>
      <w:r w:rsidRPr="0002425C">
        <w:rPr>
          <w:rFonts w:ascii="Cambria" w:eastAsia="MS Mincho" w:hAnsi="Cambria" w:cs="Times New Roman"/>
          <w:i/>
          <w:iCs/>
          <w:noProof/>
          <w:sz w:val="20"/>
          <w:szCs w:val="24"/>
          <w:lang w:val="en-AU" w:eastAsia="en-ID"/>
        </w:rPr>
        <w:t>Cortex</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162</w:t>
      </w:r>
      <w:r w:rsidRPr="0002425C">
        <w:rPr>
          <w:rFonts w:ascii="Cambria" w:eastAsia="MS Mincho" w:hAnsi="Cambria" w:cs="Times New Roman"/>
          <w:noProof/>
          <w:sz w:val="20"/>
          <w:szCs w:val="24"/>
          <w:lang w:val="en-AU" w:eastAsia="en-ID"/>
        </w:rPr>
        <w:t xml:space="preserve">, 115–135. </w:t>
      </w:r>
      <w:hyperlink r:id="rId118" w:history="1">
        <w:r w:rsidRPr="0002425C">
          <w:rPr>
            <w:rFonts w:ascii="Cambria" w:eastAsia="MS Mincho" w:hAnsi="Cambria" w:cs="Times New Roman"/>
            <w:noProof/>
            <w:color w:val="0000FF"/>
            <w:sz w:val="20"/>
            <w:szCs w:val="24"/>
            <w:u w:val="single"/>
            <w:lang w:val="en-AU" w:eastAsia="en-ID"/>
          </w:rPr>
          <w:t>https://doi.org/10.1016/j.cortex.2023.01.014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Mäkipää, T. (2024). Upper secondary students’ perceptions of feedback literacy in second language learning in Finland – A qualitative case study.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143</w:t>
      </w:r>
      <w:r w:rsidRPr="0002425C">
        <w:rPr>
          <w:rFonts w:ascii="Cambria" w:eastAsia="MS Mincho" w:hAnsi="Cambria" w:cs="Times New Roman"/>
          <w:noProof/>
          <w:sz w:val="20"/>
          <w:szCs w:val="24"/>
          <w:lang w:val="en-AU" w:eastAsia="en-ID"/>
        </w:rPr>
        <w:t xml:space="preserve">, 104554. </w:t>
      </w:r>
      <w:hyperlink r:id="rId119" w:history="1">
        <w:r w:rsidRPr="0002425C">
          <w:rPr>
            <w:rFonts w:ascii="Cambria" w:eastAsia="MS Mincho" w:hAnsi="Cambria" w:cs="Times New Roman"/>
            <w:noProof/>
            <w:color w:val="0000FF"/>
            <w:sz w:val="20"/>
            <w:szCs w:val="24"/>
            <w:u w:val="single"/>
            <w:lang w:val="en-AU" w:eastAsia="en-ID"/>
          </w:rPr>
          <w:t>https://doi.org/10.1016/j.tate.2024.104554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Malik, H., Anees, T., Faheem, M., Chaudhry, M. U., Ali, A., &amp; Asghar, M. N. (2023). Blockchain and Internet of Things in smart cities and drug supply management: Open issues, opportunities, and future directions. </w:t>
      </w:r>
      <w:r w:rsidRPr="0002425C">
        <w:rPr>
          <w:rFonts w:ascii="Cambria" w:eastAsia="MS Mincho" w:hAnsi="Cambria" w:cs="Times New Roman"/>
          <w:i/>
          <w:iCs/>
          <w:noProof/>
          <w:sz w:val="20"/>
          <w:szCs w:val="24"/>
          <w:lang w:val="en-AU" w:eastAsia="en-ID"/>
        </w:rPr>
        <w:t>Internet of Things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23</w:t>
      </w:r>
      <w:r w:rsidRPr="0002425C">
        <w:rPr>
          <w:rFonts w:ascii="Cambria" w:eastAsia="MS Mincho" w:hAnsi="Cambria" w:cs="Times New Roman"/>
          <w:noProof/>
          <w:sz w:val="20"/>
          <w:szCs w:val="24"/>
          <w:lang w:val="en-AU" w:eastAsia="en-ID"/>
        </w:rPr>
        <w:t xml:space="preserve">, 100860. </w:t>
      </w:r>
      <w:hyperlink r:id="rId120" w:history="1">
        <w:r w:rsidRPr="0002425C">
          <w:rPr>
            <w:rFonts w:ascii="Cambria" w:eastAsia="MS Mincho" w:hAnsi="Cambria" w:cs="Times New Roman"/>
            <w:noProof/>
            <w:color w:val="0000FF"/>
            <w:sz w:val="20"/>
            <w:szCs w:val="24"/>
            <w:u w:val="single"/>
            <w:lang w:val="en-AU" w:eastAsia="en-ID"/>
          </w:rPr>
          <w:t>https://doi.org/10.1016/j.iot.2023.100860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Mallik, A. K. (2023). The future of the technology-based manufacturing in the European Union. </w:t>
      </w:r>
      <w:r w:rsidRPr="0002425C">
        <w:rPr>
          <w:rFonts w:ascii="Cambria" w:eastAsia="MS Mincho" w:hAnsi="Cambria" w:cs="Times New Roman"/>
          <w:i/>
          <w:iCs/>
          <w:noProof/>
          <w:sz w:val="20"/>
          <w:szCs w:val="24"/>
          <w:lang w:val="en-AU" w:eastAsia="en-ID"/>
        </w:rPr>
        <w:t xml:space="preserve">Results in </w:t>
      </w:r>
      <w:r w:rsidRPr="0002425C">
        <w:rPr>
          <w:rFonts w:ascii="Cambria" w:eastAsia="MS Mincho" w:hAnsi="Cambria" w:cs="Times New Roman"/>
          <w:i/>
          <w:iCs/>
          <w:noProof/>
          <w:sz w:val="20"/>
          <w:szCs w:val="24"/>
          <w:lang w:val="en-AU" w:eastAsia="en-ID"/>
        </w:rPr>
        <w:lastRenderedPageBreak/>
        <w:t>Engineering</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w:t>
      </w:r>
      <w:r w:rsidRPr="0002425C">
        <w:rPr>
          <w:rFonts w:ascii="Cambria" w:eastAsia="MS Mincho" w:hAnsi="Cambria" w:cs="Times New Roman"/>
          <w:noProof/>
          <w:sz w:val="20"/>
          <w:szCs w:val="24"/>
          <w:lang w:val="en-AU" w:eastAsia="en-ID"/>
        </w:rPr>
        <w:t>, 101356.</w:t>
      </w:r>
      <w:hyperlink r:id="rId121" w:history="1">
        <w:r w:rsidRPr="0002425C">
          <w:rPr>
            <w:rFonts w:ascii="Cambria" w:eastAsia="MS Mincho" w:hAnsi="Cambria" w:cs="Times New Roman"/>
            <w:noProof/>
            <w:color w:val="0000FF"/>
            <w:sz w:val="20"/>
            <w:szCs w:val="24"/>
            <w:u w:val="single"/>
            <w:lang w:val="en-AU" w:eastAsia="en-ID"/>
          </w:rPr>
          <w:t xml:space="preserve"> https://doi.org/10.1016/j.rineng.2023.101356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Marwan, Firdaus, F. M., &amp; Handayani, I. W. (2023). </w:t>
      </w:r>
      <w:r w:rsidRPr="0002425C">
        <w:rPr>
          <w:rFonts w:ascii="Cambria" w:eastAsia="MS Mincho" w:hAnsi="Cambria" w:cs="Times New Roman"/>
          <w:i/>
          <w:iCs/>
          <w:noProof/>
          <w:sz w:val="20"/>
          <w:szCs w:val="24"/>
          <w:lang w:val="en-AU" w:eastAsia="en-ID"/>
        </w:rPr>
        <w:t>Increase reading comprehension and critical thinking through reading stories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w:t>
      </w:r>
      <w:r w:rsidRPr="0002425C">
        <w:rPr>
          <w:rFonts w:ascii="Cambria" w:eastAsia="MS Mincho" w:hAnsi="Cambria" w:cs="Times New Roman"/>
          <w:noProof/>
          <w:sz w:val="20"/>
          <w:szCs w:val="24"/>
          <w:lang w:val="en-AU" w:eastAsia="en-ID"/>
        </w:rPr>
        <w:t>(1), 1–14.</w:t>
      </w:r>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McKoon, G., &amp; Ratcliff, R. (2018). Adults with poor reading skills, older adults, and college students: The meanings they understand during reading using a diffusion model analysis. </w:t>
      </w:r>
      <w:r w:rsidRPr="0002425C">
        <w:rPr>
          <w:rFonts w:ascii="Cambria" w:eastAsia="MS Mincho" w:hAnsi="Cambria" w:cs="Times New Roman"/>
          <w:i/>
          <w:iCs/>
          <w:noProof/>
          <w:sz w:val="20"/>
          <w:szCs w:val="24"/>
          <w:lang w:val="en-AU" w:eastAsia="en-ID"/>
        </w:rPr>
        <w:t>Journal of Memory and Language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102</w:t>
      </w:r>
      <w:r w:rsidRPr="0002425C">
        <w:rPr>
          <w:rFonts w:ascii="Cambria" w:eastAsia="MS Mincho" w:hAnsi="Cambria" w:cs="Times New Roman"/>
          <w:noProof/>
          <w:sz w:val="20"/>
          <w:szCs w:val="24"/>
          <w:lang w:val="en-AU" w:eastAsia="en-ID"/>
        </w:rPr>
        <w:t xml:space="preserve">, 115–129. </w:t>
      </w:r>
      <w:hyperlink r:id="rId122" w:history="1">
        <w:r w:rsidRPr="0002425C">
          <w:rPr>
            <w:rFonts w:ascii="Cambria" w:eastAsia="MS Mincho" w:hAnsi="Cambria" w:cs="Times New Roman"/>
            <w:noProof/>
            <w:color w:val="0000FF"/>
            <w:sz w:val="20"/>
            <w:szCs w:val="24"/>
            <w:u w:val="single"/>
            <w:lang w:val="en-AU" w:eastAsia="en-ID"/>
          </w:rPr>
          <w:t>https://doi.org/10.1016/j.jml.2018.05.005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Mutoni Griffiths, C., Murdock-Perriera, L., &amp; L Eberhardt, J. (2023). “Can you tell me more about this?”: Agentic written feedback, teacher expectations, and student learning. </w:t>
      </w:r>
      <w:r w:rsidRPr="0002425C">
        <w:rPr>
          <w:rFonts w:ascii="Cambria" w:eastAsia="MS Mincho" w:hAnsi="Cambria" w:cs="Times New Roman"/>
          <w:i/>
          <w:iCs/>
          <w:noProof/>
          <w:sz w:val="20"/>
          <w:szCs w:val="24"/>
          <w:lang w:val="en-AU" w:eastAsia="en-ID"/>
        </w:rPr>
        <w:t>Contemporary Educational Psychology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73</w:t>
      </w:r>
      <w:r w:rsidRPr="0002425C">
        <w:rPr>
          <w:rFonts w:ascii="Cambria" w:eastAsia="MS Mincho" w:hAnsi="Cambria" w:cs="Times New Roman"/>
          <w:noProof/>
          <w:sz w:val="20"/>
          <w:szCs w:val="24"/>
          <w:lang w:val="en-AU" w:eastAsia="en-ID"/>
        </w:rPr>
        <w:t xml:space="preserve">, 102145. </w:t>
      </w:r>
      <w:hyperlink r:id="rId123" w:history="1">
        <w:r w:rsidRPr="0002425C">
          <w:rPr>
            <w:rFonts w:ascii="Cambria" w:eastAsia="MS Mincho" w:hAnsi="Cambria" w:cs="Times New Roman"/>
            <w:noProof/>
            <w:color w:val="0000FF"/>
            <w:sz w:val="20"/>
            <w:szCs w:val="24"/>
            <w:u w:val="single"/>
            <w:lang w:val="en-AU" w:eastAsia="en-ID"/>
          </w:rPr>
          <w:t>https://doi.org/10.1016/j.cedpsych.2022.102145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Nasar, S., Shome, R., Kabir, S., Gnani, S., Rao, M., &amp; Rashid, S. F. (2024). Understanding the impacts of COVID-19 pandemic on mental health and well-being among university students in Dhaka, Bangladesh: A nested mixed-methods study. </w:t>
      </w:r>
      <w:r w:rsidRPr="0002425C">
        <w:rPr>
          <w:rFonts w:ascii="Cambria" w:eastAsia="MS Mincho" w:hAnsi="Cambria" w:cs="Times New Roman"/>
          <w:i/>
          <w:iCs/>
          <w:noProof/>
          <w:sz w:val="20"/>
          <w:szCs w:val="24"/>
          <w:lang w:val="en-AU" w:eastAsia="en-ID"/>
        </w:rPr>
        <w:t>Heliyon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w:t>
      </w:r>
      <w:r w:rsidRPr="0002425C">
        <w:rPr>
          <w:rFonts w:ascii="Cambria" w:eastAsia="MS Mincho" w:hAnsi="Cambria" w:cs="Times New Roman"/>
          <w:noProof/>
          <w:sz w:val="20"/>
          <w:szCs w:val="24"/>
          <w:lang w:val="en-AU" w:eastAsia="en-ID"/>
        </w:rPr>
        <w:t xml:space="preserve">(6), e27588. </w:t>
      </w:r>
      <w:hyperlink r:id="rId124" w:history="1">
        <w:r w:rsidRPr="0002425C">
          <w:rPr>
            <w:rFonts w:ascii="Cambria" w:eastAsia="MS Mincho" w:hAnsi="Cambria" w:cs="Times New Roman"/>
            <w:noProof/>
            <w:color w:val="0000FF"/>
            <w:sz w:val="20"/>
            <w:szCs w:val="24"/>
            <w:u w:val="single"/>
            <w:lang w:val="en-AU" w:eastAsia="en-ID"/>
          </w:rPr>
          <w:t>https://doi.org/10.1016/j.heliyon.2024.e27588</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Nurdianah, E., &amp; Sudira, P. (2022). Developing Mobile Career Learning Model for Electronics Engineering Vocational High School. </w:t>
      </w:r>
      <w:r w:rsidRPr="0002425C">
        <w:rPr>
          <w:rFonts w:ascii="Cambria" w:eastAsia="MS Mincho" w:hAnsi="Cambria" w:cs="Times New Roman"/>
          <w:i/>
          <w:iCs/>
          <w:noProof/>
          <w:sz w:val="20"/>
          <w:szCs w:val="24"/>
          <w:lang w:val="en-AU" w:eastAsia="en-ID"/>
        </w:rPr>
        <w:t>Elinvo (Electronics, Informatics, and Vocational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w:t>
      </w:r>
      <w:r w:rsidRPr="0002425C">
        <w:rPr>
          <w:rFonts w:ascii="Cambria" w:eastAsia="MS Mincho" w:hAnsi="Cambria" w:cs="Times New Roman"/>
          <w:noProof/>
          <w:sz w:val="20"/>
          <w:szCs w:val="24"/>
          <w:lang w:val="en-AU" w:eastAsia="en-ID"/>
        </w:rPr>
        <w:t xml:space="preserve">(1), 27–40. </w:t>
      </w:r>
      <w:hyperlink r:id="rId125" w:history="1">
        <w:r w:rsidRPr="0002425C">
          <w:rPr>
            <w:rFonts w:ascii="Cambria" w:eastAsia="MS Mincho" w:hAnsi="Cambria" w:cs="Times New Roman"/>
            <w:noProof/>
            <w:color w:val="0000FF"/>
            <w:sz w:val="20"/>
            <w:szCs w:val="24"/>
            <w:u w:val="single"/>
            <w:lang w:val="en-AU" w:eastAsia="en-ID"/>
          </w:rPr>
          <w:t>https://doi.org/10.21831/elinvo.v7i1.44425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Patterson, T., Bridgelal, I., &amp; Kaplan, A. (2022). Becoming a social studies teacher: An integrative systems perspective on identity content, structure, and processes.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120</w:t>
      </w:r>
      <w:r w:rsidRPr="0002425C">
        <w:rPr>
          <w:rFonts w:ascii="Cambria" w:eastAsia="MS Mincho" w:hAnsi="Cambria" w:cs="Times New Roman"/>
          <w:noProof/>
          <w:sz w:val="20"/>
          <w:szCs w:val="24"/>
          <w:lang w:val="en-AU" w:eastAsia="en-ID"/>
        </w:rPr>
        <w:t xml:space="preserve">, 103899. </w:t>
      </w:r>
      <w:hyperlink r:id="rId126" w:history="1">
        <w:r w:rsidRPr="0002425C">
          <w:rPr>
            <w:rFonts w:ascii="Cambria" w:eastAsia="MS Mincho" w:hAnsi="Cambria" w:cs="Times New Roman"/>
            <w:noProof/>
            <w:color w:val="0000FF"/>
            <w:sz w:val="20"/>
            <w:szCs w:val="24"/>
            <w:u w:val="single"/>
            <w:lang w:val="en-AU" w:eastAsia="en-ID"/>
          </w:rPr>
          <w:t>https://doi.org/10.1016/j.tate.2022.103899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Pollard-Durodola, S. D., Gonzalez, J. E., Saenz, L., Soares, D., Resendez, N., Kwok, O., Davis, H., &amp; Zhu, L. (2016). The effects of content-related shared book reading on the language development of preschool dual language learners. </w:t>
      </w:r>
      <w:r w:rsidRPr="0002425C">
        <w:rPr>
          <w:rFonts w:ascii="Cambria" w:eastAsia="MS Mincho" w:hAnsi="Cambria" w:cs="Times New Roman"/>
          <w:i/>
          <w:iCs/>
          <w:noProof/>
          <w:sz w:val="20"/>
          <w:szCs w:val="24"/>
          <w:lang w:val="en-AU" w:eastAsia="en-ID"/>
        </w:rPr>
        <w:t>Early Childhood Research Quarterly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36</w:t>
      </w:r>
      <w:r w:rsidRPr="0002425C">
        <w:rPr>
          <w:rFonts w:ascii="Cambria" w:eastAsia="MS Mincho" w:hAnsi="Cambria" w:cs="Times New Roman"/>
          <w:noProof/>
          <w:sz w:val="20"/>
          <w:szCs w:val="24"/>
          <w:lang w:val="en-AU" w:eastAsia="en-ID"/>
        </w:rPr>
        <w:t xml:space="preserve">, 106–121. </w:t>
      </w:r>
      <w:hyperlink r:id="rId127" w:history="1">
        <w:r w:rsidRPr="0002425C">
          <w:rPr>
            <w:rFonts w:ascii="Cambria" w:eastAsia="MS Mincho" w:hAnsi="Cambria" w:cs="Times New Roman"/>
            <w:noProof/>
            <w:color w:val="0000FF"/>
            <w:sz w:val="20"/>
            <w:szCs w:val="24"/>
            <w:u w:val="single"/>
            <w:lang w:val="en-AU" w:eastAsia="en-ID"/>
          </w:rPr>
          <w:t>https://doi.org/10.1016/j.ecresq.2015.12.004</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Rahayu, N. M. S., &amp; I Gusti Ayu Tri Agustiana. (2023). Interactive Multimedia Based on Problem Based Learning Models on Material Changes in the form of Objects. </w:t>
      </w:r>
      <w:r w:rsidRPr="0002425C">
        <w:rPr>
          <w:rFonts w:ascii="Cambria" w:eastAsia="MS Mincho" w:hAnsi="Cambria" w:cs="Times New Roman"/>
          <w:i/>
          <w:iCs/>
          <w:noProof/>
          <w:sz w:val="20"/>
          <w:szCs w:val="24"/>
          <w:lang w:val="en-AU" w:eastAsia="en-ID"/>
        </w:rPr>
        <w:t>Mimbar Ilmu</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28</w:t>
      </w:r>
      <w:r w:rsidRPr="0002425C">
        <w:rPr>
          <w:rFonts w:ascii="Cambria" w:eastAsia="MS Mincho" w:hAnsi="Cambria" w:cs="Times New Roman"/>
          <w:noProof/>
          <w:sz w:val="20"/>
          <w:szCs w:val="24"/>
          <w:lang w:val="en-AU" w:eastAsia="en-ID"/>
        </w:rPr>
        <w:t xml:space="preserve">(2), 201–212. </w:t>
      </w:r>
      <w:hyperlink r:id="rId128" w:history="1">
        <w:r w:rsidRPr="0002425C">
          <w:rPr>
            <w:rFonts w:ascii="Cambria" w:eastAsia="MS Mincho" w:hAnsi="Cambria" w:cs="Times New Roman"/>
            <w:noProof/>
            <w:color w:val="0000FF"/>
            <w:sz w:val="20"/>
            <w:szCs w:val="24"/>
            <w:u w:val="single"/>
            <w:lang w:val="en-AU" w:eastAsia="en-ID"/>
          </w:rPr>
          <w:t>https://doi.org/10.23887/mi.v28i2.63523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Rahimi, V., Mohammadkhani, G., Alaghband Rad, J., Mousavi, S. Z., &amp; Khalili, M. E. (2022). Modulation of auditory temporal processing, speech in noise perception, auditory-verbal memory, and reading efficiency by anodal tDCS in children with dyslexia. </w:t>
      </w:r>
      <w:r w:rsidRPr="0002425C">
        <w:rPr>
          <w:rFonts w:ascii="Cambria" w:eastAsia="MS Mincho" w:hAnsi="Cambria" w:cs="Times New Roman"/>
          <w:i/>
          <w:iCs/>
          <w:noProof/>
          <w:sz w:val="20"/>
          <w:szCs w:val="24"/>
          <w:lang w:val="en-AU" w:eastAsia="en-ID"/>
        </w:rPr>
        <w:t>Neuropsychologia</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177</w:t>
      </w:r>
      <w:r w:rsidRPr="0002425C">
        <w:rPr>
          <w:rFonts w:ascii="Cambria" w:eastAsia="MS Mincho" w:hAnsi="Cambria" w:cs="Times New Roman"/>
          <w:noProof/>
          <w:sz w:val="20"/>
          <w:szCs w:val="24"/>
          <w:lang w:val="en-AU" w:eastAsia="en-ID"/>
        </w:rPr>
        <w:t xml:space="preserve">, 108427. </w:t>
      </w:r>
      <w:hyperlink r:id="rId129" w:history="1">
        <w:r w:rsidRPr="0002425C">
          <w:rPr>
            <w:rFonts w:ascii="Cambria" w:eastAsia="MS Mincho" w:hAnsi="Cambria" w:cs="Times New Roman"/>
            <w:noProof/>
            <w:color w:val="0000FF"/>
            <w:sz w:val="20"/>
            <w:szCs w:val="24"/>
            <w:u w:val="single"/>
            <w:lang w:val="en-AU" w:eastAsia="en-ID"/>
          </w:rPr>
          <w:t>https://doi.org/10.1016/j.neuropsychologia.2022.108427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Rasna, I. W. (2019). </w:t>
      </w:r>
      <w:r w:rsidRPr="0002425C">
        <w:rPr>
          <w:rFonts w:ascii="Cambria" w:eastAsia="MS Mincho" w:hAnsi="Cambria" w:cs="Times New Roman"/>
          <w:i/>
          <w:iCs/>
          <w:noProof/>
          <w:sz w:val="20"/>
          <w:szCs w:val="24"/>
          <w:lang w:val="en-AU" w:eastAsia="en-ID"/>
        </w:rPr>
        <w:t>A Creative Construction Model of Language Acquisition in Linguistic Politeness for Elementary School Children Character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178</w:t>
      </w:r>
      <w:r w:rsidRPr="0002425C">
        <w:rPr>
          <w:rFonts w:ascii="Cambria" w:eastAsia="MS Mincho" w:hAnsi="Cambria" w:cs="Times New Roman"/>
          <w:noProof/>
          <w:sz w:val="20"/>
          <w:szCs w:val="24"/>
          <w:lang w:val="en-AU" w:eastAsia="en-ID"/>
        </w:rPr>
        <w:t xml:space="preserve">(ICoIE 2018), 267–270. </w:t>
      </w:r>
      <w:hyperlink r:id="rId130" w:history="1">
        <w:r w:rsidRPr="0002425C">
          <w:rPr>
            <w:rFonts w:ascii="Cambria" w:eastAsia="MS Mincho" w:hAnsi="Cambria" w:cs="Times New Roman"/>
            <w:noProof/>
            <w:color w:val="0000FF"/>
            <w:sz w:val="20"/>
            <w:szCs w:val="24"/>
            <w:u w:val="single"/>
            <w:lang w:val="en-AU" w:eastAsia="en-ID"/>
          </w:rPr>
          <w:t>https://doi.org/10.2991/icoie-18.2019.60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Reedy, P. (2023). Interpol review of digital evidence for 2019–2022. </w:t>
      </w:r>
      <w:r w:rsidRPr="0002425C">
        <w:rPr>
          <w:rFonts w:ascii="Cambria" w:eastAsia="MS Mincho" w:hAnsi="Cambria" w:cs="Times New Roman"/>
          <w:i/>
          <w:iCs/>
          <w:noProof/>
          <w:sz w:val="20"/>
          <w:szCs w:val="24"/>
          <w:lang w:val="en-AU" w:eastAsia="en-ID"/>
        </w:rPr>
        <w:t>Forensic Science International: Synergy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6</w:t>
      </w:r>
      <w:r w:rsidRPr="0002425C">
        <w:rPr>
          <w:rFonts w:ascii="Cambria" w:eastAsia="MS Mincho" w:hAnsi="Cambria" w:cs="Times New Roman"/>
          <w:noProof/>
          <w:sz w:val="20"/>
          <w:szCs w:val="24"/>
          <w:lang w:val="en-AU" w:eastAsia="en-ID"/>
        </w:rPr>
        <w:t xml:space="preserve">, 100313. </w:t>
      </w:r>
      <w:hyperlink r:id="rId131" w:history="1">
        <w:r w:rsidRPr="0002425C">
          <w:rPr>
            <w:rFonts w:ascii="Cambria" w:eastAsia="MS Mincho" w:hAnsi="Cambria" w:cs="Times New Roman"/>
            <w:noProof/>
            <w:color w:val="0000FF"/>
            <w:sz w:val="20"/>
            <w:szCs w:val="24"/>
            <w:u w:val="single"/>
            <w:lang w:val="en-AU" w:eastAsia="en-ID"/>
          </w:rPr>
          <w:t>https://doi.org/10.1016/j.fsisyn.2022.100313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Retnasari, L., Hidayah, Y., &amp; Prasetyo, D. (2021). Reinforcement of Character Education Based on School Culture to Enhancing Elementary School Students’ Citizenship Character. </w:t>
      </w:r>
      <w:r w:rsidRPr="0002425C">
        <w:rPr>
          <w:rFonts w:ascii="Cambria" w:eastAsia="MS Mincho" w:hAnsi="Cambria" w:cs="Times New Roman"/>
          <w:i/>
          <w:iCs/>
          <w:noProof/>
          <w:sz w:val="20"/>
          <w:szCs w:val="24"/>
          <w:lang w:val="en-AU" w:eastAsia="en-ID"/>
        </w:rPr>
        <w:t>Jurnal Ilmiah Sekolah Dasar</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w:t>
      </w:r>
      <w:r w:rsidRPr="0002425C">
        <w:rPr>
          <w:rFonts w:ascii="Cambria" w:eastAsia="MS Mincho" w:hAnsi="Cambria" w:cs="Times New Roman"/>
          <w:noProof/>
          <w:sz w:val="20"/>
          <w:szCs w:val="24"/>
          <w:lang w:val="en-AU" w:eastAsia="en-ID"/>
        </w:rPr>
        <w:t>(2), 351.</w:t>
      </w:r>
      <w:hyperlink r:id="rId132" w:history="1">
        <w:r w:rsidRPr="0002425C">
          <w:rPr>
            <w:rFonts w:ascii="Cambria" w:eastAsia="MS Mincho" w:hAnsi="Cambria" w:cs="Times New Roman"/>
            <w:noProof/>
            <w:color w:val="0000FF"/>
            <w:sz w:val="20"/>
            <w:szCs w:val="24"/>
            <w:u w:val="single"/>
            <w:lang w:val="en-AU" w:eastAsia="en-ID"/>
          </w:rPr>
          <w:t xml:space="preserve"> https://doi.org/10.23887/jisd.v5i2.38072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Roberts, R. D., &amp; Stankov, L. (1999). Individual differences in speed of mental processing and human cognitive abilities: Toward a taxonomic model. </w:t>
      </w:r>
      <w:r w:rsidRPr="0002425C">
        <w:rPr>
          <w:rFonts w:ascii="Cambria" w:eastAsia="MS Mincho" w:hAnsi="Cambria" w:cs="Times New Roman"/>
          <w:i/>
          <w:iCs/>
          <w:noProof/>
          <w:sz w:val="20"/>
          <w:szCs w:val="24"/>
          <w:lang w:val="en-AU" w:eastAsia="en-ID"/>
        </w:rPr>
        <w:t>Learning and Individual Differences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11</w:t>
      </w:r>
      <w:r w:rsidRPr="0002425C">
        <w:rPr>
          <w:rFonts w:ascii="Cambria" w:eastAsia="MS Mincho" w:hAnsi="Cambria" w:cs="Times New Roman"/>
          <w:noProof/>
          <w:sz w:val="20"/>
          <w:szCs w:val="24"/>
          <w:lang w:val="en-AU" w:eastAsia="en-ID"/>
        </w:rPr>
        <w:t xml:space="preserve">(1), 1–120. </w:t>
      </w:r>
      <w:hyperlink r:id="rId133" w:history="1">
        <w:r w:rsidRPr="0002425C">
          <w:rPr>
            <w:rFonts w:ascii="Cambria" w:eastAsia="MS Mincho" w:hAnsi="Cambria" w:cs="Times New Roman"/>
            <w:noProof/>
            <w:color w:val="0000FF"/>
            <w:sz w:val="20"/>
            <w:szCs w:val="24"/>
            <w:u w:val="single"/>
            <w:lang w:val="en-AU" w:eastAsia="en-ID"/>
          </w:rPr>
          <w:t>https://doi.org/10.1016/S1041-6080(00)80007-2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Rojas-Drummond, S., Maine, F., Alarcón, M., Trigo, A. L., Barrera, M. J., Mazón, N., Vélez, M., &amp; Hofmann, R. (2017). Dialogic literacy: Talking, reading and writing among primary school children. </w:t>
      </w:r>
      <w:r w:rsidRPr="0002425C">
        <w:rPr>
          <w:rFonts w:ascii="Cambria" w:eastAsia="MS Mincho" w:hAnsi="Cambria" w:cs="Times New Roman"/>
          <w:i/>
          <w:iCs/>
          <w:noProof/>
          <w:sz w:val="20"/>
          <w:szCs w:val="24"/>
          <w:lang w:val="en-AU" w:eastAsia="en-ID"/>
        </w:rPr>
        <w:t>Learning, Culture and Social Interaction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w:t>
      </w:r>
      <w:r w:rsidRPr="0002425C">
        <w:rPr>
          <w:rFonts w:ascii="Cambria" w:eastAsia="MS Mincho" w:hAnsi="Cambria" w:cs="Times New Roman"/>
          <w:noProof/>
          <w:sz w:val="20"/>
          <w:szCs w:val="24"/>
          <w:lang w:val="en-AU" w:eastAsia="en-ID"/>
        </w:rPr>
        <w:t xml:space="preserve">, 45–62. </w:t>
      </w:r>
      <w:hyperlink r:id="rId134" w:history="1">
        <w:r w:rsidRPr="0002425C">
          <w:rPr>
            <w:rFonts w:ascii="Cambria" w:eastAsia="MS Mincho" w:hAnsi="Cambria" w:cs="Times New Roman"/>
            <w:noProof/>
            <w:color w:val="0000FF"/>
            <w:sz w:val="20"/>
            <w:szCs w:val="24"/>
            <w:u w:val="single"/>
            <w:lang w:val="en-AU" w:eastAsia="en-ID"/>
          </w:rPr>
          <w:t>https://doi.org/10.1016/j.lcsi.2016.09.005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Segundo Marcos, R. I., López Ferández, V., Daza González, M. T., &amp; Phillips-Silver, J. (2020). Promoting children’s creative thinking through reading and writing in a cooperative learning classroom. </w:t>
      </w:r>
      <w:r w:rsidRPr="0002425C">
        <w:rPr>
          <w:rFonts w:ascii="Cambria" w:eastAsia="MS Mincho" w:hAnsi="Cambria" w:cs="Times New Roman"/>
          <w:i/>
          <w:iCs/>
          <w:noProof/>
          <w:sz w:val="20"/>
          <w:szCs w:val="24"/>
          <w:lang w:val="en-AU" w:eastAsia="en-ID"/>
        </w:rPr>
        <w:t>Thinking Skills and Creativity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36</w:t>
      </w:r>
      <w:r w:rsidRPr="0002425C">
        <w:rPr>
          <w:rFonts w:ascii="Cambria" w:eastAsia="MS Mincho" w:hAnsi="Cambria" w:cs="Times New Roman"/>
          <w:noProof/>
          <w:sz w:val="20"/>
          <w:szCs w:val="24"/>
          <w:lang w:val="en-AU" w:eastAsia="en-ID"/>
        </w:rPr>
        <w:t xml:space="preserve">(April), 100663. </w:t>
      </w:r>
      <w:hyperlink r:id="rId135" w:history="1">
        <w:r w:rsidRPr="0002425C">
          <w:rPr>
            <w:rFonts w:ascii="Cambria" w:eastAsia="MS Mincho" w:hAnsi="Cambria" w:cs="Times New Roman"/>
            <w:noProof/>
            <w:color w:val="0000FF"/>
            <w:sz w:val="20"/>
            <w:szCs w:val="24"/>
            <w:u w:val="single"/>
            <w:lang w:val="en-AU" w:eastAsia="en-ID"/>
          </w:rPr>
          <w:t>https://doi.org/10.1016/j.tsc.2020.100663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Serrano-Mendizábal, M., Villalón, R., Melero, Á., &amp; Izquierdo-Magaldi, B. (2023). Effects of two computer-based interventions on reading comprehension: Does strategy instruction matter? </w:t>
      </w:r>
      <w:r w:rsidRPr="0002425C">
        <w:rPr>
          <w:rFonts w:ascii="Cambria" w:eastAsia="MS Mincho" w:hAnsi="Cambria" w:cs="Times New Roman"/>
          <w:i/>
          <w:iCs/>
          <w:noProof/>
          <w:sz w:val="20"/>
          <w:szCs w:val="24"/>
          <w:lang w:val="en-AU" w:eastAsia="en-ID"/>
        </w:rPr>
        <w:t>Computers &amp;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196</w:t>
      </w:r>
      <w:r w:rsidRPr="0002425C">
        <w:rPr>
          <w:rFonts w:ascii="Cambria" w:eastAsia="MS Mincho" w:hAnsi="Cambria" w:cs="Times New Roman"/>
          <w:noProof/>
          <w:sz w:val="20"/>
          <w:szCs w:val="24"/>
          <w:lang w:val="en-AU" w:eastAsia="en-ID"/>
        </w:rPr>
        <w:t xml:space="preserve">, 104727. </w:t>
      </w:r>
      <w:hyperlink r:id="rId136" w:history="1">
        <w:r w:rsidRPr="0002425C">
          <w:rPr>
            <w:rFonts w:ascii="Cambria" w:eastAsia="MS Mincho" w:hAnsi="Cambria" w:cs="Times New Roman"/>
            <w:noProof/>
            <w:color w:val="0000FF"/>
            <w:sz w:val="20"/>
            <w:szCs w:val="24"/>
            <w:u w:val="single"/>
            <w:lang w:val="en-AU" w:eastAsia="en-ID"/>
          </w:rPr>
          <w:t>https://doi.org/10.1016/j.compedu.2023.104727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Shayan, A., Elahi, S., Ghazinoory, S., &amp; Hoseini, S. H. K. (2018). Designing a model for learning self-organized innovation network: Using embedded case studies. </w:t>
      </w:r>
      <w:r w:rsidRPr="0002425C">
        <w:rPr>
          <w:rFonts w:ascii="Cambria" w:eastAsia="MS Mincho" w:hAnsi="Cambria" w:cs="Times New Roman"/>
          <w:i/>
          <w:iCs/>
          <w:noProof/>
          <w:sz w:val="20"/>
          <w:szCs w:val="24"/>
          <w:lang w:val="en-AU" w:eastAsia="en-ID"/>
        </w:rPr>
        <w:t>Computers &amp; Industrial Engineering</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123</w:t>
      </w:r>
      <w:r w:rsidRPr="0002425C">
        <w:rPr>
          <w:rFonts w:ascii="Cambria" w:eastAsia="MS Mincho" w:hAnsi="Cambria" w:cs="Times New Roman"/>
          <w:noProof/>
          <w:sz w:val="20"/>
          <w:szCs w:val="24"/>
          <w:lang w:val="en-AU" w:eastAsia="en-ID"/>
        </w:rPr>
        <w:t xml:space="preserve">, 314–324. </w:t>
      </w:r>
      <w:hyperlink r:id="rId137" w:history="1">
        <w:r w:rsidRPr="0002425C">
          <w:rPr>
            <w:rFonts w:ascii="Cambria" w:eastAsia="MS Mincho" w:hAnsi="Cambria" w:cs="Times New Roman"/>
            <w:noProof/>
            <w:color w:val="0000FF"/>
            <w:sz w:val="20"/>
            <w:szCs w:val="24"/>
            <w:u w:val="single"/>
            <w:lang w:val="en-AU" w:eastAsia="en-ID"/>
          </w:rPr>
          <w:t>https://doi.org/10.1016/j.cie.2018.04.027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Singh, D., Mishra, A., &amp; Aggarwal, A. (2024). An empirical approach to understand the role of emotions in code comprehension. </w:t>
      </w:r>
      <w:r w:rsidRPr="0002425C">
        <w:rPr>
          <w:rFonts w:ascii="Cambria" w:eastAsia="MS Mincho" w:hAnsi="Cambria" w:cs="Times New Roman"/>
          <w:i/>
          <w:iCs/>
          <w:noProof/>
          <w:sz w:val="20"/>
          <w:szCs w:val="24"/>
          <w:lang w:val="en-AU" w:eastAsia="en-ID"/>
        </w:rPr>
        <w:t>Journal of Computer Languages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79</w:t>
      </w:r>
      <w:r w:rsidRPr="0002425C">
        <w:rPr>
          <w:rFonts w:ascii="Cambria" w:eastAsia="MS Mincho" w:hAnsi="Cambria" w:cs="Times New Roman"/>
          <w:noProof/>
          <w:sz w:val="20"/>
          <w:szCs w:val="24"/>
          <w:lang w:val="en-AU" w:eastAsia="en-ID"/>
        </w:rPr>
        <w:t xml:space="preserve">, 101269. </w:t>
      </w:r>
      <w:hyperlink r:id="rId138" w:history="1">
        <w:r w:rsidRPr="0002425C">
          <w:rPr>
            <w:rFonts w:ascii="Cambria" w:eastAsia="MS Mincho" w:hAnsi="Cambria" w:cs="Times New Roman"/>
            <w:noProof/>
            <w:color w:val="0000FF"/>
            <w:sz w:val="20"/>
            <w:szCs w:val="24"/>
            <w:u w:val="single"/>
            <w:lang w:val="en-AU" w:eastAsia="en-ID"/>
          </w:rPr>
          <w:t>https://doi.org/10.1016/j.cola.2024.101269</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Sinha, K. K. (2022). Role of Modern Technology in Teaching and Learning the English Language in Indian Educational Institutions. </w:t>
      </w:r>
      <w:r w:rsidRPr="0002425C">
        <w:rPr>
          <w:rFonts w:ascii="Cambria" w:eastAsia="MS Mincho" w:hAnsi="Cambria" w:cs="Times New Roman"/>
          <w:i/>
          <w:iCs/>
          <w:noProof/>
          <w:sz w:val="20"/>
          <w:szCs w:val="24"/>
          <w:lang w:val="en-AU" w:eastAsia="en-ID"/>
        </w:rPr>
        <w:t>Indonesian Journal of English Language Studies (IJELS)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8</w:t>
      </w:r>
      <w:r w:rsidRPr="0002425C">
        <w:rPr>
          <w:rFonts w:ascii="Cambria" w:eastAsia="MS Mincho" w:hAnsi="Cambria" w:cs="Times New Roman"/>
          <w:noProof/>
          <w:sz w:val="20"/>
          <w:szCs w:val="24"/>
          <w:lang w:val="en-AU" w:eastAsia="en-ID"/>
        </w:rPr>
        <w:t xml:space="preserve">(2), 19–30. </w:t>
      </w:r>
      <w:hyperlink r:id="rId139" w:history="1">
        <w:r w:rsidRPr="0002425C">
          <w:rPr>
            <w:rFonts w:ascii="Cambria" w:eastAsia="MS Mincho" w:hAnsi="Cambria" w:cs="Times New Roman"/>
            <w:noProof/>
            <w:color w:val="0000FF"/>
            <w:sz w:val="20"/>
            <w:szCs w:val="24"/>
            <w:u w:val="single"/>
            <w:lang w:val="en-AU" w:eastAsia="en-ID"/>
          </w:rPr>
          <w:t>https://doi.org/10.24071/ijels.v8i2.4713</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Stoller, F. L., &amp; Nguyen, L. T. H. (2020). Reading habits of Vietnamese University English majors. </w:t>
      </w:r>
      <w:r w:rsidRPr="0002425C">
        <w:rPr>
          <w:rFonts w:ascii="Cambria" w:eastAsia="MS Mincho" w:hAnsi="Cambria" w:cs="Times New Roman"/>
          <w:i/>
          <w:iCs/>
          <w:noProof/>
          <w:sz w:val="20"/>
          <w:szCs w:val="24"/>
          <w:lang w:val="en-AU" w:eastAsia="en-ID"/>
        </w:rPr>
        <w:t>Journal of English for Academic Purposes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48</w:t>
      </w:r>
      <w:r w:rsidRPr="0002425C">
        <w:rPr>
          <w:rFonts w:ascii="Cambria" w:eastAsia="MS Mincho" w:hAnsi="Cambria" w:cs="Times New Roman"/>
          <w:noProof/>
          <w:sz w:val="20"/>
          <w:szCs w:val="24"/>
          <w:lang w:val="en-AU" w:eastAsia="en-ID"/>
        </w:rPr>
        <w:t xml:space="preserve">, 100906. </w:t>
      </w:r>
      <w:hyperlink r:id="rId140" w:history="1">
        <w:r w:rsidRPr="0002425C">
          <w:rPr>
            <w:rFonts w:ascii="Cambria" w:eastAsia="MS Mincho" w:hAnsi="Cambria" w:cs="Times New Roman"/>
            <w:noProof/>
            <w:color w:val="0000FF"/>
            <w:sz w:val="20"/>
            <w:szCs w:val="24"/>
            <w:u w:val="single"/>
            <w:lang w:val="en-AU" w:eastAsia="en-ID"/>
          </w:rPr>
          <w:t>https://doi.org/10.1016/j.jeap.2020.100906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Sturm, D. J., Bachner, J., Renninger, D., Haug, S., &amp; Demetriou, Y. (2021). A cluster randomized trial to evaluate need-supportive teaching in physical education on physical activity of sixth-grade girls: A mixed method study. </w:t>
      </w:r>
      <w:r w:rsidRPr="0002425C">
        <w:rPr>
          <w:rFonts w:ascii="Cambria" w:eastAsia="MS Mincho" w:hAnsi="Cambria" w:cs="Times New Roman"/>
          <w:i/>
          <w:iCs/>
          <w:noProof/>
          <w:sz w:val="20"/>
          <w:szCs w:val="24"/>
          <w:lang w:val="en-AU" w:eastAsia="en-ID"/>
        </w:rPr>
        <w:t>Psychology of Sport and Exercise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54</w:t>
      </w:r>
      <w:r w:rsidRPr="0002425C">
        <w:rPr>
          <w:rFonts w:ascii="Cambria" w:eastAsia="MS Mincho" w:hAnsi="Cambria" w:cs="Times New Roman"/>
          <w:noProof/>
          <w:sz w:val="20"/>
          <w:szCs w:val="24"/>
          <w:lang w:val="en-AU" w:eastAsia="en-ID"/>
        </w:rPr>
        <w:t xml:space="preserve">, 101902. </w:t>
      </w:r>
      <w:hyperlink r:id="rId141" w:history="1">
        <w:r w:rsidRPr="0002425C">
          <w:rPr>
            <w:rFonts w:ascii="Cambria" w:eastAsia="MS Mincho" w:hAnsi="Cambria" w:cs="Times New Roman"/>
            <w:noProof/>
            <w:color w:val="0000FF"/>
            <w:sz w:val="20"/>
            <w:szCs w:val="24"/>
            <w:u w:val="single"/>
            <w:lang w:val="en-AU" w:eastAsia="en-ID"/>
          </w:rPr>
          <w:t>https://doi.org/10.1016/j.psychsport.2021.101902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Tanimura, C., Okuda, R., Tokushima, Y., Matsumoto, Y., Katou, S., Miyoshi, M., Oshima, A., Yoshimura, J., Fukada, M., Sasaki, K., Matsuura, H., &amp; Ueki, M. (2023). Examining the reliability and validity of a self-regulated learning strategy scale for undergraduate nursing students and effective factors of self-regulated learning strategies. </w:t>
      </w:r>
      <w:r w:rsidRPr="0002425C">
        <w:rPr>
          <w:rFonts w:ascii="Cambria" w:eastAsia="MS Mincho" w:hAnsi="Cambria" w:cs="Times New Roman"/>
          <w:i/>
          <w:iCs/>
          <w:noProof/>
          <w:sz w:val="20"/>
          <w:szCs w:val="24"/>
          <w:lang w:val="en-AU" w:eastAsia="en-ID"/>
        </w:rPr>
        <w:t>Nurse Education Today</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128</w:t>
      </w:r>
      <w:r w:rsidRPr="0002425C">
        <w:rPr>
          <w:rFonts w:ascii="Cambria" w:eastAsia="MS Mincho" w:hAnsi="Cambria" w:cs="Times New Roman"/>
          <w:noProof/>
          <w:sz w:val="20"/>
          <w:szCs w:val="24"/>
          <w:lang w:val="en-AU" w:eastAsia="en-ID"/>
        </w:rPr>
        <w:t xml:space="preserve">, 105872. </w:t>
      </w:r>
      <w:hyperlink r:id="rId142" w:history="1">
        <w:r w:rsidRPr="0002425C">
          <w:rPr>
            <w:rFonts w:ascii="Cambria" w:eastAsia="MS Mincho" w:hAnsi="Cambria" w:cs="Times New Roman"/>
            <w:noProof/>
            <w:color w:val="0000FF"/>
            <w:sz w:val="20"/>
            <w:szCs w:val="24"/>
            <w:u w:val="single"/>
            <w:lang w:val="en-AU" w:eastAsia="en-ID"/>
          </w:rPr>
          <w:t>https://doi.org/10.1016/j.nedt.2023.105872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Tegzes, J. H., King, S., Blue, A., &amp; Langlois, S. (2023). A Proposed Framework for Interprofessional Curriculum Integration. </w:t>
      </w:r>
      <w:r w:rsidRPr="0002425C">
        <w:rPr>
          <w:rFonts w:ascii="Cambria" w:eastAsia="MS Mincho" w:hAnsi="Cambria" w:cs="Times New Roman"/>
          <w:i/>
          <w:iCs/>
          <w:noProof/>
          <w:sz w:val="20"/>
          <w:szCs w:val="24"/>
          <w:lang w:val="en-AU" w:eastAsia="en-ID"/>
        </w:rPr>
        <w:t>Journal of Interprofessional Education &amp; Practice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31</w:t>
      </w:r>
      <w:r w:rsidRPr="0002425C">
        <w:rPr>
          <w:rFonts w:ascii="Cambria" w:eastAsia="MS Mincho" w:hAnsi="Cambria" w:cs="Times New Roman"/>
          <w:noProof/>
          <w:sz w:val="20"/>
          <w:szCs w:val="24"/>
          <w:lang w:val="en-AU" w:eastAsia="en-ID"/>
        </w:rPr>
        <w:t xml:space="preserve">, 100626. </w:t>
      </w:r>
      <w:hyperlink r:id="rId143" w:history="1">
        <w:r w:rsidRPr="0002425C">
          <w:rPr>
            <w:rFonts w:ascii="Cambria" w:eastAsia="MS Mincho" w:hAnsi="Cambria" w:cs="Times New Roman"/>
            <w:noProof/>
            <w:color w:val="0000FF"/>
            <w:sz w:val="20"/>
            <w:szCs w:val="24"/>
            <w:u w:val="single"/>
            <w:lang w:val="en-AU" w:eastAsia="en-ID"/>
          </w:rPr>
          <w:t>https://doi.org/10.1016/j.xjep.2023.100626</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Tong, D. H., Uyen, B. P., &amp; Van Anh Quoc, N. (2021). The improvement of 10th students’ mathematical communication skills through learning ellipse topics. </w:t>
      </w:r>
      <w:r w:rsidRPr="0002425C">
        <w:rPr>
          <w:rFonts w:ascii="Cambria" w:eastAsia="MS Mincho" w:hAnsi="Cambria" w:cs="Times New Roman"/>
          <w:i/>
          <w:iCs/>
          <w:noProof/>
          <w:sz w:val="20"/>
          <w:szCs w:val="24"/>
          <w:lang w:val="en-AU" w:eastAsia="en-ID"/>
        </w:rPr>
        <w:t>Heliyon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w:t>
      </w:r>
      <w:r w:rsidRPr="0002425C">
        <w:rPr>
          <w:rFonts w:ascii="Cambria" w:eastAsia="MS Mincho" w:hAnsi="Cambria" w:cs="Times New Roman"/>
          <w:noProof/>
          <w:sz w:val="20"/>
          <w:szCs w:val="24"/>
          <w:lang w:val="en-AU" w:eastAsia="en-ID"/>
        </w:rPr>
        <w:t xml:space="preserve">(11), e08282. </w:t>
      </w:r>
      <w:hyperlink r:id="rId144" w:history="1">
        <w:r w:rsidRPr="0002425C">
          <w:rPr>
            <w:rFonts w:ascii="Cambria" w:eastAsia="MS Mincho" w:hAnsi="Cambria" w:cs="Times New Roman"/>
            <w:noProof/>
            <w:color w:val="0000FF"/>
            <w:sz w:val="20"/>
            <w:szCs w:val="24"/>
            <w:u w:val="single"/>
            <w:lang w:val="en-AU" w:eastAsia="en-ID"/>
          </w:rPr>
          <w:t>https://doi.org/10.1016/j.heliyon.2021.e08282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Tüzün, H., Yılmaz-Soylu, M., Karakuş, T., İnal, Y., &amp; Kızılkaya, G. (2009). The effects of computer games on primary school students’ achievement and motivation in geography learning. </w:t>
      </w:r>
      <w:r w:rsidRPr="0002425C">
        <w:rPr>
          <w:rFonts w:ascii="Cambria" w:eastAsia="MS Mincho" w:hAnsi="Cambria" w:cs="Times New Roman"/>
          <w:i/>
          <w:iCs/>
          <w:noProof/>
          <w:sz w:val="20"/>
          <w:szCs w:val="24"/>
          <w:lang w:val="en-AU" w:eastAsia="en-ID"/>
        </w:rPr>
        <w:t>Computers &amp;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52</w:t>
      </w:r>
      <w:r w:rsidRPr="0002425C">
        <w:rPr>
          <w:rFonts w:ascii="Cambria" w:eastAsia="MS Mincho" w:hAnsi="Cambria" w:cs="Times New Roman"/>
          <w:noProof/>
          <w:sz w:val="20"/>
          <w:szCs w:val="24"/>
          <w:lang w:val="en-AU" w:eastAsia="en-ID"/>
        </w:rPr>
        <w:t xml:space="preserve">(1), 68–77. </w:t>
      </w:r>
      <w:hyperlink r:id="rId145" w:history="1">
        <w:r w:rsidRPr="0002425C">
          <w:rPr>
            <w:rFonts w:ascii="Cambria" w:eastAsia="MS Mincho" w:hAnsi="Cambria" w:cs="Times New Roman"/>
            <w:noProof/>
            <w:color w:val="0000FF"/>
            <w:sz w:val="20"/>
            <w:szCs w:val="24"/>
            <w:u w:val="single"/>
            <w:lang w:val="en-AU" w:eastAsia="en-ID"/>
          </w:rPr>
          <w:t>https://doi.org/10.1016/j.compedu.2008.06.008</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van Hek, M., &amp; Kraaykamp, G. (2023). Why Jane likes to read and John does not. How parents and schools stimulate girls’ and boys’ intrinsic reading motivation. </w:t>
      </w:r>
      <w:r w:rsidRPr="0002425C">
        <w:rPr>
          <w:rFonts w:ascii="Cambria" w:eastAsia="MS Mincho" w:hAnsi="Cambria" w:cs="Times New Roman"/>
          <w:i/>
          <w:iCs/>
          <w:noProof/>
          <w:sz w:val="20"/>
          <w:szCs w:val="24"/>
          <w:lang w:val="en-AU" w:eastAsia="en-ID"/>
        </w:rPr>
        <w:t>Poetics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101</w:t>
      </w:r>
      <w:r w:rsidRPr="0002425C">
        <w:rPr>
          <w:rFonts w:ascii="Cambria" w:eastAsia="MS Mincho" w:hAnsi="Cambria" w:cs="Times New Roman"/>
          <w:noProof/>
          <w:sz w:val="20"/>
          <w:szCs w:val="24"/>
          <w:lang w:val="en-AU" w:eastAsia="en-ID"/>
        </w:rPr>
        <w:t xml:space="preserve">, 101828. </w:t>
      </w:r>
      <w:hyperlink r:id="rId146" w:history="1">
        <w:r w:rsidRPr="0002425C">
          <w:rPr>
            <w:rFonts w:ascii="Cambria" w:eastAsia="MS Mincho" w:hAnsi="Cambria" w:cs="Times New Roman"/>
            <w:noProof/>
            <w:color w:val="0000FF"/>
            <w:sz w:val="20"/>
            <w:szCs w:val="24"/>
            <w:u w:val="single"/>
            <w:lang w:val="en-AU" w:eastAsia="en-ID"/>
          </w:rPr>
          <w:t>https://doi.org/10.1016/j.poetic.2023.101828</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Vistari, L. (2023). Technology-Based Education in the 21St Century. </w:t>
      </w:r>
      <w:r w:rsidRPr="0002425C">
        <w:rPr>
          <w:rFonts w:ascii="Cambria" w:eastAsia="MS Mincho" w:hAnsi="Cambria" w:cs="Times New Roman"/>
          <w:i/>
          <w:iCs/>
          <w:noProof/>
          <w:sz w:val="20"/>
          <w:szCs w:val="24"/>
          <w:lang w:val="en-AU" w:eastAsia="en-ID"/>
        </w:rPr>
        <w:t>UNNES-TEFLIN National Conference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w:t>
      </w:r>
      <w:r w:rsidRPr="0002425C">
        <w:rPr>
          <w:rFonts w:ascii="Cambria" w:eastAsia="MS Mincho" w:hAnsi="Cambria" w:cs="Times New Roman"/>
          <w:noProof/>
          <w:sz w:val="20"/>
          <w:szCs w:val="24"/>
          <w:lang w:val="en-AU" w:eastAsia="en-ID"/>
        </w:rPr>
        <w:t>, 434–442.</w:t>
      </w:r>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Vong, S. A., &amp; Kaewurai, W. (2017). Instructional model development to enhance critical thinking and critical thinking teaching ability of trainee students at regional teaching training center in Takeo province, Cambodia. </w:t>
      </w:r>
      <w:r w:rsidRPr="0002425C">
        <w:rPr>
          <w:rFonts w:ascii="Cambria" w:eastAsia="MS Mincho" w:hAnsi="Cambria" w:cs="Times New Roman"/>
          <w:i/>
          <w:iCs/>
          <w:noProof/>
          <w:sz w:val="20"/>
          <w:szCs w:val="24"/>
          <w:lang w:val="en-AU" w:eastAsia="en-ID"/>
        </w:rPr>
        <w:t>Kasetsart Journal of Social Sciences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38</w:t>
      </w:r>
      <w:r w:rsidRPr="0002425C">
        <w:rPr>
          <w:rFonts w:ascii="Cambria" w:eastAsia="MS Mincho" w:hAnsi="Cambria" w:cs="Times New Roman"/>
          <w:noProof/>
          <w:sz w:val="20"/>
          <w:szCs w:val="24"/>
          <w:lang w:val="en-AU" w:eastAsia="en-ID"/>
        </w:rPr>
        <w:t xml:space="preserve">(1), 88–95. </w:t>
      </w:r>
      <w:hyperlink r:id="rId147" w:history="1">
        <w:r w:rsidRPr="0002425C">
          <w:rPr>
            <w:rFonts w:ascii="Cambria" w:eastAsia="MS Mincho" w:hAnsi="Cambria" w:cs="Times New Roman"/>
            <w:noProof/>
            <w:color w:val="0000FF"/>
            <w:sz w:val="20"/>
            <w:szCs w:val="24"/>
            <w:u w:val="single"/>
            <w:lang w:val="en-AU" w:eastAsia="en-ID"/>
          </w:rPr>
          <w:t>https://doi.org/10.1016/j.kjss.2016.05.002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Wang, D., Donohue, R., Guo, F., Yang, M., &amp; Luu, T. (2024). A paradox theory lens for developing cross-cultural competence: Mindset, behavior, and work design. </w:t>
      </w:r>
      <w:r w:rsidRPr="0002425C">
        <w:rPr>
          <w:rFonts w:ascii="Cambria" w:eastAsia="MS Mincho" w:hAnsi="Cambria" w:cs="Times New Roman"/>
          <w:i/>
          <w:iCs/>
          <w:noProof/>
          <w:sz w:val="20"/>
          <w:szCs w:val="24"/>
          <w:lang w:val="en-AU" w:eastAsia="en-ID"/>
        </w:rPr>
        <w:t>Journal of Business Research</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177</w:t>
      </w:r>
      <w:r w:rsidRPr="0002425C">
        <w:rPr>
          <w:rFonts w:ascii="Cambria" w:eastAsia="MS Mincho" w:hAnsi="Cambria" w:cs="Times New Roman"/>
          <w:noProof/>
          <w:sz w:val="20"/>
          <w:szCs w:val="24"/>
          <w:lang w:val="en-AU" w:eastAsia="en-ID"/>
        </w:rPr>
        <w:t xml:space="preserve">, 114645. </w:t>
      </w:r>
      <w:hyperlink r:id="rId148" w:history="1">
        <w:r w:rsidRPr="0002425C">
          <w:rPr>
            <w:rFonts w:ascii="Cambria" w:eastAsia="MS Mincho" w:hAnsi="Cambria" w:cs="Times New Roman"/>
            <w:noProof/>
            <w:color w:val="0000FF"/>
            <w:sz w:val="20"/>
            <w:szCs w:val="24"/>
            <w:u w:val="single"/>
            <w:lang w:val="en-AU" w:eastAsia="en-ID"/>
          </w:rPr>
          <w:t>https://doi.org/10.1016/j.jbusres.2024.114645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Wang, Y., Arslan-Ari, I., &amp; Hao, L. (2022). “Strategies are more important than words:” A case study of adult English Learners’ disciplinary reading. </w:t>
      </w:r>
      <w:r w:rsidRPr="0002425C">
        <w:rPr>
          <w:rFonts w:ascii="Cambria" w:eastAsia="MS Mincho" w:hAnsi="Cambria" w:cs="Times New Roman"/>
          <w:i/>
          <w:iCs/>
          <w:noProof/>
          <w:sz w:val="20"/>
          <w:szCs w:val="24"/>
          <w:lang w:val="en-AU" w:eastAsia="en-ID"/>
        </w:rPr>
        <w:t>Journal of English for Academic Purposes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60</w:t>
      </w:r>
      <w:r w:rsidRPr="0002425C">
        <w:rPr>
          <w:rFonts w:ascii="Cambria" w:eastAsia="MS Mincho" w:hAnsi="Cambria" w:cs="Times New Roman"/>
          <w:noProof/>
          <w:sz w:val="20"/>
          <w:szCs w:val="24"/>
          <w:lang w:val="en-AU" w:eastAsia="en-ID"/>
        </w:rPr>
        <w:t xml:space="preserve">, 101182. </w:t>
      </w:r>
      <w:hyperlink r:id="rId149" w:history="1">
        <w:r w:rsidRPr="0002425C">
          <w:rPr>
            <w:rFonts w:ascii="Cambria" w:eastAsia="MS Mincho" w:hAnsi="Cambria" w:cs="Times New Roman"/>
            <w:noProof/>
            <w:color w:val="0000FF"/>
            <w:sz w:val="20"/>
            <w:szCs w:val="24"/>
            <w:u w:val="single"/>
            <w:lang w:val="en-AU" w:eastAsia="en-ID"/>
          </w:rPr>
          <w:t>https://doi.org/10.1016/j.jeap.2022.101182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Wati, M., &amp; Anggraini, W. (2019). Strategi Pembelajaran Kooperatif Tipe Jigsaw: Pengaruhnya Terhadap Kemampuan Berpikir Kritis Siswa. </w:t>
      </w:r>
      <w:r w:rsidRPr="0002425C">
        <w:rPr>
          <w:rFonts w:ascii="Cambria" w:eastAsia="MS Mincho" w:hAnsi="Cambria" w:cs="Times New Roman"/>
          <w:i/>
          <w:iCs/>
          <w:noProof/>
          <w:sz w:val="20"/>
          <w:szCs w:val="24"/>
          <w:lang w:val="en-AU" w:eastAsia="en-ID"/>
        </w:rPr>
        <w:t>Indonesian Journal of Science and Mathematics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w:t>
      </w:r>
      <w:r w:rsidRPr="0002425C">
        <w:rPr>
          <w:rFonts w:ascii="Cambria" w:eastAsia="MS Mincho" w:hAnsi="Cambria" w:cs="Times New Roman"/>
          <w:noProof/>
          <w:sz w:val="20"/>
          <w:szCs w:val="24"/>
          <w:lang w:val="en-AU" w:eastAsia="en-ID"/>
        </w:rPr>
        <w:t>(1), 98–106. https://doi.org/10.24042/ijsme.v2i1.3976</w:t>
      </w:r>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Wen, X., &amp; Walters, S. M. (2022). The Impact of Technology on Students’ Writing Performances in Elementary Classrooms: A Meta-Analysis. </w:t>
      </w:r>
      <w:r w:rsidRPr="0002425C">
        <w:rPr>
          <w:rFonts w:ascii="Cambria" w:eastAsia="MS Mincho" w:hAnsi="Cambria" w:cs="Times New Roman"/>
          <w:i/>
          <w:iCs/>
          <w:noProof/>
          <w:sz w:val="20"/>
          <w:szCs w:val="24"/>
          <w:lang w:val="en-AU" w:eastAsia="en-ID"/>
        </w:rPr>
        <w:t>Computers and Education Open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3</w:t>
      </w:r>
      <w:r w:rsidRPr="0002425C">
        <w:rPr>
          <w:rFonts w:ascii="Cambria" w:eastAsia="MS Mincho" w:hAnsi="Cambria" w:cs="Times New Roman"/>
          <w:noProof/>
          <w:sz w:val="20"/>
          <w:szCs w:val="24"/>
          <w:lang w:val="en-AU" w:eastAsia="en-ID"/>
        </w:rPr>
        <w:t xml:space="preserve">, 100082. </w:t>
      </w:r>
      <w:hyperlink r:id="rId150" w:history="1">
        <w:r w:rsidRPr="0002425C">
          <w:rPr>
            <w:rFonts w:ascii="Cambria" w:eastAsia="MS Mincho" w:hAnsi="Cambria" w:cs="Times New Roman"/>
            <w:noProof/>
            <w:color w:val="0000FF"/>
            <w:sz w:val="20"/>
            <w:szCs w:val="24"/>
            <w:u w:val="single"/>
            <w:lang w:val="en-AU" w:eastAsia="en-ID"/>
          </w:rPr>
          <w:t>https://doi.org/10.1016/j.caeo.2022.100082</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Wiziack, J. C., &amp; dos Santos, V. M. P. D. (2021). Evaluating an integrated cognitive competencies model to enhance teachers’ application of technology in large-scale educational contexts. </w:t>
      </w:r>
      <w:r w:rsidRPr="0002425C">
        <w:rPr>
          <w:rFonts w:ascii="Cambria" w:eastAsia="MS Mincho" w:hAnsi="Cambria" w:cs="Times New Roman"/>
          <w:i/>
          <w:iCs/>
          <w:noProof/>
          <w:sz w:val="20"/>
          <w:szCs w:val="24"/>
          <w:lang w:val="en-AU" w:eastAsia="en-ID"/>
        </w:rPr>
        <w:t>Heliyon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7</w:t>
      </w:r>
      <w:r w:rsidRPr="0002425C">
        <w:rPr>
          <w:rFonts w:ascii="Cambria" w:eastAsia="MS Mincho" w:hAnsi="Cambria" w:cs="Times New Roman"/>
          <w:noProof/>
          <w:sz w:val="20"/>
          <w:szCs w:val="24"/>
          <w:lang w:val="en-AU" w:eastAsia="en-ID"/>
        </w:rPr>
        <w:t xml:space="preserve">(1), e05928. </w:t>
      </w:r>
      <w:hyperlink r:id="rId151" w:history="1">
        <w:r w:rsidRPr="0002425C">
          <w:rPr>
            <w:rFonts w:ascii="Cambria" w:eastAsia="MS Mincho" w:hAnsi="Cambria" w:cs="Times New Roman"/>
            <w:noProof/>
            <w:color w:val="0000FF"/>
            <w:sz w:val="20"/>
            <w:szCs w:val="24"/>
            <w:u w:val="single"/>
            <w:lang w:val="en-AU" w:eastAsia="en-ID"/>
          </w:rPr>
          <w:t>https://doi.org/10.1016/j.heliyon.2021.e05928</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Woods, P. J., &amp; Copur-Gencturk, Y. (2024). Examining the role of student-centered versus teacher-centered pedagogical approaches to self-directed learning through teaching. </w:t>
      </w:r>
      <w:r w:rsidRPr="0002425C">
        <w:rPr>
          <w:rFonts w:ascii="Cambria" w:eastAsia="MS Mincho" w:hAnsi="Cambria" w:cs="Times New Roman"/>
          <w:i/>
          <w:iCs/>
          <w:noProof/>
          <w:sz w:val="20"/>
          <w:szCs w:val="24"/>
          <w:lang w:val="en-AU" w:eastAsia="en-ID"/>
        </w:rPr>
        <w:t>Teaching and Teacher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138</w:t>
      </w:r>
      <w:r w:rsidRPr="0002425C">
        <w:rPr>
          <w:rFonts w:ascii="Cambria" w:eastAsia="MS Mincho" w:hAnsi="Cambria" w:cs="Times New Roman"/>
          <w:noProof/>
          <w:sz w:val="20"/>
          <w:szCs w:val="24"/>
          <w:lang w:val="en-AU" w:eastAsia="en-ID"/>
        </w:rPr>
        <w:t xml:space="preserve">, 104415. </w:t>
      </w:r>
      <w:hyperlink r:id="rId152" w:history="1">
        <w:r w:rsidRPr="0002425C">
          <w:rPr>
            <w:rFonts w:ascii="Cambria" w:eastAsia="MS Mincho" w:hAnsi="Cambria" w:cs="Times New Roman"/>
            <w:noProof/>
            <w:color w:val="0000FF"/>
            <w:sz w:val="20"/>
            <w:szCs w:val="24"/>
            <w:u w:val="single"/>
            <w:lang w:val="en-AU" w:eastAsia="en-ID"/>
          </w:rPr>
          <w:t>https://doi.org/10.1016/j.tate.2023.104415</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Wu, L., Valcke, M., &amp; Van Keer, H. (2023). Differential effects of reading strategy intervention for three levels of comprehenders: Focus on text comprehension and autonomous reading motivation. </w:t>
      </w:r>
      <w:r w:rsidRPr="0002425C">
        <w:rPr>
          <w:rFonts w:ascii="Cambria" w:eastAsia="MS Mincho" w:hAnsi="Cambria" w:cs="Times New Roman"/>
          <w:i/>
          <w:iCs/>
          <w:noProof/>
          <w:sz w:val="20"/>
          <w:szCs w:val="24"/>
          <w:lang w:val="en-AU" w:eastAsia="en-ID"/>
        </w:rPr>
        <w:t>Learning and Individual Differences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104</w:t>
      </w:r>
      <w:r w:rsidRPr="0002425C">
        <w:rPr>
          <w:rFonts w:ascii="Cambria" w:eastAsia="MS Mincho" w:hAnsi="Cambria" w:cs="Times New Roman"/>
          <w:noProof/>
          <w:sz w:val="20"/>
          <w:szCs w:val="24"/>
          <w:lang w:val="en-AU" w:eastAsia="en-ID"/>
        </w:rPr>
        <w:t xml:space="preserve">, 102290. </w:t>
      </w:r>
      <w:hyperlink r:id="rId153" w:history="1">
        <w:r w:rsidRPr="0002425C">
          <w:rPr>
            <w:rFonts w:ascii="Cambria" w:eastAsia="MS Mincho" w:hAnsi="Cambria" w:cs="Times New Roman"/>
            <w:noProof/>
            <w:color w:val="0000FF"/>
            <w:sz w:val="20"/>
            <w:szCs w:val="24"/>
            <w:u w:val="single"/>
            <w:lang w:val="en-AU" w:eastAsia="en-ID"/>
          </w:rPr>
          <w:t>https://doi.org/10.1016/j.lindif.2023.102290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Wu, Y. J., &amp; Chen, J.-C. (2021). Stimulating innovation with an innovative curriculum: A curriculum design for a course on new product development. </w:t>
      </w:r>
      <w:r w:rsidRPr="0002425C">
        <w:rPr>
          <w:rFonts w:ascii="Cambria" w:eastAsia="MS Mincho" w:hAnsi="Cambria" w:cs="Times New Roman"/>
          <w:i/>
          <w:iCs/>
          <w:noProof/>
          <w:sz w:val="20"/>
          <w:szCs w:val="24"/>
          <w:lang w:val="en-AU" w:eastAsia="en-ID"/>
        </w:rPr>
        <w:t>The International Journal of Management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w:t>
      </w:r>
      <w:r w:rsidRPr="0002425C">
        <w:rPr>
          <w:rFonts w:ascii="Cambria" w:eastAsia="MS Mincho" w:hAnsi="Cambria" w:cs="Times New Roman"/>
          <w:noProof/>
          <w:sz w:val="20"/>
          <w:szCs w:val="24"/>
          <w:lang w:val="en-AU" w:eastAsia="en-ID"/>
        </w:rPr>
        <w:t xml:space="preserve">(3), 100561. </w:t>
      </w:r>
      <w:hyperlink r:id="rId154" w:history="1">
        <w:r w:rsidRPr="0002425C">
          <w:rPr>
            <w:rFonts w:ascii="Cambria" w:eastAsia="MS Mincho" w:hAnsi="Cambria" w:cs="Times New Roman"/>
            <w:noProof/>
            <w:color w:val="0000FF"/>
            <w:sz w:val="20"/>
            <w:szCs w:val="24"/>
            <w:u w:val="single"/>
            <w:lang w:val="en-AU" w:eastAsia="en-ID"/>
          </w:rPr>
          <w:t>https://doi.org/10.1016/j.ijme.2021.100561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Yu, S.-J., Hsueh, Y.-L., Sun, J. C.-Y., &amp; Liu, H.-Z. (2021). Developing an intelligent virtual reality interactive system based on the ADDIE model for learning pour-over coffee brewing. </w:t>
      </w:r>
      <w:r w:rsidRPr="0002425C">
        <w:rPr>
          <w:rFonts w:ascii="Cambria" w:eastAsia="MS Mincho" w:hAnsi="Cambria" w:cs="Times New Roman"/>
          <w:i/>
          <w:iCs/>
          <w:noProof/>
          <w:sz w:val="20"/>
          <w:szCs w:val="24"/>
          <w:lang w:val="en-AU" w:eastAsia="en-ID"/>
        </w:rPr>
        <w:t>Computers and Education: Artificial Intelligence</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w:t>
      </w:r>
      <w:r w:rsidRPr="0002425C">
        <w:rPr>
          <w:rFonts w:ascii="Cambria" w:eastAsia="MS Mincho" w:hAnsi="Cambria" w:cs="Times New Roman"/>
          <w:noProof/>
          <w:sz w:val="20"/>
          <w:szCs w:val="24"/>
          <w:lang w:val="en-AU" w:eastAsia="en-ID"/>
        </w:rPr>
        <w:t>, 100030.</w:t>
      </w:r>
      <w:hyperlink r:id="rId155" w:history="1">
        <w:r w:rsidRPr="0002425C">
          <w:rPr>
            <w:rFonts w:ascii="Cambria" w:eastAsia="MS Mincho" w:hAnsi="Cambria" w:cs="Times New Roman"/>
            <w:noProof/>
            <w:color w:val="0000FF"/>
            <w:sz w:val="20"/>
            <w:szCs w:val="24"/>
            <w:u w:val="single"/>
            <w:lang w:val="en-AU" w:eastAsia="en-ID"/>
          </w:rPr>
          <w:t xml:space="preserve"> https://doi.org/10.1016/j.caeai.2021.100030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Yulihendri, C., &amp; Evanita, S. (2023). Pengembangan Bahan Ajar Digital Pada Mata Pelajaran Projek Kreatif. </w:t>
      </w:r>
      <w:r w:rsidRPr="0002425C">
        <w:rPr>
          <w:rFonts w:ascii="Cambria" w:eastAsia="MS Mincho" w:hAnsi="Cambria" w:cs="Times New Roman"/>
          <w:i/>
          <w:iCs/>
          <w:noProof/>
          <w:sz w:val="20"/>
          <w:szCs w:val="24"/>
          <w:lang w:val="en-AU" w:eastAsia="en-ID"/>
        </w:rPr>
        <w:lastRenderedPageBreak/>
        <w:t>Jurnal Penelitian Pendidikan IPA</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9</w:t>
      </w:r>
      <w:r w:rsidRPr="0002425C">
        <w:rPr>
          <w:rFonts w:ascii="Cambria" w:eastAsia="MS Mincho" w:hAnsi="Cambria" w:cs="Times New Roman"/>
          <w:noProof/>
          <w:sz w:val="20"/>
          <w:szCs w:val="24"/>
          <w:lang w:val="en-AU" w:eastAsia="en-ID"/>
        </w:rPr>
        <w:t xml:space="preserve">(12), 12049–12055. </w:t>
      </w:r>
      <w:hyperlink r:id="rId156" w:history="1">
        <w:r w:rsidRPr="0002425C">
          <w:rPr>
            <w:rFonts w:ascii="Cambria" w:eastAsia="MS Mincho" w:hAnsi="Cambria" w:cs="Times New Roman"/>
            <w:noProof/>
            <w:color w:val="0000FF"/>
            <w:sz w:val="20"/>
            <w:szCs w:val="24"/>
            <w:u w:val="single"/>
            <w:lang w:val="en-AU" w:eastAsia="en-ID"/>
          </w:rPr>
          <w:t>https://doi.org/10.29303/jppipa.v9i12.5267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Zhang, D., &amp; Pérez-Paredes, P. (2024). Chinese EFL learners’ use of mobile dictionaries in reading comprehension tasks. </w:t>
      </w:r>
      <w:r w:rsidRPr="0002425C">
        <w:rPr>
          <w:rFonts w:ascii="Cambria" w:eastAsia="MS Mincho" w:hAnsi="Cambria" w:cs="Times New Roman"/>
          <w:i/>
          <w:iCs/>
          <w:noProof/>
          <w:sz w:val="20"/>
          <w:szCs w:val="24"/>
          <w:lang w:val="en-AU" w:eastAsia="en-ID"/>
        </w:rPr>
        <w:t>System</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121</w:t>
      </w:r>
      <w:r w:rsidRPr="0002425C">
        <w:rPr>
          <w:rFonts w:ascii="Cambria" w:eastAsia="MS Mincho" w:hAnsi="Cambria" w:cs="Times New Roman"/>
          <w:noProof/>
          <w:sz w:val="20"/>
          <w:szCs w:val="24"/>
          <w:lang w:val="en-AU" w:eastAsia="en-ID"/>
        </w:rPr>
        <w:t xml:space="preserve">, 103221. </w:t>
      </w:r>
      <w:hyperlink r:id="rId157" w:history="1">
        <w:r w:rsidRPr="0002425C">
          <w:rPr>
            <w:rFonts w:ascii="Cambria" w:eastAsia="MS Mincho" w:hAnsi="Cambria" w:cs="Times New Roman"/>
            <w:noProof/>
            <w:color w:val="0000FF"/>
            <w:sz w:val="20"/>
            <w:szCs w:val="24"/>
            <w:u w:val="single"/>
            <w:lang w:val="en-AU" w:eastAsia="en-ID"/>
          </w:rPr>
          <w:t>https://doi.org/10.1016/j.system.2024.103221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Zhang, Z.-J., Yang, J.-B., &amp; Xu, D.-L. (1989). A Hierarchical Analysis Model for Multiobjective Decisionmaking. </w:t>
      </w:r>
      <w:r w:rsidRPr="0002425C">
        <w:rPr>
          <w:rFonts w:ascii="Cambria" w:eastAsia="MS Mincho" w:hAnsi="Cambria" w:cs="Times New Roman"/>
          <w:i/>
          <w:iCs/>
          <w:noProof/>
          <w:sz w:val="20"/>
          <w:szCs w:val="24"/>
          <w:lang w:val="en-AU" w:eastAsia="en-ID"/>
        </w:rPr>
        <w:t>IFAC Proceedings Volumes</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22</w:t>
      </w:r>
      <w:r w:rsidRPr="0002425C">
        <w:rPr>
          <w:rFonts w:ascii="Cambria" w:eastAsia="MS Mincho" w:hAnsi="Cambria" w:cs="Times New Roman"/>
          <w:noProof/>
          <w:sz w:val="20"/>
          <w:szCs w:val="24"/>
          <w:lang w:val="en-AU" w:eastAsia="en-ID"/>
        </w:rPr>
        <w:t>(12), 13–18.</w:t>
      </w:r>
      <w:hyperlink r:id="rId158" w:history="1">
        <w:r w:rsidRPr="0002425C">
          <w:rPr>
            <w:rFonts w:ascii="Cambria" w:eastAsia="MS Mincho" w:hAnsi="Cambria" w:cs="Times New Roman"/>
            <w:noProof/>
            <w:color w:val="0000FF"/>
            <w:sz w:val="20"/>
            <w:szCs w:val="24"/>
            <w:u w:val="single"/>
            <w:lang w:val="en-AU" w:eastAsia="en-ID"/>
          </w:rPr>
          <w:t xml:space="preserve"> https://doi.org/10.1016/S1474-6670(17)53048-7</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Zhong, Y., Guo, K., Su, J., &amp; Chu, S. K. W. (2022). The impact of esports participation on the development of 21st century skills in youth: A systematic review. </w:t>
      </w:r>
      <w:r w:rsidRPr="0002425C">
        <w:rPr>
          <w:rFonts w:ascii="Cambria" w:eastAsia="MS Mincho" w:hAnsi="Cambria" w:cs="Times New Roman"/>
          <w:i/>
          <w:iCs/>
          <w:noProof/>
          <w:sz w:val="20"/>
          <w:szCs w:val="24"/>
          <w:lang w:val="en-AU" w:eastAsia="en-ID"/>
        </w:rPr>
        <w:t>Computers &amp;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191</w:t>
      </w:r>
      <w:r w:rsidRPr="0002425C">
        <w:rPr>
          <w:rFonts w:ascii="Cambria" w:eastAsia="MS Mincho" w:hAnsi="Cambria" w:cs="Times New Roman"/>
          <w:noProof/>
          <w:sz w:val="20"/>
          <w:szCs w:val="24"/>
          <w:lang w:val="en-AU" w:eastAsia="en-ID"/>
        </w:rPr>
        <w:t xml:space="preserve">, 104640. </w:t>
      </w:r>
      <w:hyperlink r:id="rId159" w:history="1">
        <w:r w:rsidRPr="0002425C">
          <w:rPr>
            <w:rFonts w:ascii="Cambria" w:eastAsia="MS Mincho" w:hAnsi="Cambria" w:cs="Times New Roman"/>
            <w:noProof/>
            <w:color w:val="0000FF"/>
            <w:sz w:val="20"/>
            <w:szCs w:val="24"/>
            <w:u w:val="single"/>
            <w:lang w:val="en-AU" w:eastAsia="en-ID"/>
          </w:rPr>
          <w:t>https://doi.org/10.1016/j.compedu.2022.104640</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Zhou, Y., Feinman, R., &amp; Lake, B. M. (2024). Compositional diversity in visual concept learning. </w:t>
      </w:r>
      <w:r w:rsidRPr="0002425C">
        <w:rPr>
          <w:rFonts w:ascii="Cambria" w:eastAsia="MS Mincho" w:hAnsi="Cambria" w:cs="Times New Roman"/>
          <w:i/>
          <w:iCs/>
          <w:noProof/>
          <w:sz w:val="20"/>
          <w:szCs w:val="24"/>
          <w:lang w:val="en-AU" w:eastAsia="en-ID"/>
        </w:rPr>
        <w:t>Cognition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244</w:t>
      </w:r>
      <w:r w:rsidRPr="0002425C">
        <w:rPr>
          <w:rFonts w:ascii="Cambria" w:eastAsia="MS Mincho" w:hAnsi="Cambria" w:cs="Times New Roman"/>
          <w:noProof/>
          <w:sz w:val="20"/>
          <w:szCs w:val="24"/>
          <w:lang w:val="en-AU" w:eastAsia="en-ID"/>
        </w:rPr>
        <w:t xml:space="preserve">, 105711. </w:t>
      </w:r>
      <w:hyperlink r:id="rId160" w:history="1">
        <w:r w:rsidRPr="0002425C">
          <w:rPr>
            <w:rFonts w:ascii="Cambria" w:eastAsia="MS Mincho" w:hAnsi="Cambria" w:cs="Times New Roman"/>
            <w:noProof/>
            <w:color w:val="0000FF"/>
            <w:sz w:val="20"/>
            <w:szCs w:val="24"/>
            <w:u w:val="single"/>
            <w:lang w:val="en-AU" w:eastAsia="en-ID"/>
          </w:rPr>
          <w:t>https://doi.org/10.1016/j.cognition.2023.105711</w:t>
        </w:r>
      </w:hyperlink>
    </w:p>
    <w:p w:rsidR="0002425C" w:rsidRPr="0002425C" w:rsidRDefault="0002425C" w:rsidP="0002425C">
      <w:pPr>
        <w:widowControl w:val="0"/>
        <w:autoSpaceDE w:val="0"/>
        <w:autoSpaceDN w:val="0"/>
        <w:adjustRightInd w:val="0"/>
        <w:spacing w:after="0" w:line="240" w:lineRule="auto"/>
        <w:ind w:left="480" w:hanging="480"/>
        <w:jc w:val="both"/>
        <w:rPr>
          <w:rFonts w:ascii="Cambria" w:eastAsia="MS Mincho" w:hAnsi="Cambria" w:cs="Times New Roman"/>
          <w:noProof/>
          <w:sz w:val="20"/>
          <w:szCs w:val="24"/>
          <w:lang w:val="en-AU" w:eastAsia="en-ID"/>
        </w:rPr>
      </w:pPr>
      <w:r w:rsidRPr="0002425C">
        <w:rPr>
          <w:rFonts w:ascii="Cambria" w:eastAsia="MS Mincho" w:hAnsi="Cambria" w:cs="Times New Roman"/>
          <w:noProof/>
          <w:sz w:val="20"/>
          <w:szCs w:val="24"/>
          <w:lang w:val="en-AU" w:eastAsia="en-ID"/>
        </w:rPr>
        <w:t xml:space="preserve">Zhu, X., Shui, H., &amp; Chen, B. (2023). Beyond reading together: Facilitating knowledge construction through participation roles and social annotation in college classrooms. </w:t>
      </w:r>
      <w:r w:rsidRPr="0002425C">
        <w:rPr>
          <w:rFonts w:ascii="Cambria" w:eastAsia="MS Mincho" w:hAnsi="Cambria" w:cs="Times New Roman"/>
          <w:i/>
          <w:iCs/>
          <w:noProof/>
          <w:sz w:val="20"/>
          <w:szCs w:val="24"/>
          <w:lang w:val="en-AU" w:eastAsia="en-ID"/>
        </w:rPr>
        <w:t>The Internet and Higher Education</w:t>
      </w:r>
      <w:r w:rsidRPr="0002425C">
        <w:rPr>
          <w:rFonts w:ascii="Cambria" w:eastAsia="MS Mincho" w:hAnsi="Cambria" w:cs="Times New Roman"/>
          <w:noProof/>
          <w:sz w:val="20"/>
          <w:szCs w:val="24"/>
          <w:lang w:val="en-AU" w:eastAsia="en-ID"/>
        </w:rPr>
        <w:t xml:space="preserve">, </w:t>
      </w:r>
      <w:r w:rsidRPr="0002425C">
        <w:rPr>
          <w:rFonts w:ascii="Cambria" w:eastAsia="MS Mincho" w:hAnsi="Cambria" w:cs="Times New Roman"/>
          <w:i/>
          <w:iCs/>
          <w:noProof/>
          <w:sz w:val="20"/>
          <w:szCs w:val="24"/>
          <w:lang w:val="en-AU" w:eastAsia="en-ID"/>
        </w:rPr>
        <w:t>59</w:t>
      </w:r>
      <w:r w:rsidRPr="0002425C">
        <w:rPr>
          <w:rFonts w:ascii="Cambria" w:eastAsia="MS Mincho" w:hAnsi="Cambria" w:cs="Times New Roman"/>
          <w:noProof/>
          <w:sz w:val="20"/>
          <w:szCs w:val="24"/>
          <w:lang w:val="en-AU" w:eastAsia="en-ID"/>
        </w:rPr>
        <w:t xml:space="preserve">, 100919. </w:t>
      </w:r>
      <w:hyperlink r:id="rId161" w:history="1">
        <w:r w:rsidRPr="0002425C">
          <w:rPr>
            <w:rFonts w:ascii="Cambria" w:eastAsia="MS Mincho" w:hAnsi="Cambria" w:cs="Times New Roman"/>
            <w:noProof/>
            <w:color w:val="0000FF"/>
            <w:sz w:val="20"/>
            <w:szCs w:val="24"/>
            <w:u w:val="single"/>
            <w:lang w:val="en-AU" w:eastAsia="en-ID"/>
          </w:rPr>
          <w:t>https://doi.org/10.1016/j.iheduc.2023.100919</w:t>
        </w:r>
      </w:hyperlink>
    </w:p>
    <w:p w:rsidR="00143989" w:rsidRPr="00723B12" w:rsidRDefault="002B31FD" w:rsidP="0002425C">
      <w:pPr>
        <w:pStyle w:val="Alishlah71References"/>
      </w:pPr>
      <w:r>
        <w:fldChar w:fldCharType="end"/>
      </w:r>
    </w:p>
    <w:sectPr w:rsidR="00143989" w:rsidRPr="00723B12" w:rsidSect="001914CF">
      <w:headerReference w:type="default" r:id="rId162"/>
      <w:footerReference w:type="default" r:id="rId163"/>
      <w:headerReference w:type="first" r:id="rId164"/>
      <w:footerReference w:type="first" r:id="rId16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51E" w:rsidRDefault="0081651E" w:rsidP="008E64A2">
      <w:pPr>
        <w:spacing w:after="0" w:line="240" w:lineRule="auto"/>
      </w:pPr>
      <w:r>
        <w:separator/>
      </w:r>
    </w:p>
    <w:p w:rsidR="0081651E" w:rsidRDefault="0081651E"/>
  </w:endnote>
  <w:endnote w:type="continuationSeparator" w:id="0">
    <w:p w:rsidR="0081651E" w:rsidRDefault="0081651E" w:rsidP="008E64A2">
      <w:pPr>
        <w:spacing w:after="0" w:line="240" w:lineRule="auto"/>
      </w:pPr>
      <w:r>
        <w:continuationSeparator/>
      </w:r>
    </w:p>
    <w:p w:rsidR="0081651E" w:rsidRDefault="00816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E2E" w:rsidRPr="00727D5A" w:rsidRDefault="00294E2E"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E2E" w:rsidRPr="00EE35A7" w:rsidRDefault="00294E2E"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51E" w:rsidRDefault="0081651E" w:rsidP="008E64A2">
      <w:pPr>
        <w:spacing w:after="0" w:line="240" w:lineRule="auto"/>
      </w:pPr>
      <w:r>
        <w:separator/>
      </w:r>
    </w:p>
    <w:p w:rsidR="0081651E" w:rsidRDefault="0081651E"/>
  </w:footnote>
  <w:footnote w:type="continuationSeparator" w:id="0">
    <w:p w:rsidR="0081651E" w:rsidRDefault="0081651E" w:rsidP="008E64A2">
      <w:pPr>
        <w:spacing w:after="0" w:line="240" w:lineRule="auto"/>
      </w:pPr>
      <w:r>
        <w:continuationSeparator/>
      </w:r>
    </w:p>
    <w:p w:rsidR="0081651E" w:rsidRDefault="00816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E2E" w:rsidRPr="00EE35A7" w:rsidRDefault="00294E2E"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16357"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70</w:t>
    </w:r>
  </w:p>
  <w:p w:rsidR="00294E2E" w:rsidRDefault="00294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E2E" w:rsidRPr="0048254D" w:rsidRDefault="00294E2E" w:rsidP="0048254D">
    <w:pPr>
      <w:pStyle w:val="Header"/>
      <w:ind w:right="45"/>
      <w:rPr>
        <w:rFonts w:ascii="Palatino Linotype" w:hAnsi="Palatino Linotype"/>
        <w:b/>
        <w:sz w:val="20"/>
      </w:rPr>
    </w:pPr>
    <w:bookmarkStart w:id="7"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rsidR="00294E2E" w:rsidRPr="0048254D" w:rsidRDefault="00294E2E"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rsidR="00294E2E" w:rsidRPr="0048254D" w:rsidRDefault="00294E2E"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7"/>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74BF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A191393"/>
    <w:multiLevelType w:val="hybridMultilevel"/>
    <w:tmpl w:val="4F5AB6B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FB56E1"/>
    <w:multiLevelType w:val="multilevel"/>
    <w:tmpl w:val="562074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735665A"/>
    <w:multiLevelType w:val="multilevel"/>
    <w:tmpl w:val="EF88ED92"/>
    <w:lvl w:ilvl="0">
      <w:start w:val="1"/>
      <w:numFmt w:val="decimal"/>
      <w:lvlText w:val="%1."/>
      <w:lvlJc w:val="left"/>
      <w:pPr>
        <w:ind w:left="1636"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0B14D3"/>
    <w:multiLevelType w:val="multilevel"/>
    <w:tmpl w:val="414A1FC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595348"/>
    <w:multiLevelType w:val="hybridMultilevel"/>
    <w:tmpl w:val="40D00118"/>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1C6001"/>
    <w:multiLevelType w:val="hybridMultilevel"/>
    <w:tmpl w:val="A86814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15:restartNumberingAfterBreak="0">
    <w:nsid w:val="691055A3"/>
    <w:multiLevelType w:val="hybridMultilevel"/>
    <w:tmpl w:val="B3D44706"/>
    <w:lvl w:ilvl="0" w:tplc="0AEAEEEE">
      <w:start w:val="1"/>
      <w:numFmt w:val="upperLetter"/>
      <w:lvlText w:val="%1."/>
      <w:lvlJc w:val="left"/>
      <w:pPr>
        <w:ind w:left="408" w:hanging="360"/>
      </w:pPr>
      <w:rPr>
        <w:rFonts w:hint="default"/>
      </w:rPr>
    </w:lvl>
    <w:lvl w:ilvl="1" w:tplc="38090019" w:tentative="1">
      <w:start w:val="1"/>
      <w:numFmt w:val="lowerLetter"/>
      <w:lvlText w:val="%2."/>
      <w:lvlJc w:val="left"/>
      <w:pPr>
        <w:ind w:left="1128" w:hanging="360"/>
      </w:pPr>
    </w:lvl>
    <w:lvl w:ilvl="2" w:tplc="3809001B" w:tentative="1">
      <w:start w:val="1"/>
      <w:numFmt w:val="lowerRoman"/>
      <w:lvlText w:val="%3."/>
      <w:lvlJc w:val="right"/>
      <w:pPr>
        <w:ind w:left="1848" w:hanging="180"/>
      </w:pPr>
    </w:lvl>
    <w:lvl w:ilvl="3" w:tplc="3809000F" w:tentative="1">
      <w:start w:val="1"/>
      <w:numFmt w:val="decimal"/>
      <w:lvlText w:val="%4."/>
      <w:lvlJc w:val="left"/>
      <w:pPr>
        <w:ind w:left="2568" w:hanging="360"/>
      </w:pPr>
    </w:lvl>
    <w:lvl w:ilvl="4" w:tplc="38090019" w:tentative="1">
      <w:start w:val="1"/>
      <w:numFmt w:val="lowerLetter"/>
      <w:lvlText w:val="%5."/>
      <w:lvlJc w:val="left"/>
      <w:pPr>
        <w:ind w:left="3288" w:hanging="360"/>
      </w:pPr>
    </w:lvl>
    <w:lvl w:ilvl="5" w:tplc="3809001B" w:tentative="1">
      <w:start w:val="1"/>
      <w:numFmt w:val="lowerRoman"/>
      <w:lvlText w:val="%6."/>
      <w:lvlJc w:val="right"/>
      <w:pPr>
        <w:ind w:left="4008" w:hanging="180"/>
      </w:pPr>
    </w:lvl>
    <w:lvl w:ilvl="6" w:tplc="3809000F" w:tentative="1">
      <w:start w:val="1"/>
      <w:numFmt w:val="decimal"/>
      <w:lvlText w:val="%7."/>
      <w:lvlJc w:val="left"/>
      <w:pPr>
        <w:ind w:left="4728" w:hanging="360"/>
      </w:pPr>
    </w:lvl>
    <w:lvl w:ilvl="7" w:tplc="38090019" w:tentative="1">
      <w:start w:val="1"/>
      <w:numFmt w:val="lowerLetter"/>
      <w:lvlText w:val="%8."/>
      <w:lvlJc w:val="left"/>
      <w:pPr>
        <w:ind w:left="5448" w:hanging="360"/>
      </w:pPr>
    </w:lvl>
    <w:lvl w:ilvl="8" w:tplc="3809001B" w:tentative="1">
      <w:start w:val="1"/>
      <w:numFmt w:val="lowerRoman"/>
      <w:lvlText w:val="%9."/>
      <w:lvlJc w:val="right"/>
      <w:pPr>
        <w:ind w:left="6168" w:hanging="180"/>
      </w:pPr>
    </w:lvl>
  </w:abstractNum>
  <w:abstractNum w:abstractNumId="23"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D7956"/>
    <w:multiLevelType w:val="hybridMultilevel"/>
    <w:tmpl w:val="47E0B7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7"/>
  </w:num>
  <w:num w:numId="5">
    <w:abstractNumId w:val="19"/>
  </w:num>
  <w:num w:numId="6">
    <w:abstractNumId w:val="23"/>
  </w:num>
  <w:num w:numId="7">
    <w:abstractNumId w:val="1"/>
  </w:num>
  <w:num w:numId="8">
    <w:abstractNumId w:val="21"/>
  </w:num>
  <w:num w:numId="9">
    <w:abstractNumId w:val="10"/>
  </w:num>
  <w:num w:numId="10">
    <w:abstractNumId w:val="2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num>
  <w:num w:numId="14">
    <w:abstractNumId w:val="14"/>
  </w:num>
  <w:num w:numId="15">
    <w:abstractNumId w:val="17"/>
  </w:num>
  <w:num w:numId="16">
    <w:abstractNumId w:val="0"/>
  </w:num>
  <w:num w:numId="17">
    <w:abstractNumId w:val="5"/>
  </w:num>
  <w:num w:numId="18">
    <w:abstractNumId w:val="9"/>
  </w:num>
  <w:num w:numId="19">
    <w:abstractNumId w:val="18"/>
  </w:num>
  <w:num w:numId="20">
    <w:abstractNumId w:val="15"/>
  </w:num>
  <w:num w:numId="21">
    <w:abstractNumId w:val="6"/>
  </w:num>
  <w:num w:numId="22">
    <w:abstractNumId w:val="24"/>
  </w:num>
  <w:num w:numId="23">
    <w:abstractNumId w:val="11"/>
  </w:num>
  <w:num w:numId="24">
    <w:abstractNumId w:val="16"/>
  </w:num>
  <w:num w:numId="25">
    <w:abstractNumId w:val="2"/>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78554D"/>
    <w:rsid w:val="000061CE"/>
    <w:rsid w:val="0002425C"/>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94E2E"/>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98B"/>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54E25"/>
    <w:rsid w:val="00763D48"/>
    <w:rsid w:val="007706D1"/>
    <w:rsid w:val="00776DFE"/>
    <w:rsid w:val="00784B9B"/>
    <w:rsid w:val="0078554D"/>
    <w:rsid w:val="00787398"/>
    <w:rsid w:val="007A2C38"/>
    <w:rsid w:val="007B2B7A"/>
    <w:rsid w:val="007B716C"/>
    <w:rsid w:val="007E0F04"/>
    <w:rsid w:val="007E5CEF"/>
    <w:rsid w:val="007E6AA6"/>
    <w:rsid w:val="007E6E1C"/>
    <w:rsid w:val="007F0542"/>
    <w:rsid w:val="007F2733"/>
    <w:rsid w:val="00802C6D"/>
    <w:rsid w:val="008036D9"/>
    <w:rsid w:val="0081651E"/>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2FC3"/>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356C"/>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15:chartTrackingRefBased/>
  <w15:docId w15:val="{E7BD55E8-8773-4474-A116-C2C2B359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customStyle="1" w:styleId="TableGrid2">
    <w:name w:val="Table Grid2"/>
    <w:basedOn w:val="TableNormal"/>
    <w:next w:val="TableGrid"/>
    <w:uiPriority w:val="39"/>
    <w:qFormat/>
    <w:rsid w:val="00294E2E"/>
    <w:pPr>
      <w:spacing w:after="0" w:line="240" w:lineRule="auto"/>
    </w:pPr>
    <w:rPr>
      <w:rFonts w:ascii="Calibri" w:eastAsia="Calibri" w:hAnsi="Calibri" w:cs="Times New Roman"/>
      <w:lang w:val="en-AU"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1603/cakrawala.v11i1.107" TargetMode="External"/><Relationship Id="rId21" Type="http://schemas.openxmlformats.org/officeDocument/2006/relationships/hyperlink" Target="(Kimhi%20et%20al.,%202022%20;%20Zhang%20&amp;%20P&#233;rez-Paredes,%202024)" TargetMode="External"/><Relationship Id="rId42" Type="http://schemas.openxmlformats.org/officeDocument/2006/relationships/hyperlink" Target="(Retnasari%20et%20al.,%202021" TargetMode="External"/><Relationship Id="rId63" Type="http://schemas.openxmlformats.org/officeDocument/2006/relationships/hyperlink" Target="(Tong%20et%20al.,%202021%20;%20Heo,%202022)" TargetMode="External"/><Relationship Id="rId84" Type="http://schemas.openxmlformats.org/officeDocument/2006/relationships/hyperlink" Target="https://doi.org/10.1016/j.stueduc.2012.08.001" TargetMode="External"/><Relationship Id="rId138" Type="http://schemas.openxmlformats.org/officeDocument/2006/relationships/hyperlink" Target="https://doi.org/10.1016/j.cola.2024.101269" TargetMode="External"/><Relationship Id="rId159" Type="http://schemas.openxmlformats.org/officeDocument/2006/relationships/hyperlink" Target="https://doi.org/10.1016/j.compedu.2022.104640" TargetMode="External"/><Relationship Id="rId107" Type="http://schemas.openxmlformats.org/officeDocument/2006/relationships/hyperlink" Target="https://doi.org/10.1016/j.compedu.2024.105016" TargetMode="External"/><Relationship Id="rId11" Type="http://schemas.openxmlformats.org/officeDocument/2006/relationships/hyperlink" Target="(Wu%20et%20al.,%202023%20;%20Latini%20et%20al.,%202020)" TargetMode="External"/><Relationship Id="rId32" Type="http://schemas.openxmlformats.org/officeDocument/2006/relationships/hyperlink" Target="(Rahimi%20et%20al.,%202022%20;%20Inoue,%202023)" TargetMode="External"/><Relationship Id="rId53" Type="http://schemas.openxmlformats.org/officeDocument/2006/relationships/hyperlink" Target="(Ali%20et%20al.,%202024%20;%20Lin,%202023)" TargetMode="External"/><Relationship Id="rId74" Type="http://schemas.openxmlformats.org/officeDocument/2006/relationships/hyperlink" Target="https://doi.org/10.1016/j.ridd.2022.104198" TargetMode="External"/><Relationship Id="rId128" Type="http://schemas.openxmlformats.org/officeDocument/2006/relationships/hyperlink" Target="https://doi.org/10.23887/mi.v28i2.63523" TargetMode="External"/><Relationship Id="rId149" Type="http://schemas.openxmlformats.org/officeDocument/2006/relationships/hyperlink" Target="https://doi.org/10.1016/j.jeap.2022.101182" TargetMode="External"/><Relationship Id="rId5" Type="http://schemas.openxmlformats.org/officeDocument/2006/relationships/webSettings" Target="webSettings.xml"/><Relationship Id="rId95" Type="http://schemas.openxmlformats.org/officeDocument/2006/relationships/hyperlink" Target="https://doi.org/10.1016/j.tsc.2024.101502" TargetMode="External"/><Relationship Id="rId160" Type="http://schemas.openxmlformats.org/officeDocument/2006/relationships/hyperlink" Target="https://doi.org/10.1016/j.cognition.2023.105711" TargetMode="External"/><Relationship Id="rId22" Type="http://schemas.openxmlformats.org/officeDocument/2006/relationships/hyperlink" Target="(Singh%20et%20al.,%202024)" TargetMode="External"/><Relationship Id="rId43" Type="http://schemas.openxmlformats.org/officeDocument/2006/relationships/hyperlink" Target="(Yu%20et%20al.,%202021)" TargetMode="External"/><Relationship Id="rId64" Type="http://schemas.openxmlformats.org/officeDocument/2006/relationships/hyperlink" Target="(J.%20Lin%20&amp;%20Wang,%202024)" TargetMode="External"/><Relationship Id="rId118" Type="http://schemas.openxmlformats.org/officeDocument/2006/relationships/hyperlink" Target="https://doi.org/10.1016/j.cortex.2023.01.014" TargetMode="External"/><Relationship Id="rId139" Type="http://schemas.openxmlformats.org/officeDocument/2006/relationships/hyperlink" Target="https://doi.org/10.24071/ijels.v8i2.4713" TargetMode="External"/><Relationship Id="rId85" Type="http://schemas.openxmlformats.org/officeDocument/2006/relationships/hyperlink" Target="%20https:/doi.org/10.1016/j.heliyon.2024.e25776" TargetMode="External"/><Relationship Id="rId150" Type="http://schemas.openxmlformats.org/officeDocument/2006/relationships/hyperlink" Target="https://doi.org/10.1016/j.caeo.2022.100082" TargetMode="External"/><Relationship Id="rId12" Type="http://schemas.openxmlformats.org/officeDocument/2006/relationships/hyperlink" Target="(Gonzalez%20et%20al.,%202024%20;%20Pollard-Durodola%20et%20al.,%202016)" TargetMode="External"/><Relationship Id="rId17" Type="http://schemas.openxmlformats.org/officeDocument/2006/relationships/hyperlink" Target="(Rasna,%202019%20;%20%20Wati%20&amp;%20Anggraini,%202019)" TargetMode="External"/><Relationship Id="rId33" Type="http://schemas.openxmlformats.org/officeDocument/2006/relationships/hyperlink" Target="(Kumbure%20et%20al.,%202024%20;%20Zhou%20et%20al.,%202024)." TargetMode="External"/><Relationship Id="rId38" Type="http://schemas.openxmlformats.org/officeDocument/2006/relationships/hyperlink" Target="(Bailey%20et%20al.,%202022%20;%20Rojas-Drummond%20et%20al.,%202017)" TargetMode="External"/><Relationship Id="rId59" Type="http://schemas.openxmlformats.org/officeDocument/2006/relationships/hyperlink" Target="(Fernandes%20et%20al.,%202024%20;%20Crosthwaite%20et%20al.,%202021)" TargetMode="External"/><Relationship Id="rId103" Type="http://schemas.openxmlformats.org/officeDocument/2006/relationships/hyperlink" Target="%20https:/doi.org/10.1016/j.langsci.2023.101582" TargetMode="External"/><Relationship Id="rId108" Type="http://schemas.openxmlformats.org/officeDocument/2006/relationships/hyperlink" Target="%20https:/doi.org/10.1016/j.pbiomolbio.2023.12.003" TargetMode="External"/><Relationship Id="rId124" Type="http://schemas.openxmlformats.org/officeDocument/2006/relationships/hyperlink" Target="https://doi.org/10.1016/j.heliyon.2024.e27588" TargetMode="External"/><Relationship Id="rId129" Type="http://schemas.openxmlformats.org/officeDocument/2006/relationships/hyperlink" Target="https://doi.org/10.1016/j.neuropsychologia.2022.108427" TargetMode="External"/><Relationship Id="rId54" Type="http://schemas.openxmlformats.org/officeDocument/2006/relationships/hyperlink" Target="(Malik%20et%20al.,%202023%20;%20Formatting%20Citation)" TargetMode="External"/><Relationship Id="rId70" Type="http://schemas.openxmlformats.org/officeDocument/2006/relationships/hyperlink" Target="https://doi.org/10.1016/j.ijedudev.2012.09.006" TargetMode="External"/><Relationship Id="rId75" Type="http://schemas.openxmlformats.org/officeDocument/2006/relationships/hyperlink" Target="https://doi.org/10.1016/j.langcom.2023.12.001" TargetMode="External"/><Relationship Id="rId91" Type="http://schemas.openxmlformats.org/officeDocument/2006/relationships/hyperlink" Target="https://doi.org/10.1016/j.tsc.2024.101513" TargetMode="External"/><Relationship Id="rId96" Type="http://schemas.openxmlformats.org/officeDocument/2006/relationships/hyperlink" Target="https://doi.org/10.1016/j.ecresq.2023.08.011" TargetMode="External"/><Relationship Id="rId140" Type="http://schemas.openxmlformats.org/officeDocument/2006/relationships/hyperlink" Target="https://doi.org/10.1016/j.jeap.2020.100906" TargetMode="External"/><Relationship Id="rId145" Type="http://schemas.openxmlformats.org/officeDocument/2006/relationships/hyperlink" Target="https://doi.org/10.1016/j.compedu.2008.06.008" TargetMode="External"/><Relationship Id="rId161" Type="http://schemas.openxmlformats.org/officeDocument/2006/relationships/hyperlink" Target="https://doi.org/10.1016/j.iheduc.2023.100919"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hmudah,%202016%20;%20M&#228;kip&#228;&#228;,%202024)" TargetMode="External"/><Relationship Id="rId28" Type="http://schemas.openxmlformats.org/officeDocument/2006/relationships/hyperlink" Target="(Woods%20&amp;%20Copur-Gencturk,%202024%20;%20Hwang%20et%20al.,%202024)" TargetMode="External"/><Relationship Id="rId49" Type="http://schemas.openxmlformats.org/officeDocument/2006/relationships/hyperlink" Target="(Dong%20et%20al.,%202024%20;%20Gorham%20et%20al.,%202024)" TargetMode="External"/><Relationship Id="rId114" Type="http://schemas.openxmlformats.org/officeDocument/2006/relationships/hyperlink" Target="https://doi.org/10.1016/j.actpsy.2024.104233" TargetMode="External"/><Relationship Id="rId119" Type="http://schemas.openxmlformats.org/officeDocument/2006/relationships/hyperlink" Target="https://doi.org/10.1016/j.tate.2024.104554" TargetMode="External"/><Relationship Id="rId44" Type="http://schemas.openxmlformats.org/officeDocument/2006/relationships/hyperlink" Target="(Wu%20et%20al.,%202023%20;%20Serrano-Mendiz&#225;bal%20et%20al.,%202023)" TargetMode="External"/><Relationship Id="rId60" Type="http://schemas.openxmlformats.org/officeDocument/2006/relationships/hyperlink" Target="(Roberts%20&amp;%20Stankov,%201999%20;%20Formatting%20Citation)" TargetMode="External"/><Relationship Id="rId65" Type="http://schemas.openxmlformats.org/officeDocument/2006/relationships/hyperlink" Target="(Bui%20et%20al.,%202023%20;%20D.%20Wang%20et%20al.,%202024)" TargetMode="External"/><Relationship Id="rId81" Type="http://schemas.openxmlformats.org/officeDocument/2006/relationships/hyperlink" Target="%20https:/doi.org/10.1016/B978-0-12-818630-5.07046-9" TargetMode="External"/><Relationship Id="rId86" Type="http://schemas.openxmlformats.org/officeDocument/2006/relationships/hyperlink" Target="https://doi.org/10.1016/j.cexr.2024.100053" TargetMode="External"/><Relationship Id="rId130" Type="http://schemas.openxmlformats.org/officeDocument/2006/relationships/hyperlink" Target="https://doi.org/10.2991/icoie-18.2019.60" TargetMode="External"/><Relationship Id="rId135" Type="http://schemas.openxmlformats.org/officeDocument/2006/relationships/hyperlink" Target="https://doi.org/10.1016/j.tsc.2020.100663" TargetMode="External"/><Relationship Id="rId151" Type="http://schemas.openxmlformats.org/officeDocument/2006/relationships/hyperlink" Target="https://doi.org/10.1016/j.heliyon.2021.e05928" TargetMode="External"/><Relationship Id="rId156" Type="http://schemas.openxmlformats.org/officeDocument/2006/relationships/hyperlink" Target="https://doi.org/10.29303/jppipa.v9i12.5267" TargetMode="External"/><Relationship Id="rId13" Type="http://schemas.openxmlformats.org/officeDocument/2006/relationships/hyperlink" Target="(Iglesias%20Rodr&#237;guez%20et%20al.,%202017)" TargetMode="External"/><Relationship Id="rId18" Type="http://schemas.openxmlformats.org/officeDocument/2006/relationships/hyperlink" Target="(Lim%20et%20al.,%202021)" TargetMode="External"/><Relationship Id="rId39" Type="http://schemas.openxmlformats.org/officeDocument/2006/relationships/hyperlink" Target="(Yulihendri%20&amp;%20Evanita,%202023%20;%20Rahayu%20&amp;%20I%20Gusti%20Ayu%20Tri%20Agustiana,%202023)" TargetMode="External"/><Relationship Id="rId109" Type="http://schemas.openxmlformats.org/officeDocument/2006/relationships/hyperlink" Target="https://doi.org/10.1016/j.eswa.2023.121232" TargetMode="External"/><Relationship Id="rId34" Type="http://schemas.openxmlformats.org/officeDocument/2006/relationships/hyperlink" Target="(Kong%20&amp;%20Wang,%202024%20;%20Shayan%20et%20al.,%202018)" TargetMode="External"/><Relationship Id="rId50" Type="http://schemas.openxmlformats.org/officeDocument/2006/relationships/hyperlink" Target="(Zhong%20et%20al.,%202022%20;%20%20%20Akyeampong%20et%20al.,%202013)" TargetMode="External"/><Relationship Id="rId55" Type="http://schemas.openxmlformats.org/officeDocument/2006/relationships/hyperlink" Target="(Gaertner%20et%20al.,%202023%20;%20Gao%20et%20al.,%202024)" TargetMode="External"/><Relationship Id="rId76" Type="http://schemas.openxmlformats.org/officeDocument/2006/relationships/hyperlink" Target="https://doi.org/10.1016/j.socscimed.2023.116076" TargetMode="External"/><Relationship Id="rId97" Type="http://schemas.openxmlformats.org/officeDocument/2006/relationships/hyperlink" Target="https://doi.org/10.1016/j.stueduc.2024.101352" TargetMode="External"/><Relationship Id="rId104" Type="http://schemas.openxmlformats.org/officeDocument/2006/relationships/hyperlink" Target="%20https:/doi.org/10.1016/j.tate.2021.103600" TargetMode="External"/><Relationship Id="rId120" Type="http://schemas.openxmlformats.org/officeDocument/2006/relationships/hyperlink" Target="https://doi.org/10.1016/j.iot.2023.100860" TargetMode="External"/><Relationship Id="rId125" Type="http://schemas.openxmlformats.org/officeDocument/2006/relationships/hyperlink" Target="https://doi.org/10.21831/elinvo.v7i1.44425" TargetMode="External"/><Relationship Id="rId141" Type="http://schemas.openxmlformats.org/officeDocument/2006/relationships/hyperlink" Target="https://doi.org/10.1016/j.psychsport.2021.101902" TargetMode="External"/><Relationship Id="rId146" Type="http://schemas.openxmlformats.org/officeDocument/2006/relationships/hyperlink" Target="https://doi.org/10.1016/j.poetic.2023.101828"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21009/jtp.v24i1.24242" TargetMode="External"/><Relationship Id="rId92" Type="http://schemas.openxmlformats.org/officeDocument/2006/relationships/hyperlink" Target="https://doi.org/10.1108/JME-03-2021-0027" TargetMode="External"/><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Wen%20&amp;%20Walters,%202022%20;%20Liu%20et%20al.,%202021)" TargetMode="External"/><Relationship Id="rId24" Type="http://schemas.openxmlformats.org/officeDocument/2006/relationships/hyperlink" Target="(Adams%20et%20al.,%202023%20;%20Attig%20et%20al.,%202024)" TargetMode="External"/><Relationship Id="rId40" Type="http://schemas.openxmlformats.org/officeDocument/2006/relationships/hyperlink" Target="(Nurdianah%20&amp;%20Sudira,%202022%20;%20Alam%20et%20al.,%202022)" TargetMode="External"/><Relationship Id="rId45" Type="http://schemas.openxmlformats.org/officeDocument/2006/relationships/hyperlink" Target="(Hagan%20&amp;%20Barron,%202019)" TargetMode="External"/><Relationship Id="rId66" Type="http://schemas.openxmlformats.org/officeDocument/2006/relationships/hyperlink" Target="(Kong%20&amp;%20Wang,%202024)" TargetMode="External"/><Relationship Id="rId87" Type="http://schemas.openxmlformats.org/officeDocument/2006/relationships/hyperlink" Target="https://doi.org/10.1016/j.acorp.2021.100003" TargetMode="External"/><Relationship Id="rId110" Type="http://schemas.openxmlformats.org/officeDocument/2006/relationships/hyperlink" Target="https://doi.org/10.1016/j.chb.2020.106274" TargetMode="External"/><Relationship Id="rId115" Type="http://schemas.openxmlformats.org/officeDocument/2006/relationships/hyperlink" Target="https://doi.org/10.1016/j.compedu.2022.104710" TargetMode="External"/><Relationship Id="rId131" Type="http://schemas.openxmlformats.org/officeDocument/2006/relationships/hyperlink" Target="https://doi.org/10.1016/j.fsisyn.2022.100313" TargetMode="External"/><Relationship Id="rId136" Type="http://schemas.openxmlformats.org/officeDocument/2006/relationships/hyperlink" Target="https://doi.org/10.1016/j.compedu.2023.104727" TargetMode="External"/><Relationship Id="rId157" Type="http://schemas.openxmlformats.org/officeDocument/2006/relationships/hyperlink" Target="https://doi.org/10.1016/j.system.2024.103221" TargetMode="External"/><Relationship Id="rId61" Type="http://schemas.openxmlformats.org/officeDocument/2006/relationships/hyperlink" Target="(Jones,%202022%20;%20Patterson%20et%20al.,%202022)" TargetMode="External"/><Relationship Id="rId82" Type="http://schemas.openxmlformats.org/officeDocument/2006/relationships/hyperlink" Target="%20https:/doi.org/10.1016/j.tate.2022.103825" TargetMode="External"/><Relationship Id="rId152" Type="http://schemas.openxmlformats.org/officeDocument/2006/relationships/hyperlink" Target="https://doi.org/10.1016/j.tate.2023.104415" TargetMode="External"/><Relationship Id="rId19" Type="http://schemas.openxmlformats.org/officeDocument/2006/relationships/hyperlink" Target="(Bangeni,%202024)" TargetMode="External"/><Relationship Id="rId14" Type="http://schemas.openxmlformats.org/officeDocument/2006/relationships/hyperlink" Target="(Wati%20&amp;%20Anggraini,%202019%20;%20Segundo%20Marcos%20et%20al.,%202020%20;%20Marwan,%20Firdaus%20&amp;%20Handayani,%202023)" TargetMode="External"/><Relationship Id="rId30" Type="http://schemas.openxmlformats.org/officeDocument/2006/relationships/hyperlink" Target="Charalambous%20et%20al.,%20(2012)" TargetMode="External"/><Relationship Id="rId35" Type="http://schemas.openxmlformats.org/officeDocument/2006/relationships/hyperlink" Target="(Carvalho,%202023)." TargetMode="External"/><Relationship Id="rId56" Type="http://schemas.openxmlformats.org/officeDocument/2006/relationships/hyperlink" Target="(Erawanto%20&amp;%20Santoso,%202016;%20Vong%20&amp;%20Kaewurai,%202017)" TargetMode="External"/><Relationship Id="rId77" Type="http://schemas.openxmlformats.org/officeDocument/2006/relationships/hyperlink" Target="https://doi.org/10.18860/jpips.v3i2.6859" TargetMode="External"/><Relationship Id="rId100" Type="http://schemas.openxmlformats.org/officeDocument/2006/relationships/hyperlink" Target="https://doi.org/10.1016/j.linged.2022.101055" TargetMode="External"/><Relationship Id="rId105" Type="http://schemas.openxmlformats.org/officeDocument/2006/relationships/hyperlink" Target="https://doi.org/10.1016/j.nurpra.2021.11.009" TargetMode="External"/><Relationship Id="rId126" Type="http://schemas.openxmlformats.org/officeDocument/2006/relationships/hyperlink" Target="https://doi.org/10.1016/j.tate.2022.103899" TargetMode="External"/><Relationship Id="rId147" Type="http://schemas.openxmlformats.org/officeDocument/2006/relationships/hyperlink" Target="https://doi.org/10.1016/j.kjss.2016.05.002" TargetMode="External"/><Relationship Id="rId8" Type="http://schemas.openxmlformats.org/officeDocument/2006/relationships/hyperlink" Target="https://creativecommons.org/licenses/by-nc-sa/4.0/" TargetMode="External"/><Relationship Id="rId51" Type="http://schemas.openxmlformats.org/officeDocument/2006/relationships/hyperlink" Target="(Gomez%20Gomez,%202024%20;%20Zhu%20et%20al.,%202023)" TargetMode="External"/><Relationship Id="rId72" Type="http://schemas.openxmlformats.org/officeDocument/2006/relationships/hyperlink" Target="https://doi.org/10.1016/j.techfore.2023.123076" TargetMode="External"/><Relationship Id="rId93" Type="http://schemas.openxmlformats.org/officeDocument/2006/relationships/hyperlink" Target="https://doi.org/10.1016/j.ctim.2023.102999" TargetMode="External"/><Relationship Id="rId98" Type="http://schemas.openxmlformats.org/officeDocument/2006/relationships/hyperlink" Target="%20https:/doi.org/10.1016/j.heliyon.2024.e24281" TargetMode="External"/><Relationship Id="rId121" Type="http://schemas.openxmlformats.org/officeDocument/2006/relationships/hyperlink" Target="%20https:/doi.org/10.1016/j.rineng.2023.101356" TargetMode="External"/><Relationship Id="rId142" Type="http://schemas.openxmlformats.org/officeDocument/2006/relationships/hyperlink" Target="https://doi.org/10.1016/j.nedt.2023.105872"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Li%20&amp;%20Yan,%202023%20;%20Mutoni%20Griffiths%20et%20al.,%202023)" TargetMode="External"/><Relationship Id="rId46" Type="http://schemas.openxmlformats.org/officeDocument/2006/relationships/hyperlink" Target="(Hab&#243;k%20et%20al.,%202024%20;%20Cervetti%20&amp;%20Pearson,%202023)." TargetMode="External"/><Relationship Id="rId67" Type="http://schemas.openxmlformats.org/officeDocument/2006/relationships/hyperlink" Target="(Y.%20J.%20Wu%20&amp;%20Chen,%202021)" TargetMode="External"/><Relationship Id="rId116" Type="http://schemas.openxmlformats.org/officeDocument/2006/relationships/hyperlink" Target="https://doi.org/10.1016/j.chb.2021.106733" TargetMode="External"/><Relationship Id="rId137" Type="http://schemas.openxmlformats.org/officeDocument/2006/relationships/hyperlink" Target="https://doi.org/10.1016/j.cie.2018.04.027" TargetMode="External"/><Relationship Id="rId158" Type="http://schemas.openxmlformats.org/officeDocument/2006/relationships/hyperlink" Target="%20https:/doi.org/10.1016/S1474-6670(17)53048-7" TargetMode="External"/><Relationship Id="rId20" Type="http://schemas.openxmlformats.org/officeDocument/2006/relationships/hyperlink" Target="(Stoller%20&amp;%20Nguyen,%202020;%20Damaianti,%202021)" TargetMode="External"/><Relationship Id="rId41" Type="http://schemas.openxmlformats.org/officeDocument/2006/relationships/image" Target="media/image2.jpeg"/><Relationship Id="rId62" Type="http://schemas.openxmlformats.org/officeDocument/2006/relationships/hyperlink" Target="(Keating%20et%20al.,%202022%20;%20Tegzes%20et%20al.,%202023)" TargetMode="External"/><Relationship Id="rId83" Type="http://schemas.openxmlformats.org/officeDocument/2006/relationships/hyperlink" Target="https://doi.org/10.1016/j.teln.2023.09.015" TargetMode="External"/><Relationship Id="rId88" Type="http://schemas.openxmlformats.org/officeDocument/2006/relationships/hyperlink" Target="https://doi.org/10.33603/dj.v8i1.4613" TargetMode="External"/><Relationship Id="rId111" Type="http://schemas.openxmlformats.org/officeDocument/2006/relationships/hyperlink" Target="https://doi.org/10.1016/j.cedpsych.2020.101870" TargetMode="External"/><Relationship Id="rId132" Type="http://schemas.openxmlformats.org/officeDocument/2006/relationships/hyperlink" Target="%20https:/doi.org/10.23887/jisd.v5i2.38072" TargetMode="External"/><Relationship Id="rId153" Type="http://schemas.openxmlformats.org/officeDocument/2006/relationships/hyperlink" Target="https://doi.org/10.1016/j.lindif.2023.102290" TargetMode="External"/><Relationship Id="rId15" Type="http://schemas.openxmlformats.org/officeDocument/2006/relationships/hyperlink" Target="(Francois%20&amp;%20Hood,%202021%20;%20Mak%20et%20al.,%202023)" TargetMode="External"/><Relationship Id="rId36" Type="http://schemas.openxmlformats.org/officeDocument/2006/relationships/hyperlink" Target="van%20Hek%20&amp;%20Kraaykamp,%20(2023)" TargetMode="External"/><Relationship Id="rId57" Type="http://schemas.openxmlformats.org/officeDocument/2006/relationships/hyperlink" Target="(Z.-J.%20Zhang%20et%20al.,%201989)" TargetMode="External"/><Relationship Id="rId106" Type="http://schemas.openxmlformats.org/officeDocument/2006/relationships/hyperlink" Target="https://doi.org/10.1016/j.tate.2022.103829" TargetMode="External"/><Relationship Id="rId127" Type="http://schemas.openxmlformats.org/officeDocument/2006/relationships/hyperlink" Target="https://doi.org/10.1016/j.ecresq.2015.12.004" TargetMode="External"/><Relationship Id="rId10" Type="http://schemas.openxmlformats.org/officeDocument/2006/relationships/hyperlink" Target="mailto:paulinarete.2022@student.uny.ac.id" TargetMode="External"/><Relationship Id="rId31" Type="http://schemas.openxmlformats.org/officeDocument/2006/relationships/hyperlink" Target="(Chan%20et%20al.,%202024%20;%20Tanimura%20et%20al.,%202023)" TargetMode="External"/><Relationship Id="rId52" Type="http://schemas.openxmlformats.org/officeDocument/2006/relationships/hyperlink" Target="(Chen%20et%20al.,%202024%20;%20Mallik,%202023)" TargetMode="External"/><Relationship Id="rId73" Type="http://schemas.openxmlformats.org/officeDocument/2006/relationships/hyperlink" Target="https://doi.org/10.1016/j.stueduc.2024.101347" TargetMode="External"/><Relationship Id="rId78" Type="http://schemas.openxmlformats.org/officeDocument/2006/relationships/hyperlink" Target="https://doi.org/10.1016/j.tate.2023.104041" TargetMode="External"/><Relationship Id="rId94" Type="http://schemas.openxmlformats.org/officeDocument/2006/relationships/hyperlink" Target="https://doi.org/10.1016/j.caeai.2024.100206" TargetMode="External"/><Relationship Id="rId99" Type="http://schemas.openxmlformats.org/officeDocument/2006/relationships/hyperlink" Target="https://doi.org/10.1016/j.sheji.2018.12.001" TargetMode="External"/><Relationship Id="rId101" Type="http://schemas.openxmlformats.org/officeDocument/2006/relationships/hyperlink" Target="https://doi.org/10.1016/j.jmathb.2023.101120" TargetMode="External"/><Relationship Id="rId122" Type="http://schemas.openxmlformats.org/officeDocument/2006/relationships/hyperlink" Target="https://doi.org/10.1016/j.jml.2018.05.005" TargetMode="External"/><Relationship Id="rId143" Type="http://schemas.openxmlformats.org/officeDocument/2006/relationships/hyperlink" Target="https://doi.org/10.1016/j.xjep.2023.100626" TargetMode="External"/><Relationship Id="rId148" Type="http://schemas.openxmlformats.org/officeDocument/2006/relationships/hyperlink" Target="https://doi.org/10.1016/j.jbusres.2024.114645" TargetMode="External"/><Relationship Id="rId16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Bashith,%202017;Wiziack%20&amp;%20dos%20Santos,%202021)" TargetMode="External"/><Relationship Id="rId47" Type="http://schemas.openxmlformats.org/officeDocument/2006/relationships/hyperlink" Target="(Sinha,%202022%20;%20Vistari,%202023)" TargetMode="External"/><Relationship Id="rId68" Type="http://schemas.openxmlformats.org/officeDocument/2006/relationships/hyperlink" Target="(Yu%20et%20al.,%202021)" TargetMode="External"/><Relationship Id="rId89" Type="http://schemas.openxmlformats.org/officeDocument/2006/relationships/hyperlink" Target="https://doi.org/10.1016/j.nedt.2023.106071" TargetMode="External"/><Relationship Id="rId112" Type="http://schemas.openxmlformats.org/officeDocument/2006/relationships/hyperlink" Target="https://doi.org/10.1016/j.lmot.2023.101913" TargetMode="External"/><Relationship Id="rId133" Type="http://schemas.openxmlformats.org/officeDocument/2006/relationships/hyperlink" Target="https://doi.org/10.1016/S1041-6080(00)80007-2" TargetMode="External"/><Relationship Id="rId154" Type="http://schemas.openxmlformats.org/officeDocument/2006/relationships/hyperlink" Target="https://doi.org/10.1016/j.ijme.2021.100561" TargetMode="External"/><Relationship Id="rId16" Type="http://schemas.openxmlformats.org/officeDocument/2006/relationships/hyperlink" Target="(Y.%20Wang%20et%20al.,%202022)." TargetMode="External"/><Relationship Id="rId37" Type="http://schemas.openxmlformats.org/officeDocument/2006/relationships/hyperlink" Target="(Chalkley%20et%20al.,%202022%20;%20Berg%20et%20al.,%202023)" TargetMode="External"/><Relationship Id="rId58" Type="http://schemas.openxmlformats.org/officeDocument/2006/relationships/hyperlink" Target="(Sturm%20et%20al.,%202021)" TargetMode="External"/><Relationship Id="rId79" Type="http://schemas.openxmlformats.org/officeDocument/2006/relationships/hyperlink" Target="https://doi.org/10.1016/j.edurev.2023.100554" TargetMode="External"/><Relationship Id="rId102" Type="http://schemas.openxmlformats.org/officeDocument/2006/relationships/hyperlink" Target="https://doi.org/10.1016/j.chb.2016.07.019" TargetMode="External"/><Relationship Id="rId123" Type="http://schemas.openxmlformats.org/officeDocument/2006/relationships/hyperlink" Target="https://doi.org/10.1016/j.cedpsych.2022.102145" TargetMode="External"/><Relationship Id="rId144" Type="http://schemas.openxmlformats.org/officeDocument/2006/relationships/hyperlink" Target="https://doi.org/10.1016/j.heliyon.2021.e08282" TargetMode="External"/><Relationship Id="rId90" Type="http://schemas.openxmlformats.org/officeDocument/2006/relationships/hyperlink" Target="https://doi.org/10.22219/jinop.v2i2.2629" TargetMode="External"/><Relationship Id="rId165" Type="http://schemas.openxmlformats.org/officeDocument/2006/relationships/footer" Target="footer2.xml"/><Relationship Id="rId27" Type="http://schemas.openxmlformats.org/officeDocument/2006/relationships/hyperlink" Target="(Nasar%20et%20al.,%202024%20;%20Bardosh%20et%20al.,%202023)" TargetMode="External"/><Relationship Id="rId48" Type="http://schemas.openxmlformats.org/officeDocument/2006/relationships/hyperlink" Target="(T&#252;z&#252;n%20et%20al.,%202009%20;%20Kurilovas%20&amp;%20Kubilinskiene,%202020)" TargetMode="External"/><Relationship Id="rId69" Type="http://schemas.openxmlformats.org/officeDocument/2006/relationships/hyperlink" Target="https://doi.org/10.1016/j.stueduc.2023.101260" TargetMode="External"/><Relationship Id="rId113" Type="http://schemas.openxmlformats.org/officeDocument/2006/relationships/hyperlink" Target="https://doi.org/10.1016/j.system.2020.102434" TargetMode="External"/><Relationship Id="rId134" Type="http://schemas.openxmlformats.org/officeDocument/2006/relationships/hyperlink" Target="https://doi.org/10.1016/j.lcsi.2016.09.005" TargetMode="External"/><Relationship Id="rId80" Type="http://schemas.openxmlformats.org/officeDocument/2006/relationships/hyperlink" Target="https://doi.org/10.1016/j.xjep.2023.100649" TargetMode="External"/><Relationship Id="rId155" Type="http://schemas.openxmlformats.org/officeDocument/2006/relationships/hyperlink" Target="%20https:/doi.org/10.1016/j.caeai.2021.100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n\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8D4A-6E61-447C-A93E-EADD1516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12</TotalTime>
  <Pages>16</Pages>
  <Words>33018</Words>
  <Characters>188206</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dc:creator>
  <cp:keywords/>
  <dc:description/>
  <cp:lastModifiedBy>Marwan Marwan</cp:lastModifiedBy>
  <cp:revision>5</cp:revision>
  <cp:lastPrinted>2022-03-12T14:54:00Z</cp:lastPrinted>
  <dcterms:created xsi:type="dcterms:W3CDTF">2024-05-26T12:57:00Z</dcterms:created>
  <dcterms:modified xsi:type="dcterms:W3CDTF">2024-05-26T13:16:00Z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