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0FA09" w14:textId="33003023" w:rsidR="008E64A2" w:rsidRDefault="00AD49B2" w:rsidP="00727D5A">
      <w:pPr>
        <w:pStyle w:val="Alishlah12title"/>
        <w:rPr>
          <w:rFonts w:cs="Segoe UI"/>
          <w:color w:val="0D0D0D"/>
          <w:shd w:val="clear" w:color="auto" w:fill="FFFFFF"/>
        </w:rPr>
      </w:pPr>
      <w:r>
        <w:rPr>
          <w:rFonts w:cs="Segoe UI"/>
          <w:color w:val="0D0D0D"/>
          <w:shd w:val="clear" w:color="auto" w:fill="FFFFFF"/>
        </w:rPr>
        <w:t xml:space="preserve">Implementation of </w:t>
      </w:r>
      <w:proofErr w:type="gramStart"/>
      <w:r>
        <w:rPr>
          <w:rFonts w:cs="Segoe UI"/>
          <w:color w:val="0D0D0D"/>
          <w:shd w:val="clear" w:color="auto" w:fill="FFFFFF"/>
        </w:rPr>
        <w:t>The</w:t>
      </w:r>
      <w:proofErr w:type="gramEnd"/>
      <w:r>
        <w:rPr>
          <w:rFonts w:cs="Segoe UI"/>
          <w:color w:val="0D0D0D"/>
          <w:shd w:val="clear" w:color="auto" w:fill="FFFFFF"/>
        </w:rPr>
        <w:t xml:space="preserve"> OBE Based Learning Model in The Andragogy Course At Community Education Departmen</w:t>
      </w:r>
      <w:bookmarkStart w:id="0" w:name="_GoBack"/>
      <w:bookmarkEnd w:id="0"/>
      <w:r>
        <w:rPr>
          <w:rFonts w:cs="Segoe UI"/>
          <w:color w:val="0D0D0D"/>
          <w:shd w:val="clear" w:color="auto" w:fill="FFFFFF"/>
        </w:rPr>
        <w:t>t, UNIMED</w:t>
      </w:r>
      <w:r w:rsidR="00605193" w:rsidRPr="00605193">
        <w:rPr>
          <w:rFonts w:cs="Segoe UI"/>
          <w:color w:val="0D0D0D"/>
          <w:shd w:val="clear" w:color="auto" w:fill="FFFFFF"/>
        </w:rPr>
        <w:t xml:space="preserve"> </w:t>
      </w:r>
    </w:p>
    <w:p w14:paraId="12C52050" w14:textId="2F33AABA" w:rsidR="00BE398A" w:rsidRPr="007E6AA6" w:rsidRDefault="00605193" w:rsidP="002C57D4">
      <w:pPr>
        <w:pStyle w:val="Alishlah13authornames"/>
        <w:rPr>
          <w:vertAlign w:val="superscript"/>
          <w:lang w:val="en-GB"/>
        </w:rPr>
      </w:pPr>
      <w:proofErr w:type="spellStart"/>
      <w:r>
        <w:rPr>
          <w:lang w:val="en-GB"/>
        </w:rPr>
        <w:t>Jubaidah</w:t>
      </w:r>
      <w:proofErr w:type="spellEnd"/>
      <w:r>
        <w:rPr>
          <w:lang w:val="en-GB"/>
        </w:rPr>
        <w:t xml:space="preserve"> Hasibuan</w:t>
      </w:r>
      <w:r w:rsidR="007E6AA6">
        <w:rPr>
          <w:vertAlign w:val="superscript"/>
          <w:lang w:val="en-GB"/>
        </w:rPr>
        <w:t>1</w:t>
      </w:r>
      <w:r w:rsidR="007E6AA6" w:rsidRPr="007E6AA6">
        <w:rPr>
          <w:lang w:val="en-GB"/>
        </w:rPr>
        <w:t xml:space="preserve">, </w:t>
      </w:r>
      <w:proofErr w:type="spellStart"/>
      <w:r>
        <w:rPr>
          <w:lang w:val="en-GB"/>
        </w:rPr>
        <w:t>Friska</w:t>
      </w:r>
      <w:proofErr w:type="spellEnd"/>
      <w:r>
        <w:rPr>
          <w:lang w:val="en-GB"/>
        </w:rPr>
        <w:t xml:space="preserve"> </w:t>
      </w:r>
      <w:proofErr w:type="spellStart"/>
      <w:r>
        <w:rPr>
          <w:lang w:val="en-GB"/>
        </w:rPr>
        <w:t>Indria</w:t>
      </w:r>
      <w:proofErr w:type="spellEnd"/>
      <w:r>
        <w:rPr>
          <w:lang w:val="en-GB"/>
        </w:rPr>
        <w:t xml:space="preserve"> Nora Harahap</w:t>
      </w:r>
      <w:r w:rsidR="007E6AA6">
        <w:rPr>
          <w:vertAlign w:val="superscript"/>
          <w:lang w:val="en-GB"/>
        </w:rPr>
        <w:t>2</w:t>
      </w:r>
    </w:p>
    <w:p w14:paraId="2F75460D" w14:textId="790A8B2B"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2B31FD" w:rsidRPr="002B31FD">
        <w:rPr>
          <w:color w:val="auto"/>
          <w:lang w:val="en-GB"/>
        </w:rPr>
        <w:t xml:space="preserve">Affiliation 1; </w:t>
      </w:r>
      <w:r w:rsidR="00B43071">
        <w:rPr>
          <w:color w:val="auto"/>
          <w:lang w:val="en-GB"/>
        </w:rPr>
        <w:t>jubaidahhasibuan02@gmail.com</w:t>
      </w:r>
    </w:p>
    <w:p w14:paraId="410D21E9" w14:textId="15A2CA46"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2B31FD" w:rsidRPr="002B31FD">
        <w:rPr>
          <w:color w:val="auto"/>
          <w:lang w:val="en-GB"/>
        </w:rPr>
        <w:t xml:space="preserve">Affiliation 1; </w:t>
      </w:r>
      <w:hyperlink r:id="rId9" w:history="1">
        <w:r w:rsidR="00605193" w:rsidRPr="00BD135F">
          <w:rPr>
            <w:rStyle w:val="Hyperlink"/>
            <w:lang w:val="en-GB"/>
          </w:rPr>
          <w:t>friskaharahap@unimed.ac.id</w:t>
        </w:r>
      </w:hyperlink>
      <w:r w:rsidR="00605193">
        <w:rPr>
          <w:color w:val="auto"/>
          <w:lang w:val="en-GB"/>
        </w:rPr>
        <w:t xml:space="preserve">, </w:t>
      </w:r>
    </w:p>
    <w:p w14:paraId="2FDAC289"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013CFF9" w14:textId="77777777" w:rsidTr="0048254D">
        <w:trPr>
          <w:jc w:val="center"/>
        </w:trPr>
        <w:tc>
          <w:tcPr>
            <w:tcW w:w="2787" w:type="dxa"/>
            <w:tcBorders>
              <w:top w:val="double" w:sz="4" w:space="0" w:color="auto"/>
              <w:left w:val="nil"/>
              <w:bottom w:val="single" w:sz="4" w:space="0" w:color="auto"/>
              <w:right w:val="nil"/>
            </w:tcBorders>
          </w:tcPr>
          <w:p w14:paraId="7665C1E8"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38CCCDB4"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3FC45F0"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38C9B199" w14:textId="77777777" w:rsidTr="0048254D">
        <w:trPr>
          <w:trHeight w:val="1268"/>
          <w:jc w:val="center"/>
        </w:trPr>
        <w:tc>
          <w:tcPr>
            <w:tcW w:w="2787" w:type="dxa"/>
            <w:tcBorders>
              <w:top w:val="single" w:sz="4" w:space="0" w:color="auto"/>
              <w:left w:val="nil"/>
              <w:bottom w:val="single" w:sz="4" w:space="0" w:color="auto"/>
              <w:right w:val="nil"/>
            </w:tcBorders>
          </w:tcPr>
          <w:p w14:paraId="331E3762"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293F7FB9" w14:textId="247EB2CB" w:rsidR="002B31FD" w:rsidRDefault="0084406E" w:rsidP="00290481">
            <w:pPr>
              <w:pStyle w:val="Alishlah18keywords"/>
            </w:pPr>
            <w:proofErr w:type="gramStart"/>
            <w:r>
              <w:t>keyword</w:t>
            </w:r>
            <w:proofErr w:type="gramEnd"/>
            <w:r w:rsidR="002B31FD" w:rsidRPr="002B31FD">
              <w:t xml:space="preserve">; </w:t>
            </w:r>
            <w:r>
              <w:t>OBE, Andragogy, Community Education.</w:t>
            </w:r>
          </w:p>
          <w:p w14:paraId="04139CE0" w14:textId="276C6592" w:rsidR="002B31FD" w:rsidRDefault="002B31FD" w:rsidP="00290481">
            <w:pPr>
              <w:pStyle w:val="Alishlah18keywords"/>
            </w:pPr>
          </w:p>
          <w:p w14:paraId="7F75E77B" w14:textId="17583B54" w:rsidR="002B31FD" w:rsidRDefault="002B31FD" w:rsidP="0084406E">
            <w:pPr>
              <w:pStyle w:val="Alishlah18keywords"/>
              <w:ind w:left="0"/>
            </w:pPr>
          </w:p>
          <w:p w14:paraId="1712F663" w14:textId="77777777" w:rsidR="0048254D" w:rsidRPr="0048254D" w:rsidRDefault="0048254D" w:rsidP="0084406E">
            <w:pPr>
              <w:pStyle w:val="Alishlah18keywords"/>
              <w:ind w:left="0"/>
            </w:pPr>
          </w:p>
        </w:tc>
        <w:tc>
          <w:tcPr>
            <w:tcW w:w="282" w:type="dxa"/>
            <w:vMerge w:val="restart"/>
            <w:tcBorders>
              <w:top w:val="nil"/>
              <w:left w:val="nil"/>
              <w:bottom w:val="nil"/>
              <w:right w:val="nil"/>
            </w:tcBorders>
          </w:tcPr>
          <w:p w14:paraId="4D82E771"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376B490F" w14:textId="7DE9E7CD" w:rsidR="0084406E" w:rsidRPr="0084406E" w:rsidRDefault="0084406E" w:rsidP="008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eastAsia="Times New Roman" w:hAnsi="Palatino Linotype" w:cs="Courier New"/>
                <w:lang w:val="en"/>
              </w:rPr>
            </w:pPr>
            <w:r w:rsidRPr="007756AC">
              <w:rPr>
                <w:rFonts w:ascii="Palatino Linotype" w:eastAsia="Times New Roman" w:hAnsi="Palatino Linotype" w:cs="Courier New"/>
                <w:lang w:val="en"/>
              </w:rPr>
              <w:t>The challenge of 21st century education is the role and strategy in bridging the gap between the educational process in higher education and the world of work and the need for innovation. One of the innovations carried out is implementing OBE-based learning in lectures which will equip students with experiences in accordance with the demands of the teaching profession and managers of community education institutions. This research aims to answer several key questions: what is the process of planning, implementing and evaluating the OBE model in Andragogy courses? What are the challenges faced during implementation? And what solutions are implemented to overcome these obstacles? This research used a qualitative descriptive approach with 57 samples, namely students taking andragogy courses in the department of community education.</w:t>
            </w:r>
            <w:r>
              <w:rPr>
                <w:rFonts w:ascii="Palatino Linotype" w:eastAsia="Times New Roman" w:hAnsi="Palatino Linotype" w:cs="Courier New"/>
                <w:lang w:val="en"/>
              </w:rPr>
              <w:t xml:space="preserve"> </w:t>
            </w:r>
            <w:r>
              <w:rPr>
                <w:rStyle w:val="y2iqfc"/>
                <w:rFonts w:ascii="Palatino Linotype" w:hAnsi="Palatino Linotype"/>
                <w:lang w:val="en"/>
              </w:rPr>
              <w:t>R</w:t>
            </w:r>
            <w:r w:rsidRPr="007756AC">
              <w:rPr>
                <w:rStyle w:val="y2iqfc"/>
                <w:rFonts w:ascii="Palatino Linotype" w:hAnsi="Palatino Linotype"/>
                <w:lang w:val="en"/>
              </w:rPr>
              <w:t>esult; 1) Learning planning creates a Semester learning plan (RPS) referring to study program graduate learning outcomes (CPL) and CPMK (Course Learning Outcomes) adapting to the demands of the teaching profession and managers of community education institutions. Making an Andragogy book based on the CPL Study Program. Implementation of learning is carried out in pre-instructional, instructional and evaluation stages, conducting discussions, feedback and conclusions, presenting material that will be discussed at the next meeting. 2) OBE-based learning applied to andragogy courses found no obstacles. 3) Action will be taken to standardize the methods that have been carried out and return to the planning stage to carry out further process improvements so that there is a continuous cycle of improving the quality of learning. The conclusion of this research is that the OBE-based learning model in the andragogy course in the UNIMED public education department has been implemented using the PDCA cycle.</w:t>
            </w:r>
          </w:p>
          <w:p w14:paraId="31F5ABB9" w14:textId="0C389B96" w:rsidR="0048254D" w:rsidRPr="00E45249" w:rsidRDefault="002B31FD" w:rsidP="00E45249">
            <w:pPr>
              <w:pStyle w:val="Alishlah17abstract"/>
            </w:pPr>
            <w:r w:rsidRPr="002B31FD">
              <w:t>.</w:t>
            </w:r>
          </w:p>
        </w:tc>
      </w:tr>
      <w:tr w:rsidR="0048254D" w:rsidRPr="0048254D" w14:paraId="700F6EED"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CAF08CF"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51F1B8F3" w14:textId="77777777" w:rsidR="0048254D" w:rsidRPr="006A6719" w:rsidRDefault="0048254D" w:rsidP="00E45249">
            <w:pPr>
              <w:pStyle w:val="Alishlah14history"/>
            </w:pPr>
            <w:r w:rsidRPr="006A6719">
              <w:t xml:space="preserve">Received </w:t>
            </w:r>
            <w:r w:rsidR="00FA43FF" w:rsidRPr="00FA43FF">
              <w:t>2021-08-14</w:t>
            </w:r>
          </w:p>
          <w:p w14:paraId="4151349E"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635C7247"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6C9908AC"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45EEAA7E"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1F5F22B" w14:textId="77777777" w:rsidTr="0048254D">
        <w:trPr>
          <w:trHeight w:val="70"/>
          <w:jc w:val="center"/>
        </w:trPr>
        <w:tc>
          <w:tcPr>
            <w:tcW w:w="2787" w:type="dxa"/>
            <w:vMerge/>
            <w:tcBorders>
              <w:top w:val="single" w:sz="4" w:space="0" w:color="auto"/>
              <w:left w:val="nil"/>
              <w:bottom w:val="single" w:sz="4" w:space="0" w:color="auto"/>
              <w:right w:val="nil"/>
            </w:tcBorders>
          </w:tcPr>
          <w:p w14:paraId="1B1F5B0F"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1CF503BA"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7E9CAFAA"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0"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5C0BF655"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6AB0668" wp14:editId="4A21C0D6">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13A865F" w14:textId="77777777" w:rsidTr="0048254D">
        <w:trPr>
          <w:jc w:val="center"/>
        </w:trPr>
        <w:tc>
          <w:tcPr>
            <w:tcW w:w="8845" w:type="dxa"/>
            <w:gridSpan w:val="3"/>
            <w:tcBorders>
              <w:top w:val="nil"/>
              <w:left w:val="nil"/>
              <w:bottom w:val="double" w:sz="4" w:space="0" w:color="auto"/>
              <w:right w:val="nil"/>
            </w:tcBorders>
          </w:tcPr>
          <w:p w14:paraId="63584CE9" w14:textId="77777777" w:rsidR="0048254D" w:rsidRPr="00E45249" w:rsidRDefault="0048254D" w:rsidP="00E45249">
            <w:pPr>
              <w:pStyle w:val="Alishlah16affiliation"/>
              <w:ind w:left="0" w:firstLine="10"/>
              <w:rPr>
                <w:b/>
                <w:bCs/>
              </w:rPr>
            </w:pPr>
            <w:bookmarkStart w:id="1" w:name="_Hlk97159440"/>
            <w:r w:rsidRPr="00E45249">
              <w:rPr>
                <w:b/>
                <w:bCs/>
              </w:rPr>
              <w:lastRenderedPageBreak/>
              <w:t>Corresponding Author</w:t>
            </w:r>
            <w:bookmarkEnd w:id="1"/>
            <w:r w:rsidRPr="00E45249">
              <w:rPr>
                <w:b/>
                <w:bCs/>
              </w:rPr>
              <w:t>:</w:t>
            </w:r>
          </w:p>
          <w:p w14:paraId="4D8B790F" w14:textId="77777777" w:rsidR="00457015" w:rsidRDefault="002B31FD" w:rsidP="00E45249">
            <w:pPr>
              <w:pStyle w:val="Alishlah2authorcorrespondence"/>
            </w:pPr>
            <w:r w:rsidRPr="002B31FD">
              <w:t>First name Last name</w:t>
            </w:r>
            <w:r w:rsidR="00457015" w:rsidRPr="00457015">
              <w:t xml:space="preserve"> </w:t>
            </w:r>
          </w:p>
          <w:p w14:paraId="7AB01C4C" w14:textId="77777777" w:rsidR="0048254D" w:rsidRPr="0048254D" w:rsidRDefault="002B31FD" w:rsidP="00E45249">
            <w:pPr>
              <w:pStyle w:val="Alishlah2authorcorrespondence"/>
            </w:pPr>
            <w:r w:rsidRPr="002B31FD">
              <w:rPr>
                <w:color w:val="auto"/>
                <w:lang w:val="en-GB"/>
              </w:rPr>
              <w:t>Affiliation 1; e-mail@e-mail.com</w:t>
            </w:r>
          </w:p>
        </w:tc>
      </w:tr>
    </w:tbl>
    <w:p w14:paraId="4D41C09B" w14:textId="77777777" w:rsidR="008E64A2" w:rsidRPr="00A75CB1" w:rsidRDefault="0048254D" w:rsidP="00A10E86">
      <w:pPr>
        <w:pStyle w:val="Alishlah21heading1"/>
        <w:rPr>
          <w:lang w:val="en-GB"/>
        </w:rPr>
      </w:pPr>
      <w:r w:rsidRPr="00A75CB1">
        <w:rPr>
          <w:lang w:val="en-GB"/>
        </w:rPr>
        <w:t>INTRODUCTION</w:t>
      </w:r>
    </w:p>
    <w:p w14:paraId="23662428" w14:textId="77777777" w:rsidR="007458EE" w:rsidRDefault="00AD49B2" w:rsidP="0074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
        </w:rPr>
      </w:pPr>
      <w:r>
        <w:rPr>
          <w:rFonts w:ascii="Courier New" w:eastAsia="Times New Roman" w:hAnsi="Courier New" w:cs="Courier New"/>
          <w:sz w:val="20"/>
          <w:szCs w:val="20"/>
          <w:lang w:val="en"/>
        </w:rPr>
        <w:tab/>
      </w:r>
      <w:r w:rsidRPr="00AD49B2">
        <w:rPr>
          <w:rFonts w:ascii="Palatino Linotype" w:eastAsia="Times New Roman" w:hAnsi="Palatino Linotype" w:cs="Courier New"/>
          <w:sz w:val="20"/>
          <w:szCs w:val="20"/>
          <w:lang w:val="en"/>
        </w:rPr>
        <w:t xml:space="preserve">Learning is a set of external events in which there is interaction between educators and students and learning resources in educational institutions. Learning is also referred to as a tool that is given to students to create a process of acquiring knowledge, skills and changing behavior. In the end, education will develop potential and shape human attitudes for the better. </w:t>
      </w:r>
    </w:p>
    <w:p w14:paraId="76C5EA9E" w14:textId="77777777" w:rsidR="007458EE" w:rsidRDefault="007458EE" w:rsidP="0074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hAnsi="Palatino Linotype"/>
          <w:sz w:val="20"/>
          <w:szCs w:val="20"/>
          <w:lang w:val="en"/>
        </w:rPr>
      </w:pPr>
      <w:r>
        <w:rPr>
          <w:rFonts w:ascii="Palatino Linotype" w:eastAsia="Times New Roman" w:hAnsi="Palatino Linotype" w:cs="Courier New"/>
          <w:sz w:val="20"/>
          <w:szCs w:val="20"/>
          <w:lang w:val="en"/>
        </w:rPr>
        <w:tab/>
      </w:r>
      <w:r w:rsidRPr="007458EE">
        <w:rPr>
          <w:rFonts w:ascii="Palatino Linotype" w:hAnsi="Palatino Linotype"/>
          <w:sz w:val="20"/>
          <w:szCs w:val="20"/>
          <w:lang w:val="en"/>
        </w:rPr>
        <w:t>Based on official data from the Central Statistics Agency, unemployment in Indonesia from 2015 to 2019 was more than 7 million people. Trading Economics data shows that judging from the open unemployment rate of 5.34%</w:t>
      </w:r>
      <w:proofErr w:type="gramStart"/>
      <w:r w:rsidRPr="007458EE">
        <w:rPr>
          <w:rFonts w:ascii="Palatino Linotype" w:hAnsi="Palatino Linotype"/>
          <w:sz w:val="20"/>
          <w:szCs w:val="20"/>
          <w:lang w:val="en"/>
        </w:rPr>
        <w:t>,</w:t>
      </w:r>
      <w:proofErr w:type="gramEnd"/>
      <w:r w:rsidRPr="007458EE">
        <w:rPr>
          <w:rFonts w:ascii="Palatino Linotype" w:hAnsi="Palatino Linotype"/>
          <w:sz w:val="20"/>
          <w:szCs w:val="20"/>
          <w:lang w:val="en"/>
        </w:rPr>
        <w:t xml:space="preserve"> Indonesia is in third place among ASEAN countries behind Brunei and the Philippines which have unemployment rate percentages of 9.2% and 5.4% respectively. In 2019, diploma graduates were ranked second in the open unemployment rate with a percentage of 7.92. Apart from that, university graduates who are included in the open unemployment rate in the last four years are even worth more than primary school graduates. This data is supported by data from the Ministry of Education, Culture and Technology in </w:t>
      </w:r>
      <w:proofErr w:type="spellStart"/>
      <w:r w:rsidRPr="007458EE">
        <w:rPr>
          <w:rFonts w:ascii="Palatino Linotype" w:hAnsi="Palatino Linotype"/>
          <w:sz w:val="20"/>
          <w:szCs w:val="20"/>
          <w:lang w:val="en"/>
        </w:rPr>
        <w:t>Munadziroh</w:t>
      </w:r>
      <w:proofErr w:type="spellEnd"/>
      <w:r w:rsidRPr="007458EE">
        <w:rPr>
          <w:rFonts w:ascii="Palatino Linotype" w:hAnsi="Palatino Linotype"/>
          <w:sz w:val="20"/>
          <w:szCs w:val="20"/>
          <w:lang w:val="en"/>
        </w:rPr>
        <w:t>, A., et al (2023) which states that 13.33% of college graduates are still unemployed. There are 884,759 college graduates who will become unemployed in 2022. This data shows that unemployment of undergraduate graduates is problematic for developing countries, one of which is Indonesia, where studying at a university does not guarantee that someone will immediately get a job. BPS 2023 data notes that the 7.99 million unemployed in Indonesia are dominated by bachelor and diploma graduates, around 12 percent of the total. The absence of a link and match between higher education and the job market causes the number of unemployed university graduates to increase.</w:t>
      </w:r>
    </w:p>
    <w:p w14:paraId="01AD4430" w14:textId="77777777" w:rsidR="007458EE" w:rsidRDefault="007458EE" w:rsidP="00A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
        </w:rPr>
      </w:pPr>
      <w:r>
        <w:rPr>
          <w:rFonts w:ascii="Palatino Linotype" w:hAnsi="Palatino Linotype"/>
          <w:sz w:val="20"/>
          <w:szCs w:val="20"/>
          <w:lang w:val="en"/>
        </w:rPr>
        <w:tab/>
      </w:r>
      <w:r w:rsidRPr="007458EE">
        <w:rPr>
          <w:rStyle w:val="y2iqfc"/>
          <w:rFonts w:ascii="Palatino Linotype" w:hAnsi="Palatino Linotype"/>
          <w:sz w:val="20"/>
          <w:szCs w:val="20"/>
          <w:lang w:val="en"/>
        </w:rPr>
        <w:t xml:space="preserve">Research by </w:t>
      </w:r>
      <w:proofErr w:type="spellStart"/>
      <w:r w:rsidRPr="007458EE">
        <w:rPr>
          <w:rStyle w:val="y2iqfc"/>
          <w:rFonts w:ascii="Palatino Linotype" w:hAnsi="Palatino Linotype"/>
          <w:sz w:val="20"/>
          <w:szCs w:val="20"/>
          <w:lang w:val="en"/>
        </w:rPr>
        <w:t>Urtalina</w:t>
      </w:r>
      <w:proofErr w:type="spellEnd"/>
      <w:r w:rsidRPr="007458EE">
        <w:rPr>
          <w:rStyle w:val="y2iqfc"/>
          <w:rFonts w:ascii="Palatino Linotype" w:hAnsi="Palatino Linotype"/>
          <w:sz w:val="20"/>
          <w:szCs w:val="20"/>
          <w:lang w:val="en"/>
        </w:rPr>
        <w:t xml:space="preserve"> and </w:t>
      </w:r>
      <w:proofErr w:type="spellStart"/>
      <w:r w:rsidRPr="007458EE">
        <w:rPr>
          <w:rStyle w:val="y2iqfc"/>
          <w:rFonts w:ascii="Palatino Linotype" w:hAnsi="Palatino Linotype"/>
          <w:sz w:val="20"/>
          <w:szCs w:val="20"/>
          <w:lang w:val="en"/>
        </w:rPr>
        <w:t>Sudibia</w:t>
      </w:r>
      <w:proofErr w:type="spellEnd"/>
      <w:r w:rsidRPr="007458EE">
        <w:rPr>
          <w:rStyle w:val="y2iqfc"/>
          <w:rFonts w:ascii="Palatino Linotype" w:hAnsi="Palatino Linotype"/>
          <w:sz w:val="20"/>
          <w:szCs w:val="20"/>
          <w:lang w:val="en"/>
        </w:rPr>
        <w:t>, I (2019) states that the high level of open unemployment for diploma and undergraduate graduates is due to a lack of harmony between educational planning and available job opportunities. Added to this is the fact that the higher the level of education a worker has, the higher their motivation to obtain a more suitable position or job opportunity, so they tend to be more selective in choosing a job. On the other hand, the skills possessed by graduates do not match those required by the world of work.</w:t>
      </w:r>
    </w:p>
    <w:p w14:paraId="0C547B96" w14:textId="5C832610" w:rsidR="00AD49B2" w:rsidRPr="007458EE" w:rsidRDefault="007458EE" w:rsidP="00A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
        </w:rPr>
      </w:pPr>
      <w:r>
        <w:rPr>
          <w:rFonts w:ascii="Palatino Linotype" w:eastAsia="Times New Roman" w:hAnsi="Palatino Linotype" w:cs="Courier New"/>
          <w:sz w:val="20"/>
          <w:szCs w:val="20"/>
          <w:lang w:val="en"/>
        </w:rPr>
        <w:tab/>
      </w:r>
      <w:r w:rsidR="00AD49B2" w:rsidRPr="00AD49B2">
        <w:rPr>
          <w:rFonts w:ascii="Palatino Linotype" w:eastAsia="Times New Roman" w:hAnsi="Palatino Linotype" w:cs="Courier New"/>
          <w:sz w:val="20"/>
          <w:szCs w:val="20"/>
          <w:lang w:val="en"/>
        </w:rPr>
        <w:t xml:space="preserve">To achieve educational goals, continuous improvement is carried out. The rapidly growing use of technology and production of innovation has created a gap between the world of education and the need for human resources in the world of work and industry. The challenge of 21st century education is the role and strategy in bridging the gap between the educational process in higher education and the world of work and the need for innovation. One approach used to accommodate 21st century education is Outcome-Based Education (OBE). </w:t>
      </w:r>
      <w:proofErr w:type="spellStart"/>
      <w:r w:rsidR="00AD49B2" w:rsidRPr="00AD49B2">
        <w:rPr>
          <w:rFonts w:ascii="Palatino Linotype" w:eastAsia="Times New Roman" w:hAnsi="Palatino Linotype" w:cs="Courier New"/>
          <w:sz w:val="20"/>
          <w:szCs w:val="20"/>
          <w:lang w:val="en"/>
        </w:rPr>
        <w:t>Wahyudi</w:t>
      </w:r>
      <w:proofErr w:type="spellEnd"/>
      <w:r w:rsidR="00AD49B2" w:rsidRPr="00AD49B2">
        <w:rPr>
          <w:rFonts w:ascii="Palatino Linotype" w:eastAsia="Times New Roman" w:hAnsi="Palatino Linotype" w:cs="Courier New"/>
          <w:sz w:val="20"/>
          <w:szCs w:val="20"/>
          <w:lang w:val="en"/>
        </w:rPr>
        <w:t xml:space="preserve"> (2018) states that in OBE learning outcomes are identified first, learning planning and assessment will be adjusted to the outcomes. This is what differentiates it from traditional learning where the topic to be taught is determined by the lecturer. From this topic the outcomes will be identified.</w:t>
      </w:r>
    </w:p>
    <w:p w14:paraId="7AAF419B" w14:textId="6EAAF3E6" w:rsidR="00AD49B2" w:rsidRPr="00AD49B2" w:rsidRDefault="00AD49B2" w:rsidP="00A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US"/>
        </w:rPr>
      </w:pPr>
      <w:r>
        <w:rPr>
          <w:rFonts w:ascii="Palatino Linotype" w:eastAsia="Times New Roman" w:hAnsi="Palatino Linotype" w:cs="Courier New"/>
          <w:sz w:val="20"/>
          <w:szCs w:val="20"/>
          <w:lang w:val="en-US"/>
        </w:rPr>
        <w:tab/>
      </w:r>
      <w:r w:rsidRPr="00AD49B2">
        <w:rPr>
          <w:rFonts w:ascii="Palatino Linotype" w:eastAsia="Times New Roman" w:hAnsi="Palatino Linotype" w:cs="Courier New"/>
          <w:sz w:val="20"/>
          <w:szCs w:val="20"/>
          <w:lang w:val="en"/>
        </w:rPr>
        <w:t xml:space="preserve">At Department of community Education, Medan State University (UNIMED), the Andragogy course is one of the core courses designed to equip students with understanding and skills in educating adults. Andragogy, introduced by Malcolm Knowles in the 1970s, emphasizes that the learning process of adults differs significantly from that of children (Knowles, 1984). Adults have learning needs that are more independent and relevant to their life experiences. Therefore, the approach used must be contextual and applicable, which can be answered through the application of an OBE-based learning model. A number of previous studies have examined the effectiveness of OBE in various educational contexts. For example, a study by Biggs and Tang (2011) shows that OBE can improve student learning outcomes in a more measurable and targeted way. In addition, according to Harden (2007), the implementation of OBE in medical education has succeeded in significantly improving students' clinical abilities. However, research that specifically explores the application of </w:t>
      </w:r>
      <w:r w:rsidRPr="00AD49B2">
        <w:rPr>
          <w:rFonts w:ascii="Palatino Linotype" w:eastAsia="Times New Roman" w:hAnsi="Palatino Linotype" w:cs="Courier New"/>
          <w:sz w:val="20"/>
          <w:szCs w:val="20"/>
          <w:lang w:val="en"/>
        </w:rPr>
        <w:lastRenderedPageBreak/>
        <w:t>OBE in andragogy education in community education contexts is still limited. This shows that there is a research gap that needs to be filled to understand more deeply how OBE can be implemented effectively in Andragogy courses, especially in the UNIMED Department of Community Education. The main aim of this research is to explore and analyze the implementation of the OBE-based learning model in the Andragogy course at the UNIMED Department of Public Education. This research aims to answer several key questions: what is the process of planning, implementing and evaluating the OBE model in Andragogy courses? What are the challenges faced during implementation? And what solutions are implemented to overcome these obstacles? Thus, this research not only focuses on the implementation process but also on the results and impacts of implementing the OBE model.</w:t>
      </w:r>
    </w:p>
    <w:p w14:paraId="7DE42CE7" w14:textId="689B8B88" w:rsidR="00AD49B2" w:rsidRPr="00AD49B2" w:rsidRDefault="00AD49B2" w:rsidP="00A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US"/>
        </w:rPr>
      </w:pPr>
      <w:r>
        <w:rPr>
          <w:rFonts w:ascii="Palatino Linotype" w:eastAsia="Times New Roman" w:hAnsi="Palatino Linotype" w:cs="Courier New"/>
          <w:sz w:val="20"/>
          <w:szCs w:val="20"/>
          <w:lang w:val="en"/>
        </w:rPr>
        <w:tab/>
        <w:t>T</w:t>
      </w:r>
      <w:r w:rsidRPr="00AD49B2">
        <w:rPr>
          <w:rFonts w:ascii="Palatino Linotype" w:eastAsia="Times New Roman" w:hAnsi="Palatino Linotype" w:cs="Courier New"/>
          <w:sz w:val="20"/>
          <w:szCs w:val="20"/>
          <w:lang w:val="en"/>
        </w:rPr>
        <w:t>he results of this research will provide in-depth insight into best practices and areas that need improvement in the application of OBE in Andragogy courses. In addition, it is hoped that the findings of this research will contribute to the existing literature on OBE and andragogy, as well as provide practical recommendations for other educational institutions planning to adopt a similar approach. The utility of this research is multifaceted. From an academic perspective, this research will enrich the literature review on OBE and andragogy, by providing empirical evidence from implementation in the field. From a practical perspective, the results of this research will provide guidance for lecturers and community education program managers in designing and implementing learning models that are more effective and relevant to student needs. Finally, from a policy perspective, the findings of this research can help education policy makers in formulating more appropriate strategies to improve the quality of higher education, especially in the context of community education and adult learning. Thus, it is hoped that this research can make a significant contribution in improving the quality of education in the UNIMED Department of Community Education, as well as strengthening the role of higher education in preparing graduates who are competent and ready to face global challenges.</w:t>
      </w:r>
    </w:p>
    <w:p w14:paraId="6E86C8D5" w14:textId="3771978A" w:rsidR="005B5AEC" w:rsidRPr="00605193" w:rsidRDefault="005B5AEC" w:rsidP="005B5AEC">
      <w:pPr>
        <w:pStyle w:val="Alishlah31text"/>
        <w:rPr>
          <w:rFonts w:eastAsia="SimSun"/>
          <w:spacing w:val="-2"/>
          <w:lang w:val="en-ID" w:eastAsia="zh-CN"/>
        </w:rPr>
      </w:pPr>
    </w:p>
    <w:p w14:paraId="2322B74C" w14:textId="77777777" w:rsidR="005B5AEC" w:rsidRPr="00723B12" w:rsidRDefault="005B5AEC" w:rsidP="005B5AEC">
      <w:pPr>
        <w:pStyle w:val="Alishlah21heading1"/>
        <w:rPr>
          <w:rFonts w:eastAsia="Arial"/>
        </w:rPr>
      </w:pPr>
      <w:r w:rsidRPr="00723B12">
        <w:rPr>
          <w:rFonts w:eastAsia="Arial"/>
        </w:rPr>
        <w:t xml:space="preserve">METHODS </w:t>
      </w:r>
    </w:p>
    <w:p w14:paraId="4C8F658D" w14:textId="45F704D0" w:rsidR="00AD49B2" w:rsidRPr="00AD49B2" w:rsidRDefault="00AD49B2" w:rsidP="00A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
        </w:rPr>
      </w:pPr>
      <w:r>
        <w:rPr>
          <w:rFonts w:ascii="Palatino Linotype" w:eastAsia="Times New Roman" w:hAnsi="Palatino Linotype" w:cs="Courier New"/>
          <w:sz w:val="20"/>
          <w:szCs w:val="20"/>
          <w:lang w:val="en"/>
        </w:rPr>
        <w:tab/>
      </w:r>
      <w:r w:rsidRPr="00AD49B2">
        <w:rPr>
          <w:rFonts w:ascii="Palatino Linotype" w:eastAsia="Times New Roman" w:hAnsi="Palatino Linotype" w:cs="Courier New"/>
          <w:sz w:val="20"/>
          <w:szCs w:val="20"/>
          <w:lang w:val="en"/>
        </w:rPr>
        <w:t>This research uses a qualitative descriptive approach because this research aims to gain an in-depth understanding of the implementation of the OBE-based learning model in Andragogy courses. This approach allows researchers to explore the experiences, perceptions and views of participants in detail and contextually.</w:t>
      </w:r>
    </w:p>
    <w:p w14:paraId="3437C34A" w14:textId="308085B1" w:rsidR="00AD49B2" w:rsidRPr="00AD49B2" w:rsidRDefault="00AD49B2" w:rsidP="00AD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Pr>
          <w:rFonts w:ascii="Palatino Linotype" w:eastAsia="Times New Roman" w:hAnsi="Palatino Linotype" w:cs="Courier New"/>
          <w:sz w:val="20"/>
          <w:szCs w:val="20"/>
          <w:lang w:val="en"/>
        </w:rPr>
        <w:tab/>
      </w:r>
      <w:r w:rsidRPr="00AD49B2">
        <w:rPr>
          <w:rFonts w:ascii="Palatino Linotype" w:eastAsia="Times New Roman" w:hAnsi="Palatino Linotype" w:cs="Courier New"/>
          <w:sz w:val="20"/>
          <w:szCs w:val="20"/>
          <w:lang w:val="en"/>
        </w:rPr>
        <w:t xml:space="preserve">The </w:t>
      </w:r>
      <w:proofErr w:type="gramStart"/>
      <w:r w:rsidRPr="00AD49B2">
        <w:rPr>
          <w:rFonts w:ascii="Palatino Linotype" w:eastAsia="Times New Roman" w:hAnsi="Palatino Linotype" w:cs="Courier New"/>
          <w:sz w:val="20"/>
          <w:szCs w:val="20"/>
          <w:lang w:val="en"/>
        </w:rPr>
        <w:t>population in this study were</w:t>
      </w:r>
      <w:proofErr w:type="gramEnd"/>
      <w:r w:rsidRPr="00AD49B2">
        <w:rPr>
          <w:rFonts w:ascii="Palatino Linotype" w:eastAsia="Times New Roman" w:hAnsi="Palatino Linotype" w:cs="Courier New"/>
          <w:sz w:val="20"/>
          <w:szCs w:val="20"/>
          <w:lang w:val="en"/>
        </w:rPr>
        <w:t xml:space="preserve"> all students taking andragogy courses, namely 57 students. The sampling technique uses saturated sampling (census). According to </w:t>
      </w:r>
      <w:proofErr w:type="spellStart"/>
      <w:r w:rsidRPr="00AD49B2">
        <w:rPr>
          <w:rFonts w:ascii="Palatino Linotype" w:eastAsia="Times New Roman" w:hAnsi="Palatino Linotype" w:cs="Courier New"/>
          <w:sz w:val="20"/>
          <w:szCs w:val="20"/>
          <w:lang w:val="en"/>
        </w:rPr>
        <w:t>Arikunto</w:t>
      </w:r>
      <w:proofErr w:type="spellEnd"/>
      <w:r w:rsidRPr="00AD49B2">
        <w:rPr>
          <w:rFonts w:ascii="Palatino Linotype" w:eastAsia="Times New Roman" w:hAnsi="Palatino Linotype" w:cs="Courier New"/>
          <w:sz w:val="20"/>
          <w:szCs w:val="20"/>
          <w:lang w:val="en"/>
        </w:rPr>
        <w:t xml:space="preserve"> (2019, p. 104) if the population is less than 100 people, then the sample should be taken as a whole (use population), but if the population is greater than 100 people, then a sample of 10-15% or 20-25% can be taken. </w:t>
      </w:r>
      <w:proofErr w:type="gramStart"/>
      <w:r w:rsidRPr="00AD49B2">
        <w:rPr>
          <w:rFonts w:ascii="Palatino Linotype" w:eastAsia="Times New Roman" w:hAnsi="Palatino Linotype" w:cs="Courier New"/>
          <w:sz w:val="20"/>
          <w:szCs w:val="20"/>
          <w:lang w:val="en"/>
        </w:rPr>
        <w:t>of</w:t>
      </w:r>
      <w:proofErr w:type="gramEnd"/>
      <w:r w:rsidRPr="00AD49B2">
        <w:rPr>
          <w:rFonts w:ascii="Palatino Linotype" w:eastAsia="Times New Roman" w:hAnsi="Palatino Linotype" w:cs="Courier New"/>
          <w:sz w:val="20"/>
          <w:szCs w:val="20"/>
          <w:lang w:val="en"/>
        </w:rPr>
        <w:t xml:space="preserve"> its population. Determination of the overall sample was based on the needs and obligations of each student in taking andragogy as a mandatory major subject. Therefore, the involvement of all students who take this andragogy course is a sample to obtain the required data. Data collection techniques used questionnaires, in-depth interviews, class observations and documentation. Data processing uses percentages to provide a clear picture of changes in student learning outcomes in OBE-based Andragogy courses at Medan State University</w:t>
      </w:r>
      <w:r w:rsidRPr="00AD49B2">
        <w:rPr>
          <w:rFonts w:ascii="Courier New" w:eastAsia="Times New Roman" w:hAnsi="Courier New" w:cs="Courier New"/>
          <w:sz w:val="20"/>
          <w:szCs w:val="20"/>
          <w:lang w:val="en"/>
        </w:rPr>
        <w:t>.</w:t>
      </w:r>
    </w:p>
    <w:p w14:paraId="1FCF623E" w14:textId="77777777" w:rsidR="00AD49B2" w:rsidRDefault="00AD49B2" w:rsidP="00A90123">
      <w:pPr>
        <w:pStyle w:val="Alishlah31text"/>
        <w:rPr>
          <w:rFonts w:cs="Segoe UI"/>
          <w:color w:val="0D0D0D"/>
          <w:shd w:val="clear" w:color="auto" w:fill="FFFFFF"/>
        </w:rPr>
      </w:pPr>
    </w:p>
    <w:p w14:paraId="48EA2CE5" w14:textId="77777777" w:rsidR="005B5AEC" w:rsidRPr="00723B12" w:rsidRDefault="005B5AEC" w:rsidP="000F3189">
      <w:pPr>
        <w:pStyle w:val="Alishlah21heading1"/>
        <w:spacing w:before="0" w:after="0"/>
        <w:rPr>
          <w:rFonts w:eastAsia="Arial"/>
        </w:rPr>
      </w:pPr>
      <w:r>
        <w:rPr>
          <w:rFonts w:eastAsia="Arial"/>
        </w:rPr>
        <w:t xml:space="preserve">FINDINGS </w:t>
      </w:r>
      <w:r w:rsidRPr="00723B12">
        <w:rPr>
          <w:rFonts w:eastAsia="Arial"/>
        </w:rPr>
        <w:t>AND DISCUSSION</w:t>
      </w:r>
    </w:p>
    <w:p w14:paraId="69C018E5" w14:textId="4D8A040A" w:rsidR="00D04944" w:rsidRDefault="00AD49B2" w:rsidP="000F3189">
      <w:pPr>
        <w:pStyle w:val="HTMLPreformatted"/>
        <w:jc w:val="both"/>
        <w:rPr>
          <w:rFonts w:ascii="Palatino Linotype" w:hAnsi="Palatino Linotype"/>
          <w:lang w:val="en"/>
        </w:rPr>
      </w:pPr>
      <w:r>
        <w:tab/>
      </w:r>
      <w:r w:rsidRPr="00AD49B2">
        <w:rPr>
          <w:rFonts w:ascii="Palatino Linotype" w:hAnsi="Palatino Linotype"/>
          <w:lang w:val="en"/>
        </w:rPr>
        <w:t>Implementing OBE-based learning is one way that emphasizes innovative, interactive and effective learning so that learning outcomes can be met in the realm of knowledge, skills and attitudes. Based on the questionnaire given to the research sample, the following data was obtained;</w:t>
      </w:r>
    </w:p>
    <w:p w14:paraId="602AB0D4" w14:textId="77777777" w:rsidR="000F3189" w:rsidRDefault="000F3189" w:rsidP="000F3189">
      <w:pPr>
        <w:pStyle w:val="HTMLPreformatted"/>
        <w:jc w:val="both"/>
        <w:rPr>
          <w:rFonts w:ascii="Palatino Linotype" w:hAnsi="Palatino Linotype"/>
          <w:lang w:val="en"/>
        </w:rPr>
      </w:pPr>
    </w:p>
    <w:p w14:paraId="60CE9778" w14:textId="77777777" w:rsidR="000F3189" w:rsidRDefault="000F3189" w:rsidP="000F3189">
      <w:pPr>
        <w:pStyle w:val="HTMLPreformatted"/>
        <w:jc w:val="both"/>
        <w:rPr>
          <w:rFonts w:ascii="Palatino Linotype" w:hAnsi="Palatino Linotype"/>
          <w:lang w:val="en"/>
        </w:rPr>
      </w:pPr>
    </w:p>
    <w:p w14:paraId="7095CA5B" w14:textId="77777777" w:rsidR="000F3189" w:rsidRPr="00AD49B2" w:rsidRDefault="000F3189" w:rsidP="000F3189">
      <w:pPr>
        <w:pStyle w:val="HTMLPreformatted"/>
        <w:jc w:val="both"/>
        <w:rPr>
          <w:rFonts w:ascii="Palatino Linotype" w:hAnsi="Palatino Linotype"/>
        </w:rPr>
      </w:pPr>
    </w:p>
    <w:p w14:paraId="3FE8B3AE" w14:textId="77777777" w:rsidR="00D04944" w:rsidRDefault="00D04944" w:rsidP="00D04944">
      <w:pPr>
        <w:pStyle w:val="Alishlah31text"/>
      </w:pPr>
    </w:p>
    <w:p w14:paraId="391921B4" w14:textId="26B9C96C" w:rsidR="006148DF" w:rsidRDefault="006148DF" w:rsidP="00AD49B2">
      <w:pPr>
        <w:pStyle w:val="HTMLPreformatted"/>
      </w:pPr>
      <w:proofErr w:type="spellStart"/>
      <w:proofErr w:type="gramStart"/>
      <w:r w:rsidRPr="00F4453E">
        <w:rPr>
          <w:rFonts w:ascii="Palatino Linotype" w:hAnsi="Palatino Linotype"/>
        </w:rPr>
        <w:lastRenderedPageBreak/>
        <w:t>Tabel</w:t>
      </w:r>
      <w:proofErr w:type="spellEnd"/>
      <w:r w:rsidRPr="00F4453E">
        <w:rPr>
          <w:rFonts w:ascii="Palatino Linotype" w:hAnsi="Palatino Linotype"/>
        </w:rPr>
        <w:t xml:space="preserve"> </w:t>
      </w:r>
      <w:r>
        <w:t>1.</w:t>
      </w:r>
      <w:proofErr w:type="gramEnd"/>
      <w:r>
        <w:t xml:space="preserve"> </w:t>
      </w:r>
      <w:r w:rsidR="00AD49B2">
        <w:rPr>
          <w:rFonts w:ascii="Times New Roman" w:hAnsi="Times New Roman"/>
        </w:rPr>
        <w:t>Distribution of</w:t>
      </w:r>
      <w:r w:rsidR="00AD49B2" w:rsidRPr="00AD49B2">
        <w:rPr>
          <w:rFonts w:ascii="Palatino Linotype" w:hAnsi="Palatino Linotype"/>
          <w:lang w:val="en"/>
        </w:rPr>
        <w:t xml:space="preserve"> implementation of OBE-based learning models</w:t>
      </w:r>
    </w:p>
    <w:tbl>
      <w:tblPr>
        <w:tblStyle w:val="TableGrid"/>
        <w:tblW w:w="921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1"/>
        <w:gridCol w:w="1290"/>
        <w:gridCol w:w="1291"/>
        <w:gridCol w:w="3962"/>
        <w:gridCol w:w="1276"/>
        <w:gridCol w:w="889"/>
      </w:tblGrid>
      <w:tr w:rsidR="006148DF" w:rsidRPr="00042182" w14:paraId="01DD97CA" w14:textId="77777777" w:rsidTr="006148DF">
        <w:trPr>
          <w:trHeight w:val="562"/>
        </w:trPr>
        <w:tc>
          <w:tcPr>
            <w:tcW w:w="511" w:type="dxa"/>
          </w:tcPr>
          <w:p w14:paraId="20495E48" w14:textId="77777777" w:rsidR="006148DF" w:rsidRPr="00042182" w:rsidRDefault="006148DF" w:rsidP="006E4C06">
            <w:pPr>
              <w:jc w:val="center"/>
              <w:rPr>
                <w:rFonts w:ascii="Palatino Linotype" w:hAnsi="Palatino Linotype"/>
                <w:b/>
              </w:rPr>
            </w:pPr>
            <w:r w:rsidRPr="00042182">
              <w:rPr>
                <w:rFonts w:ascii="Palatino Linotype" w:hAnsi="Palatino Linotype"/>
                <w:b/>
              </w:rPr>
              <w:t>No</w:t>
            </w:r>
          </w:p>
        </w:tc>
        <w:tc>
          <w:tcPr>
            <w:tcW w:w="1290" w:type="dxa"/>
          </w:tcPr>
          <w:p w14:paraId="39B2B89D" w14:textId="67134044" w:rsidR="006148DF" w:rsidRPr="00042182" w:rsidRDefault="00AD49B2" w:rsidP="006E4C06">
            <w:pPr>
              <w:jc w:val="center"/>
              <w:rPr>
                <w:rFonts w:ascii="Palatino Linotype" w:hAnsi="Palatino Linotype"/>
                <w:b/>
              </w:rPr>
            </w:pPr>
            <w:r w:rsidRPr="00042182">
              <w:rPr>
                <w:rFonts w:ascii="Palatino Linotype" w:hAnsi="Palatino Linotype"/>
                <w:b/>
              </w:rPr>
              <w:t>Indic</w:t>
            </w:r>
            <w:r w:rsidR="006148DF" w:rsidRPr="00042182">
              <w:rPr>
                <w:rFonts w:ascii="Palatino Linotype" w:hAnsi="Palatino Linotype"/>
                <w:b/>
              </w:rPr>
              <w:t>ator</w:t>
            </w:r>
          </w:p>
        </w:tc>
        <w:tc>
          <w:tcPr>
            <w:tcW w:w="1291" w:type="dxa"/>
          </w:tcPr>
          <w:p w14:paraId="18612B51" w14:textId="0B330B66" w:rsidR="006148DF" w:rsidRPr="00042182" w:rsidRDefault="00AD49B2" w:rsidP="006E4C06">
            <w:pPr>
              <w:jc w:val="center"/>
              <w:rPr>
                <w:rFonts w:ascii="Palatino Linotype" w:hAnsi="Palatino Linotype"/>
                <w:b/>
              </w:rPr>
            </w:pPr>
            <w:r w:rsidRPr="00042182">
              <w:rPr>
                <w:rFonts w:ascii="Palatino Linotype" w:hAnsi="Palatino Linotype"/>
                <w:b/>
              </w:rPr>
              <w:t>Sub Indic</w:t>
            </w:r>
            <w:r w:rsidR="006148DF" w:rsidRPr="00042182">
              <w:rPr>
                <w:rFonts w:ascii="Palatino Linotype" w:hAnsi="Palatino Linotype"/>
                <w:b/>
              </w:rPr>
              <w:t>ator</w:t>
            </w:r>
          </w:p>
        </w:tc>
        <w:tc>
          <w:tcPr>
            <w:tcW w:w="3962" w:type="dxa"/>
          </w:tcPr>
          <w:p w14:paraId="62C77274" w14:textId="7888D22C" w:rsidR="006148DF" w:rsidRPr="00042182" w:rsidRDefault="00AD49B2" w:rsidP="006E4C06">
            <w:pPr>
              <w:jc w:val="center"/>
              <w:rPr>
                <w:rFonts w:ascii="Palatino Linotype" w:hAnsi="Palatino Linotype"/>
                <w:b/>
              </w:rPr>
            </w:pPr>
            <w:r w:rsidRPr="00042182">
              <w:rPr>
                <w:rFonts w:ascii="Palatino Linotype" w:hAnsi="Palatino Linotype"/>
                <w:b/>
              </w:rPr>
              <w:t>Question</w:t>
            </w:r>
          </w:p>
        </w:tc>
        <w:tc>
          <w:tcPr>
            <w:tcW w:w="1276" w:type="dxa"/>
          </w:tcPr>
          <w:p w14:paraId="187EB68B" w14:textId="5F686D3C" w:rsidR="006148DF" w:rsidRPr="00042182" w:rsidRDefault="00AD49B2" w:rsidP="006E4C06">
            <w:pPr>
              <w:ind w:left="-108"/>
              <w:jc w:val="center"/>
              <w:rPr>
                <w:rFonts w:ascii="Palatino Linotype" w:hAnsi="Palatino Linotype"/>
                <w:b/>
              </w:rPr>
            </w:pPr>
            <w:r w:rsidRPr="00042182">
              <w:rPr>
                <w:rFonts w:ascii="Palatino Linotype" w:hAnsi="Palatino Linotype"/>
                <w:b/>
              </w:rPr>
              <w:t>Percentage</w:t>
            </w:r>
          </w:p>
        </w:tc>
        <w:tc>
          <w:tcPr>
            <w:tcW w:w="889" w:type="dxa"/>
          </w:tcPr>
          <w:p w14:paraId="502DA346" w14:textId="78C86091" w:rsidR="006148DF" w:rsidRPr="00042182" w:rsidRDefault="00AD49B2" w:rsidP="006E4C06">
            <w:pPr>
              <w:jc w:val="center"/>
              <w:rPr>
                <w:rFonts w:ascii="Palatino Linotype" w:hAnsi="Palatino Linotype"/>
                <w:b/>
              </w:rPr>
            </w:pPr>
            <w:r w:rsidRPr="00042182">
              <w:rPr>
                <w:rFonts w:ascii="Palatino Linotype" w:hAnsi="Palatino Linotype"/>
                <w:b/>
              </w:rPr>
              <w:t>Result</w:t>
            </w:r>
          </w:p>
        </w:tc>
      </w:tr>
      <w:tr w:rsidR="006148DF" w:rsidRPr="00042182" w14:paraId="3F2D3395" w14:textId="77777777" w:rsidTr="006148DF">
        <w:tc>
          <w:tcPr>
            <w:tcW w:w="511" w:type="dxa"/>
            <w:vMerge w:val="restart"/>
          </w:tcPr>
          <w:p w14:paraId="2D14CE51" w14:textId="77777777" w:rsidR="006148DF" w:rsidRPr="00042182" w:rsidRDefault="006148DF" w:rsidP="006E4C06">
            <w:pPr>
              <w:rPr>
                <w:rFonts w:ascii="Palatino Linotype" w:hAnsi="Palatino Linotype"/>
                <w:color w:val="000000" w:themeColor="text1"/>
              </w:rPr>
            </w:pPr>
            <w:r w:rsidRPr="00042182">
              <w:rPr>
                <w:rFonts w:ascii="Palatino Linotype" w:hAnsi="Palatino Linotype"/>
                <w:color w:val="000000" w:themeColor="text1"/>
              </w:rPr>
              <w:t>1.</w:t>
            </w:r>
          </w:p>
        </w:tc>
        <w:tc>
          <w:tcPr>
            <w:tcW w:w="1290" w:type="dxa"/>
            <w:vMerge w:val="restart"/>
          </w:tcPr>
          <w:p w14:paraId="4FA2BD1E" w14:textId="77777777" w:rsidR="00042182"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Learning objectives</w:t>
            </w:r>
          </w:p>
          <w:p w14:paraId="123BBA2B" w14:textId="6B2A44EA" w:rsidR="006148DF" w:rsidRPr="00042182" w:rsidRDefault="006148DF" w:rsidP="006E4C06">
            <w:pPr>
              <w:rPr>
                <w:rFonts w:ascii="Palatino Linotype" w:hAnsi="Palatino Linotype"/>
                <w:color w:val="000000" w:themeColor="text1"/>
              </w:rPr>
            </w:pPr>
          </w:p>
        </w:tc>
        <w:tc>
          <w:tcPr>
            <w:tcW w:w="1291" w:type="dxa"/>
          </w:tcPr>
          <w:p w14:paraId="1861CBB4" w14:textId="725C3206"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Attitude</w:t>
            </w:r>
          </w:p>
        </w:tc>
        <w:tc>
          <w:tcPr>
            <w:tcW w:w="3962" w:type="dxa"/>
          </w:tcPr>
          <w:p w14:paraId="7AD08830" w14:textId="53DAAFDF"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Learning begins by reading a prayer according to the student's beliefs</w:t>
            </w:r>
          </w:p>
        </w:tc>
        <w:tc>
          <w:tcPr>
            <w:tcW w:w="1276" w:type="dxa"/>
          </w:tcPr>
          <w:p w14:paraId="2D058470"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61,7%</w:t>
            </w:r>
          </w:p>
        </w:tc>
        <w:tc>
          <w:tcPr>
            <w:tcW w:w="889" w:type="dxa"/>
          </w:tcPr>
          <w:p w14:paraId="47B67ED9" w14:textId="29B6EEE0" w:rsidR="006148DF" w:rsidRPr="00042182" w:rsidRDefault="00AD49B2" w:rsidP="006E4C06">
            <w:pPr>
              <w:rPr>
                <w:rFonts w:ascii="Palatino Linotype" w:hAnsi="Palatino Linotype"/>
                <w:bCs/>
                <w:color w:val="000000" w:themeColor="text1"/>
              </w:rPr>
            </w:pPr>
            <w:r w:rsidRPr="00042182">
              <w:rPr>
                <w:rFonts w:ascii="Palatino Linotype" w:hAnsi="Palatino Linotype"/>
                <w:bCs/>
                <w:color w:val="000000" w:themeColor="text1"/>
              </w:rPr>
              <w:t>agree</w:t>
            </w:r>
          </w:p>
        </w:tc>
      </w:tr>
      <w:tr w:rsidR="006148DF" w:rsidRPr="00042182" w14:paraId="3224AF37" w14:textId="77777777" w:rsidTr="006148DF">
        <w:tc>
          <w:tcPr>
            <w:tcW w:w="511" w:type="dxa"/>
            <w:vMerge/>
          </w:tcPr>
          <w:p w14:paraId="4420B26C" w14:textId="77777777" w:rsidR="006148DF" w:rsidRPr="00042182" w:rsidRDefault="006148DF" w:rsidP="006E4C06">
            <w:pPr>
              <w:rPr>
                <w:rFonts w:ascii="Palatino Linotype" w:hAnsi="Palatino Linotype"/>
                <w:color w:val="000000" w:themeColor="text1"/>
              </w:rPr>
            </w:pPr>
          </w:p>
        </w:tc>
        <w:tc>
          <w:tcPr>
            <w:tcW w:w="1290" w:type="dxa"/>
            <w:vMerge/>
          </w:tcPr>
          <w:p w14:paraId="3569A42A" w14:textId="77777777" w:rsidR="006148DF" w:rsidRPr="00042182" w:rsidRDefault="006148DF" w:rsidP="006E4C06">
            <w:pPr>
              <w:rPr>
                <w:rFonts w:ascii="Palatino Linotype" w:hAnsi="Palatino Linotype"/>
                <w:color w:val="000000" w:themeColor="text1"/>
              </w:rPr>
            </w:pPr>
          </w:p>
        </w:tc>
        <w:tc>
          <w:tcPr>
            <w:tcW w:w="1291" w:type="dxa"/>
          </w:tcPr>
          <w:p w14:paraId="30CBAB50" w14:textId="1904DB91"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Knowledge</w:t>
            </w:r>
          </w:p>
        </w:tc>
        <w:tc>
          <w:tcPr>
            <w:tcW w:w="3962" w:type="dxa"/>
          </w:tcPr>
          <w:p w14:paraId="1077DD8E" w14:textId="0BAB5C7B"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Have a scientific basis for andragogy in lecture classes before practicing it in society</w:t>
            </w:r>
          </w:p>
        </w:tc>
        <w:tc>
          <w:tcPr>
            <w:tcW w:w="1276" w:type="dxa"/>
          </w:tcPr>
          <w:p w14:paraId="617B3A9E"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83%</w:t>
            </w:r>
          </w:p>
        </w:tc>
        <w:tc>
          <w:tcPr>
            <w:tcW w:w="889" w:type="dxa"/>
          </w:tcPr>
          <w:p w14:paraId="4F84BBC7" w14:textId="1CEA8BAA" w:rsidR="006148DF" w:rsidRPr="00042182" w:rsidRDefault="00AD49B2" w:rsidP="006E4C06">
            <w:pPr>
              <w:rPr>
                <w:rFonts w:ascii="Palatino Linotype" w:hAnsi="Palatino Linotype"/>
                <w:bCs/>
                <w:color w:val="000000" w:themeColor="text1"/>
              </w:rPr>
            </w:pPr>
            <w:r w:rsidRPr="00042182">
              <w:rPr>
                <w:rFonts w:ascii="Palatino Linotype" w:hAnsi="Palatino Linotype"/>
                <w:bCs/>
                <w:color w:val="000000" w:themeColor="text1"/>
              </w:rPr>
              <w:t>agree</w:t>
            </w:r>
          </w:p>
        </w:tc>
      </w:tr>
      <w:tr w:rsidR="006148DF" w:rsidRPr="00042182" w14:paraId="5A396C96" w14:textId="77777777" w:rsidTr="006148DF">
        <w:tc>
          <w:tcPr>
            <w:tcW w:w="511" w:type="dxa"/>
            <w:vMerge/>
          </w:tcPr>
          <w:p w14:paraId="4462965D" w14:textId="77777777" w:rsidR="006148DF" w:rsidRPr="00042182" w:rsidRDefault="006148DF" w:rsidP="006E4C06">
            <w:pPr>
              <w:rPr>
                <w:rFonts w:ascii="Palatino Linotype" w:hAnsi="Palatino Linotype"/>
                <w:color w:val="000000" w:themeColor="text1"/>
              </w:rPr>
            </w:pPr>
          </w:p>
        </w:tc>
        <w:tc>
          <w:tcPr>
            <w:tcW w:w="1290" w:type="dxa"/>
            <w:vMerge/>
          </w:tcPr>
          <w:p w14:paraId="152F4F45" w14:textId="77777777" w:rsidR="006148DF" w:rsidRPr="00042182" w:rsidRDefault="006148DF" w:rsidP="006E4C06">
            <w:pPr>
              <w:rPr>
                <w:rFonts w:ascii="Palatino Linotype" w:hAnsi="Palatino Linotype"/>
                <w:color w:val="000000" w:themeColor="text1"/>
              </w:rPr>
            </w:pPr>
          </w:p>
        </w:tc>
        <w:tc>
          <w:tcPr>
            <w:tcW w:w="1291" w:type="dxa"/>
          </w:tcPr>
          <w:p w14:paraId="5300C99B" w14:textId="77777777" w:rsidR="006148DF" w:rsidRPr="00042182" w:rsidRDefault="006148DF" w:rsidP="006E4C06">
            <w:pPr>
              <w:rPr>
                <w:rFonts w:ascii="Palatino Linotype" w:hAnsi="Palatino Linotype"/>
                <w:color w:val="000000" w:themeColor="text1"/>
              </w:rPr>
            </w:pPr>
          </w:p>
        </w:tc>
        <w:tc>
          <w:tcPr>
            <w:tcW w:w="3962" w:type="dxa"/>
          </w:tcPr>
          <w:p w14:paraId="60431A58" w14:textId="37662953"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Able to apply scientific concepts to learning conditions in society</w:t>
            </w:r>
          </w:p>
        </w:tc>
        <w:tc>
          <w:tcPr>
            <w:tcW w:w="1276" w:type="dxa"/>
          </w:tcPr>
          <w:p w14:paraId="09569669"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74,5%</w:t>
            </w:r>
          </w:p>
        </w:tc>
        <w:tc>
          <w:tcPr>
            <w:tcW w:w="889" w:type="dxa"/>
          </w:tcPr>
          <w:p w14:paraId="59D4F7F6" w14:textId="366DB431" w:rsidR="006148DF" w:rsidRPr="00042182" w:rsidRDefault="00AD49B2" w:rsidP="006E4C06">
            <w:pPr>
              <w:rPr>
                <w:rFonts w:ascii="Palatino Linotype" w:hAnsi="Palatino Linotype"/>
                <w:bCs/>
                <w:color w:val="000000" w:themeColor="text1"/>
              </w:rPr>
            </w:pPr>
            <w:r w:rsidRPr="00042182">
              <w:rPr>
                <w:rFonts w:ascii="Palatino Linotype" w:hAnsi="Palatino Linotype"/>
                <w:bCs/>
                <w:color w:val="000000" w:themeColor="text1"/>
              </w:rPr>
              <w:t>agree</w:t>
            </w:r>
            <w:r w:rsidR="006148DF" w:rsidRPr="00042182">
              <w:rPr>
                <w:rFonts w:ascii="Palatino Linotype" w:hAnsi="Palatino Linotype"/>
                <w:bCs/>
                <w:color w:val="000000" w:themeColor="text1"/>
              </w:rPr>
              <w:t xml:space="preserve"> </w:t>
            </w:r>
          </w:p>
        </w:tc>
      </w:tr>
      <w:tr w:rsidR="006148DF" w:rsidRPr="00042182" w14:paraId="14CD3D86" w14:textId="77777777" w:rsidTr="006148DF">
        <w:tc>
          <w:tcPr>
            <w:tcW w:w="511" w:type="dxa"/>
            <w:vMerge/>
          </w:tcPr>
          <w:p w14:paraId="680796A0" w14:textId="77777777" w:rsidR="006148DF" w:rsidRPr="00042182" w:rsidRDefault="006148DF" w:rsidP="006E4C06">
            <w:pPr>
              <w:rPr>
                <w:rFonts w:ascii="Palatino Linotype" w:hAnsi="Palatino Linotype"/>
                <w:color w:val="000000" w:themeColor="text1"/>
              </w:rPr>
            </w:pPr>
          </w:p>
        </w:tc>
        <w:tc>
          <w:tcPr>
            <w:tcW w:w="1290" w:type="dxa"/>
            <w:vMerge/>
          </w:tcPr>
          <w:p w14:paraId="062A53B1" w14:textId="77777777" w:rsidR="006148DF" w:rsidRPr="00042182" w:rsidRDefault="006148DF" w:rsidP="006E4C06">
            <w:pPr>
              <w:rPr>
                <w:rFonts w:ascii="Palatino Linotype" w:hAnsi="Palatino Linotype"/>
                <w:color w:val="000000" w:themeColor="text1"/>
              </w:rPr>
            </w:pPr>
          </w:p>
        </w:tc>
        <w:tc>
          <w:tcPr>
            <w:tcW w:w="1291" w:type="dxa"/>
          </w:tcPr>
          <w:p w14:paraId="20D95F6E" w14:textId="18450EE7"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General skill</w:t>
            </w:r>
            <w:r w:rsidR="006148DF" w:rsidRPr="00042182">
              <w:rPr>
                <w:rFonts w:ascii="Palatino Linotype" w:hAnsi="Palatino Linotype"/>
                <w:color w:val="000000" w:themeColor="text1"/>
              </w:rPr>
              <w:t xml:space="preserve"> </w:t>
            </w:r>
          </w:p>
        </w:tc>
        <w:tc>
          <w:tcPr>
            <w:tcW w:w="3962" w:type="dxa"/>
          </w:tcPr>
          <w:p w14:paraId="4E2EC64B" w14:textId="72C0A3F1"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Collaborate in a team to solve community education problems based on the results of mini research</w:t>
            </w:r>
          </w:p>
        </w:tc>
        <w:tc>
          <w:tcPr>
            <w:tcW w:w="1276" w:type="dxa"/>
          </w:tcPr>
          <w:p w14:paraId="737A0216"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85,1%</w:t>
            </w:r>
          </w:p>
        </w:tc>
        <w:tc>
          <w:tcPr>
            <w:tcW w:w="889" w:type="dxa"/>
          </w:tcPr>
          <w:p w14:paraId="2AAEF3D7" w14:textId="74C7DD44" w:rsidR="006148DF" w:rsidRPr="00042182" w:rsidRDefault="00AD49B2" w:rsidP="006E4C06">
            <w:pPr>
              <w:rPr>
                <w:rFonts w:ascii="Palatino Linotype" w:hAnsi="Palatino Linotype"/>
                <w:bCs/>
                <w:color w:val="000000" w:themeColor="text1"/>
              </w:rPr>
            </w:pPr>
            <w:r w:rsidRPr="00042182">
              <w:rPr>
                <w:rFonts w:ascii="Palatino Linotype" w:hAnsi="Palatino Linotype"/>
                <w:bCs/>
                <w:color w:val="000000" w:themeColor="text1"/>
              </w:rPr>
              <w:t>agree</w:t>
            </w:r>
            <w:r w:rsidR="006148DF" w:rsidRPr="00042182">
              <w:rPr>
                <w:rFonts w:ascii="Palatino Linotype" w:hAnsi="Palatino Linotype"/>
                <w:bCs/>
                <w:color w:val="000000" w:themeColor="text1"/>
              </w:rPr>
              <w:t xml:space="preserve"> </w:t>
            </w:r>
          </w:p>
        </w:tc>
      </w:tr>
      <w:tr w:rsidR="006148DF" w:rsidRPr="00042182" w14:paraId="57D1ED67" w14:textId="77777777" w:rsidTr="006148DF">
        <w:tc>
          <w:tcPr>
            <w:tcW w:w="511" w:type="dxa"/>
            <w:vMerge/>
          </w:tcPr>
          <w:p w14:paraId="20BDFCEC" w14:textId="77777777" w:rsidR="006148DF" w:rsidRPr="00042182" w:rsidRDefault="006148DF" w:rsidP="006E4C06">
            <w:pPr>
              <w:rPr>
                <w:rFonts w:ascii="Palatino Linotype" w:hAnsi="Palatino Linotype"/>
                <w:color w:val="000000" w:themeColor="text1"/>
              </w:rPr>
            </w:pPr>
          </w:p>
        </w:tc>
        <w:tc>
          <w:tcPr>
            <w:tcW w:w="1290" w:type="dxa"/>
            <w:vMerge/>
          </w:tcPr>
          <w:p w14:paraId="339CA8E6" w14:textId="77777777" w:rsidR="006148DF" w:rsidRPr="00042182" w:rsidRDefault="006148DF" w:rsidP="006E4C06">
            <w:pPr>
              <w:rPr>
                <w:rFonts w:ascii="Palatino Linotype" w:hAnsi="Palatino Linotype"/>
                <w:color w:val="000000" w:themeColor="text1"/>
              </w:rPr>
            </w:pPr>
          </w:p>
        </w:tc>
        <w:tc>
          <w:tcPr>
            <w:tcW w:w="1291" w:type="dxa"/>
          </w:tcPr>
          <w:p w14:paraId="1C085E1E" w14:textId="13167BF6"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 xml:space="preserve">Special skill </w:t>
            </w:r>
          </w:p>
        </w:tc>
        <w:tc>
          <w:tcPr>
            <w:tcW w:w="3962" w:type="dxa"/>
          </w:tcPr>
          <w:p w14:paraId="080F6138" w14:textId="355A16B8"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Create andragogy learning plans that will be practiced in the community based on local potential</w:t>
            </w:r>
          </w:p>
        </w:tc>
        <w:tc>
          <w:tcPr>
            <w:tcW w:w="1276" w:type="dxa"/>
          </w:tcPr>
          <w:p w14:paraId="51115D49"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83,%</w:t>
            </w:r>
          </w:p>
        </w:tc>
        <w:tc>
          <w:tcPr>
            <w:tcW w:w="889" w:type="dxa"/>
          </w:tcPr>
          <w:p w14:paraId="22349F59" w14:textId="49C6E3E2"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p>
        </w:tc>
      </w:tr>
      <w:tr w:rsidR="006148DF" w:rsidRPr="00042182" w14:paraId="667CB0EF" w14:textId="77777777" w:rsidTr="006148DF">
        <w:tc>
          <w:tcPr>
            <w:tcW w:w="511" w:type="dxa"/>
          </w:tcPr>
          <w:p w14:paraId="2B8D5A9E" w14:textId="77777777" w:rsidR="006148DF" w:rsidRPr="00042182" w:rsidRDefault="006148DF" w:rsidP="006E4C06">
            <w:pPr>
              <w:rPr>
                <w:rFonts w:ascii="Palatino Linotype" w:hAnsi="Palatino Linotype"/>
                <w:color w:val="000000" w:themeColor="text1"/>
              </w:rPr>
            </w:pPr>
            <w:r w:rsidRPr="00042182">
              <w:rPr>
                <w:rFonts w:ascii="Palatino Linotype" w:hAnsi="Palatino Linotype"/>
                <w:color w:val="000000" w:themeColor="text1"/>
              </w:rPr>
              <w:t>2</w:t>
            </w:r>
          </w:p>
        </w:tc>
        <w:tc>
          <w:tcPr>
            <w:tcW w:w="1290" w:type="dxa"/>
            <w:vMerge w:val="restart"/>
          </w:tcPr>
          <w:p w14:paraId="68DA1CD6" w14:textId="5F47174E"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Learning stages</w:t>
            </w:r>
            <w:r w:rsidR="006148DF" w:rsidRPr="00042182">
              <w:rPr>
                <w:rFonts w:ascii="Palatino Linotype" w:hAnsi="Palatino Linotype"/>
                <w:color w:val="000000" w:themeColor="text1"/>
              </w:rPr>
              <w:t xml:space="preserve"> </w:t>
            </w:r>
          </w:p>
        </w:tc>
        <w:tc>
          <w:tcPr>
            <w:tcW w:w="1291" w:type="dxa"/>
          </w:tcPr>
          <w:p w14:paraId="12913BD9" w14:textId="4586F432" w:rsidR="006148DF" w:rsidRPr="00042182" w:rsidRDefault="00042182" w:rsidP="00042182">
            <w:pPr>
              <w:rPr>
                <w:rFonts w:ascii="Palatino Linotype" w:hAnsi="Palatino Linotype"/>
                <w:color w:val="000000" w:themeColor="text1"/>
              </w:rPr>
            </w:pPr>
            <w:r w:rsidRPr="00042182">
              <w:rPr>
                <w:rFonts w:ascii="Palatino Linotype" w:hAnsi="Palatino Linotype"/>
                <w:color w:val="000000" w:themeColor="text1"/>
              </w:rPr>
              <w:t xml:space="preserve">Pre </w:t>
            </w:r>
            <w:proofErr w:type="spellStart"/>
            <w:r w:rsidR="006148DF" w:rsidRPr="00042182">
              <w:rPr>
                <w:rFonts w:ascii="Palatino Linotype" w:hAnsi="Palatino Linotype"/>
                <w:color w:val="000000" w:themeColor="text1"/>
              </w:rPr>
              <w:t>instru</w:t>
            </w:r>
            <w:r w:rsidRPr="00042182">
              <w:rPr>
                <w:rFonts w:ascii="Palatino Linotype" w:hAnsi="Palatino Linotype"/>
                <w:color w:val="000000" w:themeColor="text1"/>
              </w:rPr>
              <w:t>tio</w:t>
            </w:r>
            <w:r w:rsidR="006148DF" w:rsidRPr="00042182">
              <w:rPr>
                <w:rFonts w:ascii="Palatino Linotype" w:hAnsi="Palatino Linotype"/>
                <w:color w:val="000000" w:themeColor="text1"/>
              </w:rPr>
              <w:t>nal</w:t>
            </w:r>
            <w:proofErr w:type="spellEnd"/>
            <w:r w:rsidR="006148DF" w:rsidRPr="00042182">
              <w:rPr>
                <w:rFonts w:ascii="Palatino Linotype" w:hAnsi="Palatino Linotype"/>
                <w:color w:val="000000" w:themeColor="text1"/>
              </w:rPr>
              <w:t xml:space="preserve"> </w:t>
            </w:r>
          </w:p>
        </w:tc>
        <w:tc>
          <w:tcPr>
            <w:tcW w:w="3962" w:type="dxa"/>
          </w:tcPr>
          <w:p w14:paraId="68B1C234" w14:textId="1D287CA1"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Apperception activities by linking the material to be studied with daily activities</w:t>
            </w:r>
          </w:p>
        </w:tc>
        <w:tc>
          <w:tcPr>
            <w:tcW w:w="1276" w:type="dxa"/>
          </w:tcPr>
          <w:p w14:paraId="067444F2"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72,3%</w:t>
            </w:r>
          </w:p>
        </w:tc>
        <w:tc>
          <w:tcPr>
            <w:tcW w:w="889" w:type="dxa"/>
          </w:tcPr>
          <w:p w14:paraId="3585BBA6" w14:textId="0A66017A"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p>
        </w:tc>
      </w:tr>
      <w:tr w:rsidR="006148DF" w:rsidRPr="00042182" w14:paraId="383AB872" w14:textId="77777777" w:rsidTr="006148DF">
        <w:tc>
          <w:tcPr>
            <w:tcW w:w="511" w:type="dxa"/>
          </w:tcPr>
          <w:p w14:paraId="589CB4AA" w14:textId="77777777" w:rsidR="006148DF" w:rsidRPr="00042182" w:rsidRDefault="006148DF" w:rsidP="006E4C06">
            <w:pPr>
              <w:rPr>
                <w:rFonts w:ascii="Palatino Linotype" w:hAnsi="Palatino Linotype"/>
                <w:color w:val="000000" w:themeColor="text1"/>
              </w:rPr>
            </w:pPr>
          </w:p>
        </w:tc>
        <w:tc>
          <w:tcPr>
            <w:tcW w:w="1290" w:type="dxa"/>
            <w:vMerge/>
          </w:tcPr>
          <w:p w14:paraId="0ECBB08F" w14:textId="77777777" w:rsidR="006148DF" w:rsidRPr="00042182" w:rsidRDefault="006148DF" w:rsidP="006E4C06">
            <w:pPr>
              <w:rPr>
                <w:rFonts w:ascii="Palatino Linotype" w:hAnsi="Palatino Linotype"/>
                <w:color w:val="000000" w:themeColor="text1"/>
              </w:rPr>
            </w:pPr>
          </w:p>
        </w:tc>
        <w:tc>
          <w:tcPr>
            <w:tcW w:w="1291" w:type="dxa"/>
          </w:tcPr>
          <w:p w14:paraId="37410669" w14:textId="25012A5B" w:rsidR="006148DF" w:rsidRPr="00042182" w:rsidRDefault="00042182" w:rsidP="006E4C06">
            <w:pPr>
              <w:rPr>
                <w:rFonts w:ascii="Palatino Linotype" w:hAnsi="Palatino Linotype"/>
                <w:color w:val="000000" w:themeColor="text1"/>
              </w:rPr>
            </w:pPr>
            <w:proofErr w:type="spellStart"/>
            <w:r w:rsidRPr="00042182">
              <w:rPr>
                <w:rFonts w:ascii="Palatino Linotype" w:hAnsi="Palatino Linotype"/>
                <w:color w:val="000000" w:themeColor="text1"/>
              </w:rPr>
              <w:t>Intructional</w:t>
            </w:r>
            <w:proofErr w:type="spellEnd"/>
            <w:r w:rsidRPr="00042182">
              <w:rPr>
                <w:rFonts w:ascii="Palatino Linotype" w:hAnsi="Palatino Linotype"/>
                <w:color w:val="000000" w:themeColor="text1"/>
              </w:rPr>
              <w:t xml:space="preserve"> stage</w:t>
            </w:r>
            <w:r w:rsidR="006148DF" w:rsidRPr="00042182">
              <w:rPr>
                <w:rFonts w:ascii="Palatino Linotype" w:hAnsi="Palatino Linotype"/>
                <w:color w:val="000000" w:themeColor="text1"/>
              </w:rPr>
              <w:t xml:space="preserve"> </w:t>
            </w:r>
          </w:p>
        </w:tc>
        <w:tc>
          <w:tcPr>
            <w:tcW w:w="3962" w:type="dxa"/>
          </w:tcPr>
          <w:p w14:paraId="549FC748" w14:textId="0B5568E4"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Starting the core learning activities, the material that will be discussed and the achievements that students will gain are presented</w:t>
            </w:r>
          </w:p>
        </w:tc>
        <w:tc>
          <w:tcPr>
            <w:tcW w:w="1276" w:type="dxa"/>
          </w:tcPr>
          <w:p w14:paraId="10ACE688"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80,9%</w:t>
            </w:r>
          </w:p>
        </w:tc>
        <w:tc>
          <w:tcPr>
            <w:tcW w:w="889" w:type="dxa"/>
          </w:tcPr>
          <w:p w14:paraId="5414ACEC" w14:textId="45CA640F"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p>
        </w:tc>
      </w:tr>
      <w:tr w:rsidR="006148DF" w:rsidRPr="00042182" w14:paraId="77A62D77" w14:textId="77777777" w:rsidTr="006148DF">
        <w:tc>
          <w:tcPr>
            <w:tcW w:w="511" w:type="dxa"/>
          </w:tcPr>
          <w:p w14:paraId="3FC2B7AB" w14:textId="77777777" w:rsidR="006148DF" w:rsidRPr="00042182" w:rsidRDefault="006148DF" w:rsidP="006E4C06">
            <w:pPr>
              <w:rPr>
                <w:rFonts w:ascii="Palatino Linotype" w:hAnsi="Palatino Linotype"/>
                <w:color w:val="000000" w:themeColor="text1"/>
              </w:rPr>
            </w:pPr>
          </w:p>
        </w:tc>
        <w:tc>
          <w:tcPr>
            <w:tcW w:w="1290" w:type="dxa"/>
            <w:vMerge/>
          </w:tcPr>
          <w:p w14:paraId="2C0CF530" w14:textId="77777777" w:rsidR="006148DF" w:rsidRPr="00042182" w:rsidRDefault="006148DF" w:rsidP="006E4C06">
            <w:pPr>
              <w:rPr>
                <w:rFonts w:ascii="Palatino Linotype" w:hAnsi="Palatino Linotype"/>
                <w:color w:val="000000" w:themeColor="text1"/>
              </w:rPr>
            </w:pPr>
          </w:p>
        </w:tc>
        <w:tc>
          <w:tcPr>
            <w:tcW w:w="1291" w:type="dxa"/>
          </w:tcPr>
          <w:p w14:paraId="0826F2A8" w14:textId="77777777" w:rsidR="006148DF" w:rsidRPr="00042182" w:rsidRDefault="006148DF" w:rsidP="006E4C06">
            <w:pPr>
              <w:rPr>
                <w:rFonts w:ascii="Palatino Linotype" w:hAnsi="Palatino Linotype"/>
                <w:color w:val="000000" w:themeColor="text1"/>
              </w:rPr>
            </w:pPr>
          </w:p>
        </w:tc>
        <w:tc>
          <w:tcPr>
            <w:tcW w:w="3962" w:type="dxa"/>
          </w:tcPr>
          <w:p w14:paraId="5937BDB1" w14:textId="273036EB"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At the end of the discussion of the material, lecturers and students concluded the material that had been discussed at the meeting</w:t>
            </w:r>
          </w:p>
        </w:tc>
        <w:tc>
          <w:tcPr>
            <w:tcW w:w="1276" w:type="dxa"/>
          </w:tcPr>
          <w:p w14:paraId="4A752503"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80,9%</w:t>
            </w:r>
          </w:p>
        </w:tc>
        <w:tc>
          <w:tcPr>
            <w:tcW w:w="889" w:type="dxa"/>
          </w:tcPr>
          <w:p w14:paraId="0B19CBA5" w14:textId="003D4A9D"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p>
        </w:tc>
      </w:tr>
      <w:tr w:rsidR="006148DF" w:rsidRPr="00042182" w14:paraId="65A24C2E" w14:textId="77777777" w:rsidTr="006148DF">
        <w:tc>
          <w:tcPr>
            <w:tcW w:w="511" w:type="dxa"/>
          </w:tcPr>
          <w:p w14:paraId="3D2B14BC" w14:textId="77777777" w:rsidR="006148DF" w:rsidRPr="00042182" w:rsidRDefault="006148DF" w:rsidP="006E4C06">
            <w:pPr>
              <w:rPr>
                <w:rFonts w:ascii="Palatino Linotype" w:hAnsi="Palatino Linotype"/>
                <w:color w:val="000000" w:themeColor="text1"/>
              </w:rPr>
            </w:pPr>
          </w:p>
        </w:tc>
        <w:tc>
          <w:tcPr>
            <w:tcW w:w="1290" w:type="dxa"/>
            <w:vMerge/>
          </w:tcPr>
          <w:p w14:paraId="38C7365B" w14:textId="77777777" w:rsidR="006148DF" w:rsidRPr="00042182" w:rsidRDefault="006148DF" w:rsidP="006E4C06">
            <w:pPr>
              <w:rPr>
                <w:rFonts w:ascii="Palatino Linotype" w:hAnsi="Palatino Linotype"/>
                <w:color w:val="000000" w:themeColor="text1"/>
              </w:rPr>
            </w:pPr>
          </w:p>
        </w:tc>
        <w:tc>
          <w:tcPr>
            <w:tcW w:w="1291" w:type="dxa"/>
          </w:tcPr>
          <w:p w14:paraId="4D7D1487" w14:textId="6061150F"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 xml:space="preserve">Evaluation </w:t>
            </w:r>
            <w:r w:rsidR="006148DF" w:rsidRPr="00042182">
              <w:rPr>
                <w:rFonts w:ascii="Palatino Linotype" w:hAnsi="Palatino Linotype"/>
                <w:color w:val="000000" w:themeColor="text1"/>
              </w:rPr>
              <w:t xml:space="preserve"> </w:t>
            </w:r>
          </w:p>
        </w:tc>
        <w:tc>
          <w:tcPr>
            <w:tcW w:w="3962" w:type="dxa"/>
          </w:tcPr>
          <w:p w14:paraId="52896638" w14:textId="25555BAA"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At the end of the lesson, students are given the opportunity to ask questions</w:t>
            </w:r>
          </w:p>
        </w:tc>
        <w:tc>
          <w:tcPr>
            <w:tcW w:w="1276" w:type="dxa"/>
          </w:tcPr>
          <w:p w14:paraId="7C2350C0"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83%</w:t>
            </w:r>
          </w:p>
        </w:tc>
        <w:tc>
          <w:tcPr>
            <w:tcW w:w="889" w:type="dxa"/>
          </w:tcPr>
          <w:p w14:paraId="71DDD0DB" w14:textId="7AD24B59"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r w:rsidR="006148DF" w:rsidRPr="00042182">
              <w:rPr>
                <w:rFonts w:ascii="Palatino Linotype" w:hAnsi="Palatino Linotype"/>
                <w:bCs/>
                <w:color w:val="000000" w:themeColor="text1"/>
              </w:rPr>
              <w:t xml:space="preserve"> </w:t>
            </w:r>
          </w:p>
        </w:tc>
      </w:tr>
      <w:tr w:rsidR="006148DF" w:rsidRPr="00042182" w14:paraId="725F95B3" w14:textId="77777777" w:rsidTr="006148DF">
        <w:tc>
          <w:tcPr>
            <w:tcW w:w="511" w:type="dxa"/>
          </w:tcPr>
          <w:p w14:paraId="1E516CD6" w14:textId="77777777" w:rsidR="006148DF" w:rsidRPr="00042182" w:rsidRDefault="006148DF" w:rsidP="006E4C06">
            <w:pPr>
              <w:rPr>
                <w:rFonts w:ascii="Palatino Linotype" w:hAnsi="Palatino Linotype"/>
                <w:color w:val="000000" w:themeColor="text1"/>
              </w:rPr>
            </w:pPr>
          </w:p>
        </w:tc>
        <w:tc>
          <w:tcPr>
            <w:tcW w:w="1290" w:type="dxa"/>
            <w:vMerge/>
          </w:tcPr>
          <w:p w14:paraId="34C90557" w14:textId="77777777" w:rsidR="006148DF" w:rsidRPr="00042182" w:rsidRDefault="006148DF" w:rsidP="006E4C06">
            <w:pPr>
              <w:rPr>
                <w:rFonts w:ascii="Palatino Linotype" w:hAnsi="Palatino Linotype"/>
                <w:color w:val="000000" w:themeColor="text1"/>
              </w:rPr>
            </w:pPr>
          </w:p>
        </w:tc>
        <w:tc>
          <w:tcPr>
            <w:tcW w:w="1291" w:type="dxa"/>
          </w:tcPr>
          <w:p w14:paraId="1EDEABE8" w14:textId="77777777" w:rsidR="006148DF" w:rsidRPr="00042182" w:rsidRDefault="006148DF" w:rsidP="006E4C06">
            <w:pPr>
              <w:rPr>
                <w:rFonts w:ascii="Palatino Linotype" w:hAnsi="Palatino Linotype"/>
                <w:color w:val="000000" w:themeColor="text1"/>
              </w:rPr>
            </w:pPr>
          </w:p>
        </w:tc>
        <w:tc>
          <w:tcPr>
            <w:tcW w:w="3962" w:type="dxa"/>
          </w:tcPr>
          <w:p w14:paraId="5F7599D4" w14:textId="355F2D49"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There is an assignment at the end of the lesson and material that will be discussed at the next meeting.</w:t>
            </w:r>
          </w:p>
        </w:tc>
        <w:tc>
          <w:tcPr>
            <w:tcW w:w="1276" w:type="dxa"/>
          </w:tcPr>
          <w:p w14:paraId="3D9B3CD9"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72,3%</w:t>
            </w:r>
          </w:p>
        </w:tc>
        <w:tc>
          <w:tcPr>
            <w:tcW w:w="889" w:type="dxa"/>
          </w:tcPr>
          <w:p w14:paraId="077A1AB7" w14:textId="0176E002"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r w:rsidR="006148DF" w:rsidRPr="00042182">
              <w:rPr>
                <w:rFonts w:ascii="Palatino Linotype" w:hAnsi="Palatino Linotype"/>
                <w:bCs/>
                <w:color w:val="000000" w:themeColor="text1"/>
              </w:rPr>
              <w:t xml:space="preserve"> </w:t>
            </w:r>
          </w:p>
        </w:tc>
      </w:tr>
      <w:tr w:rsidR="006148DF" w:rsidRPr="00042182" w14:paraId="1A6187BC" w14:textId="77777777" w:rsidTr="006148DF">
        <w:tc>
          <w:tcPr>
            <w:tcW w:w="511" w:type="dxa"/>
          </w:tcPr>
          <w:p w14:paraId="57FEEF35" w14:textId="77777777" w:rsidR="006148DF" w:rsidRPr="00042182" w:rsidRDefault="006148DF" w:rsidP="006E4C06">
            <w:pPr>
              <w:rPr>
                <w:rFonts w:ascii="Palatino Linotype" w:hAnsi="Palatino Linotype"/>
                <w:color w:val="000000" w:themeColor="text1"/>
              </w:rPr>
            </w:pPr>
            <w:r w:rsidRPr="00042182">
              <w:rPr>
                <w:rFonts w:ascii="Palatino Linotype" w:hAnsi="Palatino Linotype"/>
                <w:color w:val="000000" w:themeColor="text1"/>
              </w:rPr>
              <w:t>3</w:t>
            </w:r>
          </w:p>
        </w:tc>
        <w:tc>
          <w:tcPr>
            <w:tcW w:w="1290" w:type="dxa"/>
          </w:tcPr>
          <w:p w14:paraId="6A2BB5C5" w14:textId="0CCD0CD2"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Learning Environment</w:t>
            </w:r>
          </w:p>
        </w:tc>
        <w:tc>
          <w:tcPr>
            <w:tcW w:w="1291" w:type="dxa"/>
          </w:tcPr>
          <w:p w14:paraId="29E92786" w14:textId="77777777" w:rsidR="006148DF" w:rsidRPr="00042182" w:rsidRDefault="006148DF" w:rsidP="006E4C06">
            <w:pPr>
              <w:rPr>
                <w:rFonts w:ascii="Palatino Linotype" w:hAnsi="Palatino Linotype"/>
                <w:color w:val="000000" w:themeColor="text1"/>
              </w:rPr>
            </w:pPr>
          </w:p>
        </w:tc>
        <w:tc>
          <w:tcPr>
            <w:tcW w:w="3962" w:type="dxa"/>
          </w:tcPr>
          <w:p w14:paraId="709E1B2A" w14:textId="7675B501"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uses various learning methods according to the theme to be discussed</w:t>
            </w:r>
          </w:p>
        </w:tc>
        <w:tc>
          <w:tcPr>
            <w:tcW w:w="1276" w:type="dxa"/>
          </w:tcPr>
          <w:p w14:paraId="7C851224"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80,9%</w:t>
            </w:r>
          </w:p>
        </w:tc>
        <w:tc>
          <w:tcPr>
            <w:tcW w:w="889" w:type="dxa"/>
          </w:tcPr>
          <w:p w14:paraId="1815E0E6" w14:textId="6444966D"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p>
        </w:tc>
      </w:tr>
      <w:tr w:rsidR="006148DF" w:rsidRPr="00042182" w14:paraId="73CED104" w14:textId="77777777" w:rsidTr="006148DF">
        <w:tc>
          <w:tcPr>
            <w:tcW w:w="511" w:type="dxa"/>
            <w:vMerge w:val="restart"/>
          </w:tcPr>
          <w:p w14:paraId="2AA10945" w14:textId="77777777" w:rsidR="006148DF" w:rsidRPr="00042182" w:rsidRDefault="006148DF" w:rsidP="006E4C06">
            <w:pPr>
              <w:rPr>
                <w:rFonts w:ascii="Palatino Linotype" w:hAnsi="Palatino Linotype"/>
                <w:color w:val="000000" w:themeColor="text1"/>
              </w:rPr>
            </w:pPr>
            <w:r w:rsidRPr="00042182">
              <w:rPr>
                <w:rFonts w:ascii="Palatino Linotype" w:hAnsi="Palatino Linotype"/>
                <w:color w:val="000000" w:themeColor="text1"/>
              </w:rPr>
              <w:t>4</w:t>
            </w:r>
          </w:p>
        </w:tc>
        <w:tc>
          <w:tcPr>
            <w:tcW w:w="1290" w:type="dxa"/>
            <w:vMerge w:val="restart"/>
          </w:tcPr>
          <w:p w14:paraId="752D69D5" w14:textId="339699E0"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Class management</w:t>
            </w:r>
            <w:r w:rsidR="006148DF" w:rsidRPr="00042182">
              <w:rPr>
                <w:rFonts w:ascii="Palatino Linotype" w:hAnsi="Palatino Linotype"/>
                <w:color w:val="000000" w:themeColor="text1"/>
              </w:rPr>
              <w:t xml:space="preserve"> </w:t>
            </w:r>
          </w:p>
        </w:tc>
        <w:tc>
          <w:tcPr>
            <w:tcW w:w="1291" w:type="dxa"/>
          </w:tcPr>
          <w:p w14:paraId="6A4203FE" w14:textId="69587484" w:rsidR="006148DF" w:rsidRPr="00042182" w:rsidRDefault="00042182" w:rsidP="006E4C06">
            <w:pPr>
              <w:rPr>
                <w:rFonts w:ascii="Palatino Linotype" w:hAnsi="Palatino Linotype"/>
                <w:color w:val="000000" w:themeColor="text1"/>
              </w:rPr>
            </w:pPr>
            <w:proofErr w:type="spellStart"/>
            <w:r w:rsidRPr="00042182">
              <w:rPr>
                <w:rFonts w:ascii="Palatino Linotype" w:hAnsi="Palatino Linotype"/>
                <w:color w:val="000000" w:themeColor="text1"/>
              </w:rPr>
              <w:t>Condusif</w:t>
            </w:r>
            <w:proofErr w:type="spellEnd"/>
            <w:r w:rsidRPr="00042182">
              <w:rPr>
                <w:rFonts w:ascii="Palatino Linotype" w:hAnsi="Palatino Linotype"/>
                <w:color w:val="000000" w:themeColor="text1"/>
              </w:rPr>
              <w:t xml:space="preserve"> learning </w:t>
            </w:r>
            <w:r w:rsidR="006148DF" w:rsidRPr="00042182">
              <w:rPr>
                <w:rFonts w:ascii="Palatino Linotype" w:hAnsi="Palatino Linotype"/>
                <w:color w:val="000000" w:themeColor="text1"/>
              </w:rPr>
              <w:t xml:space="preserve"> </w:t>
            </w:r>
          </w:p>
        </w:tc>
        <w:tc>
          <w:tcPr>
            <w:tcW w:w="3962" w:type="dxa"/>
          </w:tcPr>
          <w:p w14:paraId="01A00B9B" w14:textId="629CC5D1"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 xml:space="preserve">Lecturer can create a </w:t>
            </w:r>
            <w:proofErr w:type="spellStart"/>
            <w:r w:rsidRPr="00042182">
              <w:rPr>
                <w:rFonts w:ascii="Palatino Linotype" w:hAnsi="Palatino Linotype"/>
                <w:bCs/>
                <w:color w:val="000000" w:themeColor="text1"/>
              </w:rPr>
              <w:t>condusive</w:t>
            </w:r>
            <w:proofErr w:type="spellEnd"/>
            <w:r w:rsidRPr="00042182">
              <w:rPr>
                <w:rFonts w:ascii="Palatino Linotype" w:hAnsi="Palatino Linotype"/>
                <w:bCs/>
                <w:color w:val="000000" w:themeColor="text1"/>
              </w:rPr>
              <w:t xml:space="preserve"> learning </w:t>
            </w:r>
            <w:r w:rsidR="006148DF" w:rsidRPr="00042182">
              <w:rPr>
                <w:rFonts w:ascii="Palatino Linotype" w:hAnsi="Palatino Linotype"/>
                <w:bCs/>
                <w:color w:val="000000" w:themeColor="text1"/>
              </w:rPr>
              <w:t xml:space="preserve"> </w:t>
            </w:r>
          </w:p>
        </w:tc>
        <w:tc>
          <w:tcPr>
            <w:tcW w:w="1276" w:type="dxa"/>
          </w:tcPr>
          <w:p w14:paraId="73E9F519"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70,2%</w:t>
            </w:r>
          </w:p>
        </w:tc>
        <w:tc>
          <w:tcPr>
            <w:tcW w:w="889" w:type="dxa"/>
          </w:tcPr>
          <w:p w14:paraId="716CBE56" w14:textId="14B8E047"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r w:rsidR="006148DF" w:rsidRPr="00042182">
              <w:rPr>
                <w:rFonts w:ascii="Palatino Linotype" w:hAnsi="Palatino Linotype"/>
                <w:bCs/>
                <w:color w:val="000000" w:themeColor="text1"/>
              </w:rPr>
              <w:t xml:space="preserve"> </w:t>
            </w:r>
          </w:p>
        </w:tc>
      </w:tr>
      <w:tr w:rsidR="006148DF" w:rsidRPr="00042182" w14:paraId="5C784FF6" w14:textId="77777777" w:rsidTr="006148DF">
        <w:tc>
          <w:tcPr>
            <w:tcW w:w="511" w:type="dxa"/>
            <w:vMerge/>
          </w:tcPr>
          <w:p w14:paraId="60357652" w14:textId="77777777" w:rsidR="006148DF" w:rsidRPr="00042182" w:rsidRDefault="006148DF" w:rsidP="006E4C06">
            <w:pPr>
              <w:rPr>
                <w:rFonts w:ascii="Palatino Linotype" w:hAnsi="Palatino Linotype"/>
                <w:color w:val="000000" w:themeColor="text1"/>
              </w:rPr>
            </w:pPr>
          </w:p>
        </w:tc>
        <w:tc>
          <w:tcPr>
            <w:tcW w:w="1290" w:type="dxa"/>
            <w:vMerge/>
          </w:tcPr>
          <w:p w14:paraId="7E0908F8" w14:textId="77777777" w:rsidR="006148DF" w:rsidRPr="00042182" w:rsidRDefault="006148DF" w:rsidP="006E4C06">
            <w:pPr>
              <w:rPr>
                <w:rFonts w:ascii="Palatino Linotype" w:hAnsi="Palatino Linotype"/>
                <w:color w:val="000000" w:themeColor="text1"/>
              </w:rPr>
            </w:pPr>
          </w:p>
        </w:tc>
        <w:tc>
          <w:tcPr>
            <w:tcW w:w="1291" w:type="dxa"/>
          </w:tcPr>
          <w:p w14:paraId="3BAA027D" w14:textId="10F979EC"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 xml:space="preserve">Communication </w:t>
            </w:r>
          </w:p>
        </w:tc>
        <w:tc>
          <w:tcPr>
            <w:tcW w:w="3962" w:type="dxa"/>
          </w:tcPr>
          <w:p w14:paraId="042E3A93" w14:textId="58773EAF" w:rsidR="006148DF" w:rsidRPr="00042182" w:rsidRDefault="00042182" w:rsidP="0004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rPr>
            </w:pPr>
            <w:r w:rsidRPr="00042182">
              <w:rPr>
                <w:rFonts w:ascii="Palatino Linotype" w:eastAsia="Times New Roman" w:hAnsi="Palatino Linotype" w:cs="Courier New"/>
                <w:lang w:val="en"/>
              </w:rPr>
              <w:t>Learning is carried out offline and online supported by the SIPDA application</w:t>
            </w:r>
          </w:p>
        </w:tc>
        <w:tc>
          <w:tcPr>
            <w:tcW w:w="1276" w:type="dxa"/>
          </w:tcPr>
          <w:p w14:paraId="7C89BF9D"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78,7%</w:t>
            </w:r>
          </w:p>
        </w:tc>
        <w:tc>
          <w:tcPr>
            <w:tcW w:w="889" w:type="dxa"/>
          </w:tcPr>
          <w:p w14:paraId="4B88DC4D" w14:textId="4F36DEE1"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r w:rsidR="006148DF" w:rsidRPr="00042182">
              <w:rPr>
                <w:rFonts w:ascii="Palatino Linotype" w:hAnsi="Palatino Linotype"/>
                <w:bCs/>
                <w:color w:val="000000" w:themeColor="text1"/>
              </w:rPr>
              <w:t xml:space="preserve"> </w:t>
            </w:r>
          </w:p>
        </w:tc>
      </w:tr>
      <w:tr w:rsidR="006148DF" w:rsidRPr="00042182" w14:paraId="5E8F4363" w14:textId="77777777" w:rsidTr="006148DF">
        <w:tc>
          <w:tcPr>
            <w:tcW w:w="511" w:type="dxa"/>
            <w:vMerge/>
          </w:tcPr>
          <w:p w14:paraId="0EA06FFB" w14:textId="77777777" w:rsidR="006148DF" w:rsidRPr="00042182" w:rsidRDefault="006148DF" w:rsidP="006E4C06">
            <w:pPr>
              <w:rPr>
                <w:rFonts w:ascii="Palatino Linotype" w:hAnsi="Palatino Linotype"/>
                <w:color w:val="000000" w:themeColor="text1"/>
              </w:rPr>
            </w:pPr>
          </w:p>
        </w:tc>
        <w:tc>
          <w:tcPr>
            <w:tcW w:w="1290" w:type="dxa"/>
            <w:vMerge/>
          </w:tcPr>
          <w:p w14:paraId="3BF49AF8" w14:textId="77777777" w:rsidR="006148DF" w:rsidRPr="00042182" w:rsidRDefault="006148DF" w:rsidP="006E4C06">
            <w:pPr>
              <w:rPr>
                <w:rFonts w:ascii="Palatino Linotype" w:hAnsi="Palatino Linotype"/>
                <w:color w:val="000000" w:themeColor="text1"/>
              </w:rPr>
            </w:pPr>
          </w:p>
        </w:tc>
        <w:tc>
          <w:tcPr>
            <w:tcW w:w="1291" w:type="dxa"/>
          </w:tcPr>
          <w:p w14:paraId="31E9EB12" w14:textId="13EA649B" w:rsidR="006148DF" w:rsidRPr="00042182" w:rsidRDefault="00042182" w:rsidP="006E4C06">
            <w:pPr>
              <w:rPr>
                <w:rFonts w:ascii="Palatino Linotype" w:hAnsi="Palatino Linotype"/>
                <w:color w:val="000000" w:themeColor="text1"/>
              </w:rPr>
            </w:pPr>
            <w:r w:rsidRPr="00042182">
              <w:rPr>
                <w:rFonts w:ascii="Palatino Linotype" w:hAnsi="Palatino Linotype"/>
                <w:color w:val="000000" w:themeColor="text1"/>
              </w:rPr>
              <w:t>Group activities</w:t>
            </w:r>
          </w:p>
        </w:tc>
        <w:tc>
          <w:tcPr>
            <w:tcW w:w="3962" w:type="dxa"/>
          </w:tcPr>
          <w:p w14:paraId="75EBD63F" w14:textId="65AC68E9" w:rsidR="006148DF" w:rsidRPr="00042182" w:rsidRDefault="00042182" w:rsidP="006E4C06">
            <w:pPr>
              <w:rPr>
                <w:rFonts w:ascii="Palatino Linotype" w:hAnsi="Palatino Linotype"/>
                <w:color w:val="000000" w:themeColor="text1"/>
              </w:rPr>
            </w:pPr>
            <w:r w:rsidRPr="00042182">
              <w:rPr>
                <w:rFonts w:ascii="Palatino Linotype" w:hAnsi="Palatino Linotype"/>
                <w:bCs/>
                <w:color w:val="000000" w:themeColor="text1"/>
              </w:rPr>
              <w:t xml:space="preserve">Case discussion at each meeting </w:t>
            </w:r>
          </w:p>
        </w:tc>
        <w:tc>
          <w:tcPr>
            <w:tcW w:w="1276" w:type="dxa"/>
          </w:tcPr>
          <w:p w14:paraId="73871E61" w14:textId="77777777" w:rsidR="006148DF" w:rsidRPr="00042182" w:rsidRDefault="006148DF" w:rsidP="006E4C06">
            <w:pPr>
              <w:rPr>
                <w:rFonts w:ascii="Palatino Linotype" w:hAnsi="Palatino Linotype"/>
                <w:bCs/>
                <w:color w:val="000000" w:themeColor="text1"/>
              </w:rPr>
            </w:pPr>
            <w:r w:rsidRPr="00042182">
              <w:rPr>
                <w:rFonts w:ascii="Palatino Linotype" w:hAnsi="Palatino Linotype"/>
                <w:bCs/>
                <w:color w:val="000000" w:themeColor="text1"/>
              </w:rPr>
              <w:t>66%</w:t>
            </w:r>
          </w:p>
        </w:tc>
        <w:tc>
          <w:tcPr>
            <w:tcW w:w="889" w:type="dxa"/>
          </w:tcPr>
          <w:p w14:paraId="21A553DF" w14:textId="3CB301BD" w:rsidR="006148DF" w:rsidRPr="00042182" w:rsidRDefault="00042182" w:rsidP="006E4C06">
            <w:pPr>
              <w:rPr>
                <w:rFonts w:ascii="Palatino Linotype" w:hAnsi="Palatino Linotype"/>
                <w:bCs/>
                <w:color w:val="000000" w:themeColor="text1"/>
              </w:rPr>
            </w:pPr>
            <w:r w:rsidRPr="00042182">
              <w:rPr>
                <w:rFonts w:ascii="Palatino Linotype" w:hAnsi="Palatino Linotype"/>
                <w:bCs/>
                <w:color w:val="000000" w:themeColor="text1"/>
              </w:rPr>
              <w:t>agree</w:t>
            </w:r>
          </w:p>
        </w:tc>
      </w:tr>
    </w:tbl>
    <w:p w14:paraId="2B38B63A" w14:textId="77777777" w:rsidR="00D04944" w:rsidRDefault="00D04944" w:rsidP="002B31FD">
      <w:pPr>
        <w:pStyle w:val="Alishlah31text"/>
      </w:pPr>
    </w:p>
    <w:p w14:paraId="77F6B5EE" w14:textId="77777777" w:rsidR="006148DF" w:rsidRDefault="006148DF" w:rsidP="002B31FD">
      <w:pPr>
        <w:pStyle w:val="Alishlah31text"/>
      </w:pPr>
    </w:p>
    <w:p w14:paraId="2F09F63C" w14:textId="3B35D354" w:rsidR="00042182" w:rsidRPr="00097E08" w:rsidRDefault="00042182" w:rsidP="00042182">
      <w:pPr>
        <w:pStyle w:val="HTMLPreformatted"/>
        <w:rPr>
          <w:rFonts w:ascii="Palatino Linotype" w:hAnsi="Palatino Linotype"/>
        </w:rPr>
      </w:pPr>
      <w:proofErr w:type="spellStart"/>
      <w:r w:rsidRPr="00097E08">
        <w:rPr>
          <w:rFonts w:ascii="Palatino Linotype" w:hAnsi="Palatino Linotype"/>
        </w:rPr>
        <w:t>T</w:t>
      </w:r>
      <w:r w:rsidRPr="00097E08">
        <w:rPr>
          <w:rFonts w:ascii="Palatino Linotype" w:hAnsi="Palatino Linotype"/>
          <w:lang w:val="en"/>
        </w:rPr>
        <w:t>he</w:t>
      </w:r>
      <w:proofErr w:type="spellEnd"/>
      <w:r w:rsidRPr="00097E08">
        <w:rPr>
          <w:rFonts w:ascii="Palatino Linotype" w:hAnsi="Palatino Linotype"/>
          <w:lang w:val="en"/>
        </w:rPr>
        <w:t xml:space="preserve"> data obtained was then interpreted as follows;</w:t>
      </w:r>
    </w:p>
    <w:p w14:paraId="4EAE709C" w14:textId="55D67244" w:rsidR="006148DF" w:rsidRPr="00097E08" w:rsidRDefault="006148DF" w:rsidP="002B31FD">
      <w:pPr>
        <w:pStyle w:val="Alishlah31text"/>
        <w:rPr>
          <w:szCs w:val="20"/>
        </w:rPr>
      </w:pPr>
    </w:p>
    <w:p w14:paraId="02C0E6CD" w14:textId="77777777" w:rsidR="00097E08" w:rsidRPr="00097E08" w:rsidRDefault="006148DF" w:rsidP="00097E08">
      <w:pPr>
        <w:pStyle w:val="HTMLPreformatted"/>
        <w:rPr>
          <w:rFonts w:ascii="Palatino Linotype" w:hAnsi="Palatino Linotype"/>
        </w:rPr>
      </w:pPr>
      <w:proofErr w:type="spellStart"/>
      <w:proofErr w:type="gramStart"/>
      <w:r w:rsidRPr="00097E08">
        <w:rPr>
          <w:rFonts w:ascii="Palatino Linotype" w:hAnsi="Palatino Linotype"/>
        </w:rPr>
        <w:t>Tabel</w:t>
      </w:r>
      <w:proofErr w:type="spellEnd"/>
      <w:r w:rsidRPr="00097E08">
        <w:rPr>
          <w:rFonts w:ascii="Palatino Linotype" w:hAnsi="Palatino Linotype"/>
        </w:rPr>
        <w:t xml:space="preserve"> 2.</w:t>
      </w:r>
      <w:proofErr w:type="gramEnd"/>
      <w:r w:rsidRPr="00097E08">
        <w:rPr>
          <w:rFonts w:ascii="Palatino Linotype" w:hAnsi="Palatino Linotype"/>
        </w:rPr>
        <w:t xml:space="preserve"> </w:t>
      </w:r>
      <w:r w:rsidR="00097E08" w:rsidRPr="00097E08">
        <w:rPr>
          <w:rFonts w:ascii="Palatino Linotype" w:hAnsi="Palatino Linotype"/>
          <w:lang w:val="en"/>
        </w:rPr>
        <w:t>Interpretation of criteria for implementing the OBE-based learning model</w:t>
      </w:r>
    </w:p>
    <w:tbl>
      <w:tblPr>
        <w:tblW w:w="9145" w:type="dxa"/>
        <w:jc w:val="center"/>
        <w:tblBorders>
          <w:top w:val="single" w:sz="4" w:space="0" w:color="auto"/>
          <w:bottom w:val="single" w:sz="4" w:space="0" w:color="auto"/>
        </w:tblBorders>
        <w:tblLook w:val="04A0" w:firstRow="1" w:lastRow="0" w:firstColumn="1" w:lastColumn="0" w:noHBand="0" w:noVBand="1"/>
      </w:tblPr>
      <w:tblGrid>
        <w:gridCol w:w="746"/>
        <w:gridCol w:w="4892"/>
        <w:gridCol w:w="1479"/>
        <w:gridCol w:w="2028"/>
      </w:tblGrid>
      <w:tr w:rsidR="006148DF" w:rsidRPr="00097E08" w14:paraId="62693C07" w14:textId="77777777" w:rsidTr="00097E08">
        <w:trPr>
          <w:trHeight w:val="360"/>
          <w:jc w:val="center"/>
        </w:trPr>
        <w:tc>
          <w:tcPr>
            <w:tcW w:w="746" w:type="dxa"/>
            <w:tcBorders>
              <w:top w:val="single" w:sz="4" w:space="0" w:color="auto"/>
              <w:left w:val="nil"/>
              <w:bottom w:val="single" w:sz="4" w:space="0" w:color="auto"/>
              <w:right w:val="nil"/>
            </w:tcBorders>
            <w:noWrap/>
            <w:vAlign w:val="bottom"/>
            <w:hideMark/>
          </w:tcPr>
          <w:p w14:paraId="3C691467" w14:textId="77777777" w:rsidR="006148DF" w:rsidRPr="00097E08" w:rsidRDefault="006148DF" w:rsidP="00097E08">
            <w:pPr>
              <w:spacing w:after="0" w:line="360" w:lineRule="auto"/>
              <w:jc w:val="both"/>
              <w:rPr>
                <w:rFonts w:ascii="Palatino Linotype" w:hAnsi="Palatino Linotype"/>
                <w:b/>
                <w:bCs/>
                <w:color w:val="000000"/>
                <w:sz w:val="20"/>
                <w:szCs w:val="20"/>
                <w:lang w:val="en-AU" w:eastAsia="tr-TR"/>
              </w:rPr>
            </w:pPr>
            <w:r w:rsidRPr="00097E08">
              <w:rPr>
                <w:rFonts w:ascii="Palatino Linotype" w:hAnsi="Palatino Linotype"/>
                <w:b/>
                <w:bCs/>
                <w:color w:val="000000"/>
                <w:sz w:val="20"/>
                <w:szCs w:val="20"/>
              </w:rPr>
              <w:t>No</w:t>
            </w:r>
          </w:p>
        </w:tc>
        <w:tc>
          <w:tcPr>
            <w:tcW w:w="4892" w:type="dxa"/>
            <w:tcBorders>
              <w:top w:val="single" w:sz="4" w:space="0" w:color="auto"/>
              <w:left w:val="nil"/>
              <w:bottom w:val="single" w:sz="4" w:space="0" w:color="auto"/>
              <w:right w:val="nil"/>
            </w:tcBorders>
            <w:noWrap/>
            <w:vAlign w:val="bottom"/>
            <w:hideMark/>
          </w:tcPr>
          <w:p w14:paraId="264080BF" w14:textId="7DFE9655" w:rsidR="006148DF" w:rsidRPr="00097E08" w:rsidRDefault="00097E08" w:rsidP="00097E08">
            <w:pPr>
              <w:spacing w:after="0" w:line="360" w:lineRule="auto"/>
              <w:jc w:val="both"/>
              <w:rPr>
                <w:rFonts w:ascii="Palatino Linotype" w:hAnsi="Palatino Linotype"/>
                <w:b/>
                <w:bCs/>
                <w:color w:val="000000"/>
                <w:sz w:val="20"/>
                <w:szCs w:val="20"/>
                <w:lang w:val="en-AU" w:eastAsia="tr-TR"/>
              </w:rPr>
            </w:pPr>
            <w:r w:rsidRPr="00097E08">
              <w:rPr>
                <w:rFonts w:ascii="Palatino Linotype" w:hAnsi="Palatino Linotype"/>
                <w:b/>
                <w:bCs/>
                <w:color w:val="000000"/>
                <w:sz w:val="20"/>
                <w:szCs w:val="20"/>
              </w:rPr>
              <w:t>Indic</w:t>
            </w:r>
            <w:r w:rsidR="006148DF" w:rsidRPr="00097E08">
              <w:rPr>
                <w:rFonts w:ascii="Palatino Linotype" w:hAnsi="Palatino Linotype"/>
                <w:b/>
                <w:bCs/>
                <w:color w:val="000000"/>
                <w:sz w:val="20"/>
                <w:szCs w:val="20"/>
              </w:rPr>
              <w:t>ator</w:t>
            </w:r>
          </w:p>
        </w:tc>
        <w:tc>
          <w:tcPr>
            <w:tcW w:w="1479" w:type="dxa"/>
            <w:tcBorders>
              <w:top w:val="single" w:sz="4" w:space="0" w:color="auto"/>
              <w:left w:val="nil"/>
              <w:bottom w:val="single" w:sz="4" w:space="0" w:color="auto"/>
              <w:right w:val="nil"/>
            </w:tcBorders>
            <w:noWrap/>
            <w:vAlign w:val="bottom"/>
            <w:hideMark/>
          </w:tcPr>
          <w:p w14:paraId="1397E440" w14:textId="7B32C237" w:rsidR="006148DF" w:rsidRPr="00097E08" w:rsidRDefault="00097E08" w:rsidP="00097E08">
            <w:pPr>
              <w:spacing w:after="0" w:line="360" w:lineRule="auto"/>
              <w:jc w:val="both"/>
              <w:rPr>
                <w:rFonts w:ascii="Palatino Linotype" w:hAnsi="Palatino Linotype"/>
                <w:b/>
                <w:bCs/>
                <w:color w:val="000000"/>
                <w:sz w:val="20"/>
                <w:szCs w:val="20"/>
                <w:lang w:val="en-AU" w:eastAsia="tr-TR"/>
              </w:rPr>
            </w:pPr>
            <w:r w:rsidRPr="00097E08">
              <w:rPr>
                <w:rFonts w:ascii="Palatino Linotype" w:hAnsi="Palatino Linotype"/>
                <w:b/>
                <w:bCs/>
                <w:color w:val="000000"/>
                <w:sz w:val="20"/>
                <w:szCs w:val="20"/>
              </w:rPr>
              <w:t>Percentage</w:t>
            </w:r>
          </w:p>
        </w:tc>
        <w:tc>
          <w:tcPr>
            <w:tcW w:w="2028" w:type="dxa"/>
            <w:tcBorders>
              <w:top w:val="single" w:sz="4" w:space="0" w:color="auto"/>
              <w:left w:val="nil"/>
              <w:bottom w:val="single" w:sz="4" w:space="0" w:color="auto"/>
              <w:right w:val="nil"/>
            </w:tcBorders>
            <w:noWrap/>
            <w:vAlign w:val="bottom"/>
            <w:hideMark/>
          </w:tcPr>
          <w:p w14:paraId="451C1BF4" w14:textId="5AA6A39C" w:rsidR="006148DF" w:rsidRPr="00097E08" w:rsidRDefault="00097E08" w:rsidP="00097E08">
            <w:pPr>
              <w:spacing w:after="0" w:line="360" w:lineRule="auto"/>
              <w:jc w:val="both"/>
              <w:rPr>
                <w:rFonts w:ascii="Palatino Linotype" w:hAnsi="Palatino Linotype"/>
                <w:b/>
                <w:bCs/>
                <w:color w:val="000000"/>
                <w:sz w:val="20"/>
                <w:szCs w:val="20"/>
                <w:lang w:val="en-AU" w:eastAsia="tr-TR"/>
              </w:rPr>
            </w:pPr>
            <w:r w:rsidRPr="00097E08">
              <w:rPr>
                <w:rFonts w:ascii="Palatino Linotype" w:hAnsi="Palatino Linotype"/>
                <w:b/>
                <w:bCs/>
                <w:color w:val="000000"/>
                <w:sz w:val="20"/>
                <w:szCs w:val="20"/>
              </w:rPr>
              <w:t>Category</w:t>
            </w:r>
          </w:p>
        </w:tc>
      </w:tr>
      <w:tr w:rsidR="006148DF" w:rsidRPr="00097E08" w14:paraId="1771CC97" w14:textId="77777777" w:rsidTr="006E4C06">
        <w:trPr>
          <w:trHeight w:val="20"/>
          <w:jc w:val="center"/>
        </w:trPr>
        <w:tc>
          <w:tcPr>
            <w:tcW w:w="746" w:type="dxa"/>
            <w:tcBorders>
              <w:top w:val="single" w:sz="4" w:space="0" w:color="auto"/>
              <w:left w:val="nil"/>
              <w:bottom w:val="nil"/>
              <w:right w:val="nil"/>
            </w:tcBorders>
            <w:noWrap/>
            <w:vAlign w:val="bottom"/>
            <w:hideMark/>
          </w:tcPr>
          <w:p w14:paraId="7A30B0F5"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1</w:t>
            </w:r>
          </w:p>
        </w:tc>
        <w:tc>
          <w:tcPr>
            <w:tcW w:w="4892" w:type="dxa"/>
            <w:tcBorders>
              <w:top w:val="single" w:sz="4" w:space="0" w:color="auto"/>
              <w:left w:val="nil"/>
              <w:bottom w:val="nil"/>
              <w:right w:val="nil"/>
            </w:tcBorders>
            <w:noWrap/>
            <w:vAlign w:val="center"/>
            <w:hideMark/>
          </w:tcPr>
          <w:p w14:paraId="39018DBB" w14:textId="5439EEE4" w:rsidR="006148DF" w:rsidRP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atino Linotype" w:eastAsia="Times New Roman" w:hAnsi="Palatino Linotype" w:cs="Courier New"/>
                <w:sz w:val="20"/>
                <w:szCs w:val="20"/>
                <w:lang w:val="en-US"/>
              </w:rPr>
            </w:pPr>
            <w:r w:rsidRPr="00097E08">
              <w:rPr>
                <w:rFonts w:ascii="Palatino Linotype" w:eastAsia="Times New Roman" w:hAnsi="Palatino Linotype" w:cs="Courier New"/>
                <w:sz w:val="20"/>
                <w:szCs w:val="20"/>
                <w:lang w:val="en"/>
              </w:rPr>
              <w:t>Learning objectives</w:t>
            </w:r>
          </w:p>
        </w:tc>
        <w:tc>
          <w:tcPr>
            <w:tcW w:w="1479" w:type="dxa"/>
            <w:tcBorders>
              <w:top w:val="single" w:sz="4" w:space="0" w:color="auto"/>
              <w:left w:val="nil"/>
              <w:bottom w:val="nil"/>
              <w:right w:val="nil"/>
            </w:tcBorders>
            <w:noWrap/>
            <w:vAlign w:val="bottom"/>
            <w:hideMark/>
          </w:tcPr>
          <w:p w14:paraId="0BA719FA"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77,46%</w:t>
            </w:r>
          </w:p>
        </w:tc>
        <w:tc>
          <w:tcPr>
            <w:tcW w:w="2028" w:type="dxa"/>
            <w:tcBorders>
              <w:top w:val="single" w:sz="4" w:space="0" w:color="auto"/>
              <w:left w:val="nil"/>
              <w:bottom w:val="nil"/>
              <w:right w:val="nil"/>
            </w:tcBorders>
            <w:noWrap/>
            <w:vAlign w:val="bottom"/>
            <w:hideMark/>
          </w:tcPr>
          <w:p w14:paraId="249C3389" w14:textId="176DAE1F" w:rsidR="006148DF" w:rsidRPr="00097E08" w:rsidRDefault="00097E08"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agree</w:t>
            </w:r>
          </w:p>
        </w:tc>
      </w:tr>
      <w:tr w:rsidR="006148DF" w:rsidRPr="00097E08" w14:paraId="29451E6C" w14:textId="77777777" w:rsidTr="006E4C06">
        <w:trPr>
          <w:trHeight w:val="20"/>
          <w:jc w:val="center"/>
        </w:trPr>
        <w:tc>
          <w:tcPr>
            <w:tcW w:w="746" w:type="dxa"/>
            <w:tcBorders>
              <w:top w:val="nil"/>
              <w:left w:val="nil"/>
              <w:bottom w:val="nil"/>
              <w:right w:val="nil"/>
            </w:tcBorders>
            <w:noWrap/>
            <w:vAlign w:val="bottom"/>
            <w:hideMark/>
          </w:tcPr>
          <w:p w14:paraId="03C26AB7"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2</w:t>
            </w:r>
          </w:p>
        </w:tc>
        <w:tc>
          <w:tcPr>
            <w:tcW w:w="4892" w:type="dxa"/>
            <w:tcBorders>
              <w:top w:val="nil"/>
              <w:left w:val="nil"/>
              <w:bottom w:val="nil"/>
              <w:right w:val="nil"/>
            </w:tcBorders>
            <w:noWrap/>
            <w:vAlign w:val="center"/>
            <w:hideMark/>
          </w:tcPr>
          <w:p w14:paraId="5484A840" w14:textId="4B296FD6" w:rsidR="006148DF" w:rsidRPr="00097E08" w:rsidRDefault="00097E08" w:rsidP="00097E08">
            <w:pPr>
              <w:spacing w:after="0" w:line="360" w:lineRule="auto"/>
              <w:jc w:val="both"/>
              <w:rPr>
                <w:rFonts w:ascii="Palatino Linotype" w:hAnsi="Palatino Linotype"/>
                <w:color w:val="000000"/>
                <w:sz w:val="20"/>
                <w:szCs w:val="20"/>
                <w:lang w:eastAsia="tr-TR"/>
              </w:rPr>
            </w:pPr>
            <w:r w:rsidRPr="00097E08">
              <w:rPr>
                <w:rFonts w:ascii="Palatino Linotype" w:hAnsi="Palatino Linotype"/>
                <w:color w:val="000000" w:themeColor="text1"/>
                <w:sz w:val="20"/>
                <w:szCs w:val="20"/>
              </w:rPr>
              <w:t>Learning stages</w:t>
            </w:r>
          </w:p>
        </w:tc>
        <w:tc>
          <w:tcPr>
            <w:tcW w:w="1479" w:type="dxa"/>
            <w:tcBorders>
              <w:top w:val="nil"/>
              <w:left w:val="nil"/>
              <w:bottom w:val="nil"/>
              <w:right w:val="nil"/>
            </w:tcBorders>
            <w:noWrap/>
            <w:vAlign w:val="bottom"/>
            <w:hideMark/>
          </w:tcPr>
          <w:p w14:paraId="00377AD1"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77,88%</w:t>
            </w:r>
          </w:p>
        </w:tc>
        <w:tc>
          <w:tcPr>
            <w:tcW w:w="2028" w:type="dxa"/>
            <w:tcBorders>
              <w:top w:val="nil"/>
              <w:left w:val="nil"/>
              <w:bottom w:val="nil"/>
              <w:right w:val="nil"/>
            </w:tcBorders>
            <w:noWrap/>
            <w:hideMark/>
          </w:tcPr>
          <w:p w14:paraId="6B6F560D" w14:textId="58082719" w:rsidR="006148DF" w:rsidRPr="00097E08" w:rsidRDefault="00097E08" w:rsidP="00097E08">
            <w:pPr>
              <w:spacing w:after="0" w:line="360" w:lineRule="auto"/>
              <w:jc w:val="both"/>
              <w:rPr>
                <w:rFonts w:ascii="Palatino Linotype" w:hAnsi="Palatino Linotype"/>
                <w:sz w:val="20"/>
                <w:szCs w:val="20"/>
                <w:lang w:val="en-AU" w:eastAsia="tr-TR"/>
              </w:rPr>
            </w:pPr>
            <w:r w:rsidRPr="00097E08">
              <w:rPr>
                <w:rFonts w:ascii="Palatino Linotype" w:hAnsi="Palatino Linotype"/>
                <w:color w:val="000000"/>
                <w:sz w:val="20"/>
                <w:szCs w:val="20"/>
              </w:rPr>
              <w:t>agree</w:t>
            </w:r>
          </w:p>
        </w:tc>
      </w:tr>
      <w:tr w:rsidR="006148DF" w:rsidRPr="00097E08" w14:paraId="6E65455E" w14:textId="77777777" w:rsidTr="006E4C06">
        <w:trPr>
          <w:trHeight w:val="20"/>
          <w:jc w:val="center"/>
        </w:trPr>
        <w:tc>
          <w:tcPr>
            <w:tcW w:w="746" w:type="dxa"/>
            <w:tcBorders>
              <w:top w:val="nil"/>
              <w:left w:val="nil"/>
              <w:bottom w:val="nil"/>
              <w:right w:val="nil"/>
            </w:tcBorders>
            <w:noWrap/>
            <w:vAlign w:val="bottom"/>
            <w:hideMark/>
          </w:tcPr>
          <w:p w14:paraId="5BACD419"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lastRenderedPageBreak/>
              <w:t>3</w:t>
            </w:r>
          </w:p>
        </w:tc>
        <w:tc>
          <w:tcPr>
            <w:tcW w:w="4892" w:type="dxa"/>
            <w:tcBorders>
              <w:top w:val="nil"/>
              <w:left w:val="nil"/>
              <w:bottom w:val="nil"/>
              <w:right w:val="nil"/>
            </w:tcBorders>
            <w:noWrap/>
            <w:vAlign w:val="center"/>
            <w:hideMark/>
          </w:tcPr>
          <w:p w14:paraId="1051AC22" w14:textId="786BF6C3" w:rsidR="006148DF" w:rsidRP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atino Linotype" w:eastAsia="Times New Roman" w:hAnsi="Palatino Linotype" w:cs="Courier New"/>
                <w:sz w:val="20"/>
                <w:szCs w:val="20"/>
                <w:lang w:val="en-US"/>
              </w:rPr>
            </w:pPr>
            <w:r w:rsidRPr="00097E08">
              <w:rPr>
                <w:rFonts w:ascii="Palatino Linotype" w:eastAsia="Times New Roman" w:hAnsi="Palatino Linotype" w:cs="Courier New"/>
                <w:sz w:val="20"/>
                <w:szCs w:val="20"/>
                <w:lang w:val="en"/>
              </w:rPr>
              <w:t>Learning environment</w:t>
            </w:r>
          </w:p>
        </w:tc>
        <w:tc>
          <w:tcPr>
            <w:tcW w:w="1479" w:type="dxa"/>
            <w:tcBorders>
              <w:top w:val="nil"/>
              <w:left w:val="nil"/>
              <w:bottom w:val="nil"/>
              <w:right w:val="nil"/>
            </w:tcBorders>
            <w:noWrap/>
            <w:vAlign w:val="bottom"/>
            <w:hideMark/>
          </w:tcPr>
          <w:p w14:paraId="28456128"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80,9%</w:t>
            </w:r>
          </w:p>
        </w:tc>
        <w:tc>
          <w:tcPr>
            <w:tcW w:w="2028" w:type="dxa"/>
            <w:tcBorders>
              <w:top w:val="nil"/>
              <w:left w:val="nil"/>
              <w:bottom w:val="nil"/>
              <w:right w:val="nil"/>
            </w:tcBorders>
            <w:noWrap/>
            <w:hideMark/>
          </w:tcPr>
          <w:p w14:paraId="08ACF5FB" w14:textId="22DC47B4" w:rsidR="006148DF" w:rsidRPr="00097E08" w:rsidRDefault="00097E08" w:rsidP="00097E08">
            <w:pPr>
              <w:spacing w:after="0" w:line="360" w:lineRule="auto"/>
              <w:jc w:val="both"/>
              <w:rPr>
                <w:rFonts w:ascii="Palatino Linotype" w:hAnsi="Palatino Linotype"/>
                <w:sz w:val="20"/>
                <w:szCs w:val="20"/>
                <w:lang w:val="en-AU" w:eastAsia="tr-TR"/>
              </w:rPr>
            </w:pPr>
            <w:r w:rsidRPr="00097E08">
              <w:rPr>
                <w:rFonts w:ascii="Palatino Linotype" w:hAnsi="Palatino Linotype"/>
                <w:color w:val="000000"/>
                <w:sz w:val="20"/>
                <w:szCs w:val="20"/>
              </w:rPr>
              <w:t>agree</w:t>
            </w:r>
          </w:p>
        </w:tc>
      </w:tr>
      <w:tr w:rsidR="006148DF" w:rsidRPr="00097E08" w14:paraId="017BCDCF" w14:textId="77777777" w:rsidTr="006E4C06">
        <w:trPr>
          <w:trHeight w:val="20"/>
          <w:jc w:val="center"/>
        </w:trPr>
        <w:tc>
          <w:tcPr>
            <w:tcW w:w="746" w:type="dxa"/>
            <w:tcBorders>
              <w:top w:val="nil"/>
              <w:left w:val="nil"/>
              <w:bottom w:val="nil"/>
              <w:right w:val="nil"/>
            </w:tcBorders>
            <w:noWrap/>
            <w:vAlign w:val="bottom"/>
            <w:hideMark/>
          </w:tcPr>
          <w:p w14:paraId="3E232747"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4</w:t>
            </w:r>
          </w:p>
        </w:tc>
        <w:tc>
          <w:tcPr>
            <w:tcW w:w="4892" w:type="dxa"/>
            <w:tcBorders>
              <w:top w:val="nil"/>
              <w:left w:val="nil"/>
              <w:bottom w:val="nil"/>
              <w:right w:val="nil"/>
            </w:tcBorders>
            <w:noWrap/>
            <w:vAlign w:val="center"/>
            <w:hideMark/>
          </w:tcPr>
          <w:p w14:paraId="65A6997F" w14:textId="1A9C1F0B" w:rsidR="006148DF" w:rsidRP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atino Linotype" w:eastAsia="Times New Roman" w:hAnsi="Palatino Linotype" w:cs="Courier New"/>
                <w:sz w:val="20"/>
                <w:szCs w:val="20"/>
                <w:lang w:val="en-US"/>
              </w:rPr>
            </w:pPr>
            <w:r w:rsidRPr="00097E08">
              <w:rPr>
                <w:rFonts w:ascii="Palatino Linotype" w:eastAsia="Times New Roman" w:hAnsi="Palatino Linotype" w:cs="Courier New"/>
                <w:sz w:val="20"/>
                <w:szCs w:val="20"/>
                <w:lang w:val="en"/>
              </w:rPr>
              <w:t>classroom environment</w:t>
            </w:r>
          </w:p>
        </w:tc>
        <w:tc>
          <w:tcPr>
            <w:tcW w:w="1479" w:type="dxa"/>
            <w:tcBorders>
              <w:top w:val="nil"/>
              <w:left w:val="nil"/>
              <w:bottom w:val="nil"/>
              <w:right w:val="nil"/>
            </w:tcBorders>
            <w:noWrap/>
            <w:vAlign w:val="bottom"/>
            <w:hideMark/>
          </w:tcPr>
          <w:p w14:paraId="435B7AA6"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71,6%</w:t>
            </w:r>
          </w:p>
        </w:tc>
        <w:tc>
          <w:tcPr>
            <w:tcW w:w="2028" w:type="dxa"/>
            <w:tcBorders>
              <w:top w:val="nil"/>
              <w:left w:val="nil"/>
              <w:bottom w:val="nil"/>
              <w:right w:val="nil"/>
            </w:tcBorders>
            <w:noWrap/>
            <w:hideMark/>
          </w:tcPr>
          <w:p w14:paraId="277D0028" w14:textId="54DA4D2E" w:rsidR="006148DF" w:rsidRPr="00097E08" w:rsidRDefault="00097E08"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agree</w:t>
            </w:r>
          </w:p>
        </w:tc>
      </w:tr>
      <w:tr w:rsidR="006148DF" w:rsidRPr="00097E08" w14:paraId="1E5F3D6E" w14:textId="77777777" w:rsidTr="006E4C06">
        <w:trPr>
          <w:trHeight w:val="20"/>
          <w:jc w:val="center"/>
        </w:trPr>
        <w:tc>
          <w:tcPr>
            <w:tcW w:w="746" w:type="dxa"/>
            <w:tcBorders>
              <w:top w:val="nil"/>
              <w:left w:val="nil"/>
              <w:bottom w:val="single" w:sz="4" w:space="0" w:color="auto"/>
              <w:right w:val="nil"/>
            </w:tcBorders>
            <w:noWrap/>
            <w:vAlign w:val="bottom"/>
          </w:tcPr>
          <w:p w14:paraId="0593386C"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p>
        </w:tc>
        <w:tc>
          <w:tcPr>
            <w:tcW w:w="4892" w:type="dxa"/>
            <w:tcBorders>
              <w:top w:val="nil"/>
              <w:left w:val="nil"/>
              <w:bottom w:val="single" w:sz="4" w:space="0" w:color="auto"/>
              <w:right w:val="nil"/>
            </w:tcBorders>
            <w:noWrap/>
            <w:vAlign w:val="center"/>
            <w:hideMark/>
          </w:tcPr>
          <w:p w14:paraId="7BE83FE1" w14:textId="49FEE778" w:rsidR="006148DF" w:rsidRPr="00097E08" w:rsidRDefault="00097E08" w:rsidP="00097E08">
            <w:pPr>
              <w:spacing w:after="0" w:line="360" w:lineRule="auto"/>
              <w:jc w:val="both"/>
              <w:rPr>
                <w:rFonts w:ascii="Palatino Linotype" w:hAnsi="Palatino Linotype"/>
                <w:b/>
                <w:sz w:val="20"/>
                <w:szCs w:val="20"/>
                <w:lang w:val="en-AU" w:eastAsia="tr-TR"/>
              </w:rPr>
            </w:pPr>
            <w:r w:rsidRPr="00097E08">
              <w:rPr>
                <w:rFonts w:ascii="Palatino Linotype" w:hAnsi="Palatino Linotype"/>
                <w:b/>
                <w:sz w:val="20"/>
                <w:szCs w:val="20"/>
              </w:rPr>
              <w:t>Average</w:t>
            </w:r>
          </w:p>
        </w:tc>
        <w:tc>
          <w:tcPr>
            <w:tcW w:w="1479" w:type="dxa"/>
            <w:tcBorders>
              <w:top w:val="nil"/>
              <w:left w:val="nil"/>
              <w:bottom w:val="single" w:sz="4" w:space="0" w:color="auto"/>
              <w:right w:val="nil"/>
            </w:tcBorders>
            <w:noWrap/>
            <w:vAlign w:val="bottom"/>
            <w:hideMark/>
          </w:tcPr>
          <w:p w14:paraId="17E78C5F" w14:textId="77777777" w:rsidR="006148DF" w:rsidRPr="00097E08" w:rsidRDefault="006148DF"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76,96%</w:t>
            </w:r>
          </w:p>
        </w:tc>
        <w:tc>
          <w:tcPr>
            <w:tcW w:w="2028" w:type="dxa"/>
            <w:tcBorders>
              <w:top w:val="nil"/>
              <w:left w:val="nil"/>
              <w:bottom w:val="single" w:sz="4" w:space="0" w:color="auto"/>
              <w:right w:val="nil"/>
            </w:tcBorders>
            <w:noWrap/>
            <w:hideMark/>
          </w:tcPr>
          <w:p w14:paraId="2900CA57" w14:textId="1FEC096D" w:rsidR="006148DF" w:rsidRPr="00097E08" w:rsidRDefault="00097E08" w:rsidP="00097E08">
            <w:pPr>
              <w:spacing w:after="0" w:line="360" w:lineRule="auto"/>
              <w:jc w:val="both"/>
              <w:rPr>
                <w:rFonts w:ascii="Palatino Linotype" w:hAnsi="Palatino Linotype"/>
                <w:color w:val="000000"/>
                <w:sz w:val="20"/>
                <w:szCs w:val="20"/>
                <w:lang w:val="en-AU" w:eastAsia="tr-TR"/>
              </w:rPr>
            </w:pPr>
            <w:r w:rsidRPr="00097E08">
              <w:rPr>
                <w:rFonts w:ascii="Palatino Linotype" w:hAnsi="Palatino Linotype"/>
                <w:color w:val="000000"/>
                <w:sz w:val="20"/>
                <w:szCs w:val="20"/>
              </w:rPr>
              <w:t>agree</w:t>
            </w:r>
          </w:p>
        </w:tc>
      </w:tr>
    </w:tbl>
    <w:p w14:paraId="08E41DA3" w14:textId="77777777" w:rsidR="006148DF" w:rsidRPr="00097E08" w:rsidRDefault="006148DF" w:rsidP="002B31FD">
      <w:pPr>
        <w:pStyle w:val="Alishlah31text"/>
        <w:rPr>
          <w:szCs w:val="20"/>
        </w:rPr>
      </w:pPr>
    </w:p>
    <w:p w14:paraId="65E0FB3F" w14:textId="51750A2F" w:rsidR="00097E08" w:rsidRP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US"/>
        </w:rPr>
      </w:pPr>
      <w:r>
        <w:rPr>
          <w:rFonts w:ascii="Courier New" w:eastAsia="Times New Roman" w:hAnsi="Courier New" w:cs="Courier New"/>
          <w:sz w:val="20"/>
          <w:szCs w:val="20"/>
          <w:lang w:val="en"/>
        </w:rPr>
        <w:tab/>
      </w:r>
      <w:r w:rsidRPr="00097E08">
        <w:rPr>
          <w:rFonts w:ascii="Palatino Linotype" w:eastAsia="Times New Roman" w:hAnsi="Palatino Linotype" w:cs="Courier New"/>
          <w:sz w:val="20"/>
          <w:szCs w:val="20"/>
          <w:lang w:val="en"/>
        </w:rPr>
        <w:t>The implementation of the OBE-based learning model in the Andragogy course is carried out by adopting the Deming analysis cycle, namely PDCA (Plan, Do, Check, Act) (</w:t>
      </w:r>
      <w:proofErr w:type="spellStart"/>
      <w:r w:rsidRPr="00097E08">
        <w:rPr>
          <w:rFonts w:ascii="Palatino Linotype" w:eastAsia="Times New Roman" w:hAnsi="Palatino Linotype" w:cs="Courier New"/>
          <w:sz w:val="20"/>
          <w:szCs w:val="20"/>
          <w:lang w:val="en"/>
        </w:rPr>
        <w:t>Asmuni</w:t>
      </w:r>
      <w:proofErr w:type="spellEnd"/>
      <w:r w:rsidRPr="00097E08">
        <w:rPr>
          <w:rFonts w:ascii="Palatino Linotype" w:eastAsia="Times New Roman" w:hAnsi="Palatino Linotype" w:cs="Courier New"/>
          <w:sz w:val="20"/>
          <w:szCs w:val="20"/>
          <w:lang w:val="en"/>
        </w:rPr>
        <w:t>, 2013) with the following description;</w:t>
      </w:r>
    </w:p>
    <w:p w14:paraId="25D7B07E" w14:textId="77777777" w:rsidR="006148DF" w:rsidRPr="00097E08" w:rsidRDefault="006148DF" w:rsidP="00097E08">
      <w:pPr>
        <w:pStyle w:val="ListParagraph"/>
        <w:numPr>
          <w:ilvl w:val="3"/>
          <w:numId w:val="19"/>
        </w:numPr>
        <w:spacing w:after="0" w:line="273" w:lineRule="auto"/>
        <w:ind w:left="426" w:hanging="426"/>
        <w:jc w:val="both"/>
        <w:rPr>
          <w:rFonts w:ascii="Palatino Linotype" w:hAnsi="Palatino Linotype"/>
          <w:i/>
          <w:sz w:val="20"/>
          <w:szCs w:val="20"/>
        </w:rPr>
      </w:pPr>
      <w:r w:rsidRPr="00097E08">
        <w:rPr>
          <w:rFonts w:ascii="Palatino Linotype" w:hAnsi="Palatino Linotype"/>
          <w:i/>
          <w:sz w:val="20"/>
          <w:szCs w:val="20"/>
        </w:rPr>
        <w:t xml:space="preserve">Plan </w:t>
      </w:r>
    </w:p>
    <w:p w14:paraId="3A14DB16" w14:textId="54602DB7" w:rsidR="003D0D50" w:rsidRPr="003D0D50" w:rsidRDefault="003D0D50" w:rsidP="003D0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Palatino Linotype" w:eastAsia="Times New Roman" w:hAnsi="Palatino Linotype" w:cs="Courier New"/>
          <w:sz w:val="20"/>
          <w:szCs w:val="20"/>
          <w:lang w:val="en"/>
        </w:rPr>
      </w:pPr>
      <w:r w:rsidRPr="003D0D50">
        <w:rPr>
          <w:rFonts w:ascii="Palatino Linotype" w:eastAsia="Times New Roman" w:hAnsi="Palatino Linotype" w:cs="Courier New"/>
          <w:sz w:val="20"/>
          <w:szCs w:val="20"/>
          <w:lang w:val="en"/>
        </w:rPr>
        <w:t>At the planning stage, which is indicated by the learning objective indicator, namely creating a Semester learning plan (RPS) which is directed at achieving graduate learning outcomes (CPL) for study programs and CPMK (Course Learning Outcomes) (</w:t>
      </w:r>
      <w:proofErr w:type="spellStart"/>
      <w:r w:rsidRPr="003D0D50">
        <w:rPr>
          <w:rFonts w:ascii="Palatino Linotype" w:eastAsia="Times New Roman" w:hAnsi="Palatino Linotype" w:cs="Courier New"/>
          <w:sz w:val="20"/>
          <w:szCs w:val="20"/>
          <w:lang w:val="en"/>
        </w:rPr>
        <w:t>Nugraha</w:t>
      </w:r>
      <w:proofErr w:type="spellEnd"/>
      <w:r>
        <w:rPr>
          <w:rFonts w:ascii="Palatino Linotype" w:eastAsia="Times New Roman" w:hAnsi="Palatino Linotype" w:cs="Courier New"/>
          <w:sz w:val="20"/>
          <w:szCs w:val="20"/>
          <w:lang w:val="en"/>
        </w:rPr>
        <w:t xml:space="preserve"> et al., 2021), (</w:t>
      </w:r>
      <w:proofErr w:type="spellStart"/>
      <w:r>
        <w:rPr>
          <w:rFonts w:ascii="Palatino Linotype" w:eastAsia="Times New Roman" w:hAnsi="Palatino Linotype" w:cs="Courier New"/>
          <w:sz w:val="20"/>
          <w:szCs w:val="20"/>
          <w:lang w:val="en"/>
        </w:rPr>
        <w:t>Julianto</w:t>
      </w:r>
      <w:proofErr w:type="spellEnd"/>
      <w:r>
        <w:rPr>
          <w:rFonts w:ascii="Palatino Linotype" w:eastAsia="Times New Roman" w:hAnsi="Palatino Linotype" w:cs="Courier New"/>
          <w:sz w:val="20"/>
          <w:szCs w:val="20"/>
          <w:lang w:val="en"/>
        </w:rPr>
        <w:t xml:space="preserve"> et al</w:t>
      </w:r>
      <w:r w:rsidRPr="003D0D50">
        <w:rPr>
          <w:rFonts w:ascii="Palatino Linotype" w:eastAsia="Times New Roman" w:hAnsi="Palatino Linotype" w:cs="Courier New"/>
          <w:sz w:val="20"/>
          <w:szCs w:val="20"/>
          <w:lang w:val="en"/>
        </w:rPr>
        <w:t>., 2022) adapt to the demands of the teaching profession and managers of public education institutions. (</w:t>
      </w:r>
      <w:proofErr w:type="spellStart"/>
      <w:r w:rsidRPr="003D0D50">
        <w:rPr>
          <w:rFonts w:ascii="Palatino Linotype" w:eastAsia="Times New Roman" w:hAnsi="Palatino Linotype" w:cs="Courier New"/>
          <w:sz w:val="20"/>
          <w:szCs w:val="20"/>
          <w:lang w:val="en"/>
        </w:rPr>
        <w:t>Sitepu</w:t>
      </w:r>
      <w:proofErr w:type="spellEnd"/>
      <w:r w:rsidRPr="003D0D50">
        <w:rPr>
          <w:rFonts w:ascii="Palatino Linotype" w:eastAsia="Times New Roman" w:hAnsi="Palatino Linotype" w:cs="Courier New"/>
          <w:sz w:val="20"/>
          <w:szCs w:val="20"/>
          <w:lang w:val="en"/>
        </w:rPr>
        <w:t xml:space="preserve"> &amp; Lestari, 2018), argue that the learning objective indicator determined at the beginning will guide educational practitioners in making semester learning plans (RPS) and then the RPS will become a guide for implementing Graduating Learning Achievement (CPL) and Course Learning Achievement ( CPMK) (</w:t>
      </w:r>
      <w:proofErr w:type="spellStart"/>
      <w:r w:rsidRPr="003D0D50">
        <w:rPr>
          <w:rFonts w:ascii="Palatino Linotype" w:eastAsia="Times New Roman" w:hAnsi="Palatino Linotype" w:cs="Courier New"/>
          <w:sz w:val="20"/>
          <w:szCs w:val="20"/>
          <w:lang w:val="en"/>
        </w:rPr>
        <w:t>Rusmardi</w:t>
      </w:r>
      <w:proofErr w:type="spellEnd"/>
      <w:r w:rsidRPr="003D0D50">
        <w:rPr>
          <w:rFonts w:ascii="Palatino Linotype" w:eastAsia="Times New Roman" w:hAnsi="Palatino Linotype" w:cs="Courier New"/>
          <w:sz w:val="20"/>
          <w:szCs w:val="20"/>
          <w:lang w:val="en"/>
        </w:rPr>
        <w:t>, 2023), (</w:t>
      </w:r>
      <w:proofErr w:type="spellStart"/>
      <w:r w:rsidRPr="003D0D50">
        <w:rPr>
          <w:rFonts w:ascii="Palatino Linotype" w:eastAsia="Times New Roman" w:hAnsi="Palatino Linotype" w:cs="Courier New"/>
          <w:sz w:val="20"/>
          <w:szCs w:val="20"/>
          <w:lang w:val="en"/>
        </w:rPr>
        <w:t>Septiana</w:t>
      </w:r>
      <w:proofErr w:type="spellEnd"/>
      <w:r w:rsidRPr="003D0D50">
        <w:rPr>
          <w:rFonts w:ascii="Palatino Linotype" w:eastAsia="Times New Roman" w:hAnsi="Palatino Linotype" w:cs="Courier New"/>
          <w:sz w:val="20"/>
          <w:szCs w:val="20"/>
          <w:lang w:val="en"/>
        </w:rPr>
        <w:t>, 2023), (</w:t>
      </w:r>
      <w:proofErr w:type="spellStart"/>
      <w:r w:rsidRPr="003D0D50">
        <w:rPr>
          <w:rFonts w:ascii="Palatino Linotype" w:eastAsia="Times New Roman" w:hAnsi="Palatino Linotype" w:cs="Courier New"/>
          <w:sz w:val="20"/>
          <w:szCs w:val="20"/>
          <w:lang w:val="en"/>
        </w:rPr>
        <w:t>Sukirman</w:t>
      </w:r>
      <w:proofErr w:type="spellEnd"/>
      <w:r w:rsidRPr="003D0D50">
        <w:rPr>
          <w:rFonts w:ascii="Palatino Linotype" w:eastAsia="Times New Roman" w:hAnsi="Palatino Linotype" w:cs="Courier New"/>
          <w:sz w:val="20"/>
          <w:szCs w:val="20"/>
          <w:lang w:val="en"/>
        </w:rPr>
        <w:t xml:space="preserve"> et al., 2023). The learning plans prepared are also adapted to the needs of the labor market, current social phenomena and are also based on student needs and the expertise of educators, namely lecturers. This is considered to be a very important initial basis for implementing OBE on campus because the objectives must be in accordance with the needs of the job market and the profile of graduates. </w:t>
      </w:r>
      <w:proofErr w:type="gramStart"/>
      <w:r w:rsidRPr="003D0D50">
        <w:rPr>
          <w:rFonts w:ascii="Palatino Linotype" w:eastAsia="Times New Roman" w:hAnsi="Palatino Linotype" w:cs="Courier New"/>
          <w:sz w:val="20"/>
          <w:szCs w:val="20"/>
          <w:lang w:val="en"/>
        </w:rPr>
        <w:t xml:space="preserve">(Yang &amp; Fan, 2022), (Sharma &amp; </w:t>
      </w:r>
      <w:proofErr w:type="spellStart"/>
      <w:r w:rsidRPr="003D0D50">
        <w:rPr>
          <w:rFonts w:ascii="Palatino Linotype" w:eastAsia="Times New Roman" w:hAnsi="Palatino Linotype" w:cs="Courier New"/>
          <w:sz w:val="20"/>
          <w:szCs w:val="20"/>
          <w:lang w:val="en"/>
        </w:rPr>
        <w:t>Dwivedi</w:t>
      </w:r>
      <w:proofErr w:type="spellEnd"/>
      <w:r w:rsidRPr="003D0D50">
        <w:rPr>
          <w:rFonts w:ascii="Palatino Linotype" w:eastAsia="Times New Roman" w:hAnsi="Palatino Linotype" w:cs="Courier New"/>
          <w:sz w:val="20"/>
          <w:szCs w:val="20"/>
          <w:lang w:val="en"/>
        </w:rPr>
        <w:t>, 2021), (</w:t>
      </w:r>
      <w:proofErr w:type="spellStart"/>
      <w:r w:rsidRPr="003D0D50">
        <w:rPr>
          <w:rFonts w:ascii="Palatino Linotype" w:eastAsia="Times New Roman" w:hAnsi="Palatino Linotype" w:cs="Courier New"/>
          <w:sz w:val="20"/>
          <w:szCs w:val="20"/>
          <w:lang w:val="en"/>
        </w:rPr>
        <w:t>Rosiawan</w:t>
      </w:r>
      <w:proofErr w:type="spellEnd"/>
      <w:r w:rsidRPr="003D0D50">
        <w:rPr>
          <w:rFonts w:ascii="Palatino Linotype" w:eastAsia="Times New Roman" w:hAnsi="Palatino Linotype" w:cs="Courier New"/>
          <w:sz w:val="20"/>
          <w:szCs w:val="20"/>
          <w:lang w:val="en"/>
        </w:rPr>
        <w:t>, 2023).</w:t>
      </w:r>
      <w:proofErr w:type="gramEnd"/>
      <w:r w:rsidRPr="003D0D50">
        <w:rPr>
          <w:rFonts w:ascii="Palatino Linotype" w:eastAsia="Times New Roman" w:hAnsi="Palatino Linotype" w:cs="Courier New"/>
          <w:sz w:val="20"/>
          <w:szCs w:val="20"/>
          <w:lang w:val="en"/>
        </w:rPr>
        <w:t xml:space="preserve"> If you look at the profile of Medan University's community education graduates, namely educators and practitioners, research assistants, community education analysts and community empowerment facilitators, they have been adjusted in making RPS and teaching materials such as books that have been provided based on student needs which contain various cases and phenomena regarding the implementation of education. </w:t>
      </w:r>
      <w:proofErr w:type="gramStart"/>
      <w:r w:rsidRPr="003D0D50">
        <w:rPr>
          <w:rFonts w:ascii="Palatino Linotype" w:eastAsia="Times New Roman" w:hAnsi="Palatino Linotype" w:cs="Courier New"/>
          <w:sz w:val="20"/>
          <w:szCs w:val="20"/>
          <w:lang w:val="en"/>
        </w:rPr>
        <w:t>adults</w:t>
      </w:r>
      <w:proofErr w:type="gramEnd"/>
      <w:r w:rsidRPr="003D0D50">
        <w:rPr>
          <w:rFonts w:ascii="Palatino Linotype" w:eastAsia="Times New Roman" w:hAnsi="Palatino Linotype" w:cs="Courier New"/>
          <w:sz w:val="20"/>
          <w:szCs w:val="20"/>
          <w:lang w:val="en"/>
        </w:rPr>
        <w:t xml:space="preserve"> in local and international communities (Stein, 2002), (</w:t>
      </w:r>
      <w:proofErr w:type="spellStart"/>
      <w:r w:rsidRPr="003D0D50">
        <w:rPr>
          <w:rFonts w:ascii="Palatino Linotype" w:eastAsia="Times New Roman" w:hAnsi="Palatino Linotype" w:cs="Courier New"/>
          <w:sz w:val="20"/>
          <w:szCs w:val="20"/>
          <w:lang w:val="en"/>
        </w:rPr>
        <w:t>Egetenmeyer</w:t>
      </w:r>
      <w:proofErr w:type="spellEnd"/>
      <w:r w:rsidRPr="003D0D50">
        <w:rPr>
          <w:rFonts w:ascii="Palatino Linotype" w:eastAsia="Times New Roman" w:hAnsi="Palatino Linotype" w:cs="Courier New"/>
          <w:sz w:val="20"/>
          <w:szCs w:val="20"/>
          <w:lang w:val="en"/>
        </w:rPr>
        <w:t xml:space="preserve"> et al., 2017).</w:t>
      </w:r>
      <w:r>
        <w:rPr>
          <w:rFonts w:ascii="Palatino Linotype" w:eastAsia="Times New Roman" w:hAnsi="Palatino Linotype" w:cs="Courier New"/>
          <w:sz w:val="20"/>
          <w:szCs w:val="20"/>
          <w:lang w:val="en"/>
        </w:rPr>
        <w:t xml:space="preserve"> </w:t>
      </w:r>
      <w:r w:rsidRPr="003D0D50">
        <w:rPr>
          <w:rFonts w:ascii="Palatino Linotype" w:eastAsia="Times New Roman" w:hAnsi="Palatino Linotype" w:cs="Courier New"/>
          <w:sz w:val="20"/>
          <w:szCs w:val="20"/>
          <w:lang w:val="en"/>
        </w:rPr>
        <w:t xml:space="preserve">Evaluation of this learning plan revealed that 77.46% of respondents agreed that learning planning aims to produce changes in attitudes, increase knowledge, and improve students' general and specific skills. The results of this evaluation provide an illustration that the learning plan prepared has succeeded in gaining significant support from stakeholders, which include students, lecturers and other related parties. Thus, this planning stage not only leads to the preparation of learning materials, but also to the formation of attitudes and skills that are in accordance with the demands of the profession in the future. </w:t>
      </w:r>
      <w:proofErr w:type="gramStart"/>
      <w:r w:rsidRPr="003D0D50">
        <w:rPr>
          <w:rFonts w:ascii="Palatino Linotype" w:eastAsia="Times New Roman" w:hAnsi="Palatino Linotype" w:cs="Courier New"/>
          <w:sz w:val="20"/>
          <w:szCs w:val="20"/>
          <w:lang w:val="en"/>
        </w:rPr>
        <w:t>(</w:t>
      </w:r>
      <w:proofErr w:type="spellStart"/>
      <w:r w:rsidRPr="003D0D50">
        <w:rPr>
          <w:rFonts w:ascii="Palatino Linotype" w:eastAsia="Times New Roman" w:hAnsi="Palatino Linotype" w:cs="Courier New"/>
          <w:sz w:val="20"/>
          <w:szCs w:val="20"/>
          <w:lang w:val="en"/>
        </w:rPr>
        <w:t>Trede</w:t>
      </w:r>
      <w:proofErr w:type="spellEnd"/>
      <w:r w:rsidRPr="003D0D50">
        <w:rPr>
          <w:rFonts w:ascii="Palatino Linotype" w:eastAsia="Times New Roman" w:hAnsi="Palatino Linotype" w:cs="Courier New"/>
          <w:sz w:val="20"/>
          <w:szCs w:val="20"/>
          <w:lang w:val="en"/>
        </w:rPr>
        <w:t xml:space="preserve"> et al., 2019).</w:t>
      </w:r>
      <w:proofErr w:type="gramEnd"/>
      <w:r w:rsidRPr="003D0D50">
        <w:rPr>
          <w:rFonts w:ascii="Palatino Linotype" w:eastAsia="Times New Roman" w:hAnsi="Palatino Linotype" w:cs="Courier New"/>
          <w:sz w:val="20"/>
          <w:szCs w:val="20"/>
          <w:lang w:val="en"/>
        </w:rPr>
        <w:t xml:space="preserve"> The strong support from respondents in this case is an important stepping stone in continuing the next stages in implementing OBE-based Andragogy learning in the university environment.</w:t>
      </w:r>
    </w:p>
    <w:p w14:paraId="6A0D8D60" w14:textId="77777777" w:rsidR="006148DF" w:rsidRPr="006148DF" w:rsidRDefault="006148DF" w:rsidP="006148DF">
      <w:pPr>
        <w:pStyle w:val="ListParagraph"/>
        <w:numPr>
          <w:ilvl w:val="3"/>
          <w:numId w:val="19"/>
        </w:numPr>
        <w:spacing w:after="0" w:line="273" w:lineRule="auto"/>
        <w:ind w:left="426"/>
        <w:jc w:val="both"/>
        <w:rPr>
          <w:rFonts w:ascii="Palatino Linotype" w:hAnsi="Palatino Linotype"/>
          <w:i/>
          <w:sz w:val="20"/>
          <w:szCs w:val="20"/>
        </w:rPr>
      </w:pPr>
      <w:r w:rsidRPr="006148DF">
        <w:rPr>
          <w:rFonts w:ascii="Palatino Linotype" w:hAnsi="Palatino Linotype"/>
          <w:i/>
          <w:sz w:val="20"/>
          <w:szCs w:val="20"/>
        </w:rPr>
        <w:t>Do</w:t>
      </w:r>
    </w:p>
    <w:p w14:paraId="6954C589" w14:textId="607DBB52" w:rsidR="003D0D50" w:rsidRPr="003D0D50" w:rsidRDefault="003D0D50" w:rsidP="003D0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Palatino Linotype" w:eastAsia="Times New Roman" w:hAnsi="Palatino Linotype" w:cs="Courier New"/>
          <w:sz w:val="20"/>
          <w:szCs w:val="20"/>
          <w:lang w:val="en-US"/>
        </w:rPr>
      </w:pPr>
      <w:r w:rsidRPr="003D0D50">
        <w:rPr>
          <w:rFonts w:ascii="Palatino Linotype" w:eastAsia="Times New Roman" w:hAnsi="Palatino Linotype" w:cs="Courier New"/>
          <w:sz w:val="20"/>
          <w:szCs w:val="20"/>
          <w:lang w:val="en"/>
        </w:rPr>
        <w:t>The implementation in question is realizing the plan. Based on the 5 question items, the percentage result obtained was 77.88% agreeing that the implementation of learning begins with pre-instructional, namely apperception activities, followed by the instructional stage, namely core learning activities with various learning methods referring to the study program CPL, and the evaluation stage carries out discussions, feedback and conclusions. , convey the material that will be discussed at the next meeting. Apart from learning in class, at the do stage, students are directed to carry out small research and case studies to see directly the phenomenon of adult learning both in community educational institutions and in the community where they live. The results obtained will be brought into class to be discussed in depth with classmates and lecturers, (</w:t>
      </w:r>
      <w:proofErr w:type="spellStart"/>
      <w:r w:rsidRPr="003D0D50">
        <w:rPr>
          <w:rFonts w:ascii="Palatino Linotype" w:eastAsia="Times New Roman" w:hAnsi="Palatino Linotype" w:cs="Courier New"/>
          <w:sz w:val="20"/>
          <w:szCs w:val="20"/>
          <w:lang w:val="en"/>
        </w:rPr>
        <w:t>Winstanley</w:t>
      </w:r>
      <w:proofErr w:type="spellEnd"/>
      <w:r w:rsidRPr="003D0D50">
        <w:rPr>
          <w:rFonts w:ascii="Palatino Linotype" w:eastAsia="Times New Roman" w:hAnsi="Palatino Linotype" w:cs="Courier New"/>
          <w:sz w:val="20"/>
          <w:szCs w:val="20"/>
          <w:lang w:val="en"/>
        </w:rPr>
        <w:t>, 2023), (</w:t>
      </w:r>
      <w:proofErr w:type="spellStart"/>
      <w:r w:rsidRPr="003D0D50">
        <w:rPr>
          <w:rFonts w:ascii="Palatino Linotype" w:eastAsia="Times New Roman" w:hAnsi="Palatino Linotype" w:cs="Courier New"/>
          <w:sz w:val="20"/>
          <w:szCs w:val="20"/>
          <w:lang w:val="en"/>
        </w:rPr>
        <w:t>Rumohr</w:t>
      </w:r>
      <w:proofErr w:type="spellEnd"/>
      <w:r w:rsidRPr="003D0D50">
        <w:rPr>
          <w:rFonts w:ascii="Palatino Linotype" w:eastAsia="Times New Roman" w:hAnsi="Palatino Linotype" w:cs="Courier New"/>
          <w:sz w:val="20"/>
          <w:szCs w:val="20"/>
          <w:lang w:val="en"/>
        </w:rPr>
        <w:t xml:space="preserve">, 2013). Several problems regarding the practice of andragogy that were found in the field were sought for alternative solutions to solve these problems with </w:t>
      </w:r>
      <w:r w:rsidRPr="003D0D50">
        <w:rPr>
          <w:rFonts w:ascii="Palatino Linotype" w:eastAsia="Times New Roman" w:hAnsi="Palatino Linotype" w:cs="Courier New"/>
          <w:sz w:val="20"/>
          <w:szCs w:val="20"/>
          <w:lang w:val="en"/>
        </w:rPr>
        <w:lastRenderedPageBreak/>
        <w:t>various ideas and ideas created by students and lecturers. This is considered to provide an opportunity for students to participate more actively in groups and provide solutions related to problems they find in the field. The evaluation stage is also an integral part of the implementation of learning, where discussions are held, feedback is provided, and conclusions are drawn on the material that has been studied (Magdalena et al., 2023). Through this evaluation process, students have the opportunity to gain a deeper understanding and receive constructive feedback for their personal development. Apart from that, in implementing learning it is also important to convey material that will be discussed at the next meeting, so that students can prepare themselves optimally for the next learning. Thus, the implementation of learning does not only include direct delivery of material, but also involves various supporting activities aimed at increasing the effectiveness of learning and ensuring that learning objectives are achieved well.</w:t>
      </w:r>
    </w:p>
    <w:p w14:paraId="7AF63984" w14:textId="77777777" w:rsidR="006148DF" w:rsidRPr="006148DF" w:rsidRDefault="006148DF" w:rsidP="006148DF">
      <w:pPr>
        <w:pStyle w:val="ListParagraph"/>
        <w:numPr>
          <w:ilvl w:val="3"/>
          <w:numId w:val="19"/>
        </w:numPr>
        <w:spacing w:after="0" w:line="273" w:lineRule="auto"/>
        <w:ind w:left="426"/>
        <w:jc w:val="both"/>
        <w:rPr>
          <w:rFonts w:ascii="Palatino Linotype" w:hAnsi="Palatino Linotype"/>
          <w:i/>
          <w:sz w:val="20"/>
          <w:szCs w:val="20"/>
        </w:rPr>
      </w:pPr>
      <w:r w:rsidRPr="006148DF">
        <w:rPr>
          <w:rFonts w:ascii="Palatino Linotype" w:hAnsi="Palatino Linotype"/>
          <w:i/>
          <w:sz w:val="20"/>
          <w:szCs w:val="20"/>
        </w:rPr>
        <w:t>Check</w:t>
      </w:r>
    </w:p>
    <w:p w14:paraId="5E858964" w14:textId="3F75CC7F" w:rsidR="00097E08" w:rsidRPr="00330C12" w:rsidRDefault="00330C12" w:rsidP="0033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Palatino Linotype" w:eastAsia="Times New Roman" w:hAnsi="Palatino Linotype" w:cs="Courier New"/>
          <w:sz w:val="20"/>
          <w:szCs w:val="20"/>
          <w:lang w:val="en"/>
        </w:rPr>
      </w:pPr>
      <w:r w:rsidRPr="00330C12">
        <w:rPr>
          <w:rFonts w:ascii="Palatino Linotype" w:eastAsia="Times New Roman" w:hAnsi="Palatino Linotype" w:cs="Courier New"/>
          <w:sz w:val="20"/>
          <w:szCs w:val="20"/>
          <w:lang w:val="en"/>
        </w:rPr>
        <w:t>The check stage is carried out as an evaluation of the results of the assessment that has been carried out previously. Assessments are carried out to identify obstacles that may arise during the learning process, and the check stage aims to verify whether the recommended improvement steps have been implemented effectively (Stone-MacDonald et al., 2018), (</w:t>
      </w:r>
      <w:proofErr w:type="spellStart"/>
      <w:r w:rsidRPr="00330C12">
        <w:rPr>
          <w:rFonts w:ascii="Palatino Linotype" w:eastAsia="Times New Roman" w:hAnsi="Palatino Linotype" w:cs="Courier New"/>
          <w:sz w:val="20"/>
          <w:szCs w:val="20"/>
          <w:lang w:val="en"/>
        </w:rPr>
        <w:t>Rumohr</w:t>
      </w:r>
      <w:proofErr w:type="spellEnd"/>
      <w:r w:rsidRPr="00330C12">
        <w:rPr>
          <w:rFonts w:ascii="Palatino Linotype" w:eastAsia="Times New Roman" w:hAnsi="Palatino Linotype" w:cs="Courier New"/>
          <w:sz w:val="20"/>
          <w:szCs w:val="20"/>
          <w:lang w:val="en"/>
        </w:rPr>
        <w:t xml:space="preserve">, 2013).  In the context of evaluation results, assessment is the key to improving the quality of learning and ensuring the achievement of predetermined learning goals. Based on the results of the assessment that has been carried out, as many as 80.9% of respondents agreed that learning at </w:t>
      </w:r>
      <w:proofErr w:type="spellStart"/>
      <w:r w:rsidRPr="00330C12">
        <w:rPr>
          <w:rFonts w:ascii="Palatino Linotype" w:eastAsia="Times New Roman" w:hAnsi="Palatino Linotype" w:cs="Courier New"/>
          <w:sz w:val="20"/>
          <w:szCs w:val="20"/>
          <w:lang w:val="en"/>
        </w:rPr>
        <w:t>Unimed</w:t>
      </w:r>
      <w:proofErr w:type="spellEnd"/>
      <w:r w:rsidRPr="00330C12">
        <w:rPr>
          <w:rFonts w:ascii="Palatino Linotype" w:eastAsia="Times New Roman" w:hAnsi="Palatino Linotype" w:cs="Courier New"/>
          <w:sz w:val="20"/>
          <w:szCs w:val="20"/>
          <w:lang w:val="en"/>
        </w:rPr>
        <w:t xml:space="preserve">, especially the implementation of andragogy learning in the </w:t>
      </w:r>
      <w:proofErr w:type="spellStart"/>
      <w:r w:rsidRPr="00330C12">
        <w:rPr>
          <w:rFonts w:ascii="Palatino Linotype" w:eastAsia="Times New Roman" w:hAnsi="Palatino Linotype" w:cs="Courier New"/>
          <w:sz w:val="20"/>
          <w:szCs w:val="20"/>
          <w:lang w:val="en"/>
        </w:rPr>
        <w:t>Penmas</w:t>
      </w:r>
      <w:proofErr w:type="spellEnd"/>
      <w:r w:rsidRPr="00330C12">
        <w:rPr>
          <w:rFonts w:ascii="Palatino Linotype" w:eastAsia="Times New Roman" w:hAnsi="Palatino Linotype" w:cs="Courier New"/>
          <w:sz w:val="20"/>
          <w:szCs w:val="20"/>
          <w:lang w:val="en"/>
        </w:rPr>
        <w:t xml:space="preserve"> study program, has used various learning methods, including roleplaying, demonstrations, field studies, and other methods, which are in accordance with the material discussed. </w:t>
      </w:r>
      <w:proofErr w:type="gramStart"/>
      <w:r w:rsidRPr="00330C12">
        <w:rPr>
          <w:rFonts w:ascii="Palatino Linotype" w:eastAsia="Times New Roman" w:hAnsi="Palatino Linotype" w:cs="Courier New"/>
          <w:sz w:val="20"/>
          <w:szCs w:val="20"/>
          <w:lang w:val="en"/>
        </w:rPr>
        <w:t>at</w:t>
      </w:r>
      <w:proofErr w:type="gramEnd"/>
      <w:r w:rsidRPr="00330C12">
        <w:rPr>
          <w:rFonts w:ascii="Palatino Linotype" w:eastAsia="Times New Roman" w:hAnsi="Palatino Linotype" w:cs="Courier New"/>
          <w:sz w:val="20"/>
          <w:szCs w:val="20"/>
          <w:lang w:val="en"/>
        </w:rPr>
        <w:t xml:space="preserve"> every lecture meeting. This check stage then ensures that the implementation of these learning methods has gone according to plan and made a significant contribution to achieving the learning objectives. Apart from that, the check stage also makes it possible to evaluate the extent to which changes that have been made in the learning process have had a positive impact (</w:t>
      </w:r>
      <w:proofErr w:type="spellStart"/>
      <w:r w:rsidRPr="00330C12">
        <w:rPr>
          <w:rFonts w:ascii="Palatino Linotype" w:eastAsia="Times New Roman" w:hAnsi="Palatino Linotype" w:cs="Courier New"/>
          <w:sz w:val="20"/>
          <w:szCs w:val="20"/>
          <w:lang w:val="en"/>
        </w:rPr>
        <w:t>Sheran</w:t>
      </w:r>
      <w:proofErr w:type="spellEnd"/>
      <w:r w:rsidRPr="00330C12">
        <w:rPr>
          <w:rFonts w:ascii="Palatino Linotype" w:eastAsia="Times New Roman" w:hAnsi="Palatino Linotype" w:cs="Courier New"/>
          <w:sz w:val="20"/>
          <w:szCs w:val="20"/>
          <w:lang w:val="en"/>
        </w:rPr>
        <w:t xml:space="preserve"> &amp; </w:t>
      </w:r>
      <w:proofErr w:type="spellStart"/>
      <w:r w:rsidRPr="00330C12">
        <w:rPr>
          <w:rFonts w:ascii="Palatino Linotype" w:eastAsia="Times New Roman" w:hAnsi="Palatino Linotype" w:cs="Courier New"/>
          <w:sz w:val="20"/>
          <w:szCs w:val="20"/>
          <w:lang w:val="en"/>
        </w:rPr>
        <w:t>Sarbaum</w:t>
      </w:r>
      <w:proofErr w:type="spellEnd"/>
      <w:r w:rsidRPr="00330C12">
        <w:rPr>
          <w:rFonts w:ascii="Palatino Linotype" w:eastAsia="Times New Roman" w:hAnsi="Palatino Linotype" w:cs="Courier New"/>
          <w:sz w:val="20"/>
          <w:szCs w:val="20"/>
          <w:lang w:val="en"/>
        </w:rPr>
        <w:t xml:space="preserve">, 2012). This evaluation does not only look at the use of learning methods, but also pays attention to other aspects such as the level of student understanding, involvement in learning, and response to the material presented. </w:t>
      </w:r>
      <w:proofErr w:type="gramStart"/>
      <w:r w:rsidRPr="00330C12">
        <w:rPr>
          <w:rFonts w:ascii="Palatino Linotype" w:eastAsia="Times New Roman" w:hAnsi="Palatino Linotype" w:cs="Courier New"/>
          <w:sz w:val="20"/>
          <w:szCs w:val="20"/>
          <w:lang w:val="en"/>
        </w:rPr>
        <w:t>(Magdalena et al., 2023), (</w:t>
      </w:r>
      <w:proofErr w:type="spellStart"/>
      <w:r w:rsidRPr="00330C12">
        <w:rPr>
          <w:rFonts w:ascii="Palatino Linotype" w:eastAsia="Times New Roman" w:hAnsi="Palatino Linotype" w:cs="Courier New"/>
          <w:sz w:val="20"/>
          <w:szCs w:val="20"/>
          <w:lang w:val="en"/>
        </w:rPr>
        <w:t>Septiani</w:t>
      </w:r>
      <w:proofErr w:type="spellEnd"/>
      <w:r w:rsidRPr="00330C12">
        <w:rPr>
          <w:rFonts w:ascii="Palatino Linotype" w:eastAsia="Times New Roman" w:hAnsi="Palatino Linotype" w:cs="Courier New"/>
          <w:sz w:val="20"/>
          <w:szCs w:val="20"/>
          <w:lang w:val="en"/>
        </w:rPr>
        <w:t xml:space="preserve"> et al., 2023).</w:t>
      </w:r>
      <w:proofErr w:type="gramEnd"/>
      <w:r w:rsidRPr="00330C12">
        <w:rPr>
          <w:rFonts w:ascii="Palatino Linotype" w:eastAsia="Times New Roman" w:hAnsi="Palatino Linotype" w:cs="Courier New"/>
          <w:sz w:val="20"/>
          <w:szCs w:val="20"/>
          <w:lang w:val="en"/>
        </w:rPr>
        <w:t xml:space="preserve"> Thus, the check stage is an opportunity to reflect on the learning process that has been implemented and identify corrective steps that need to be taken to improve the quality of learning at </w:t>
      </w:r>
      <w:proofErr w:type="spellStart"/>
      <w:r w:rsidRPr="00330C12">
        <w:rPr>
          <w:rFonts w:ascii="Palatino Linotype" w:eastAsia="Times New Roman" w:hAnsi="Palatino Linotype" w:cs="Courier New"/>
          <w:sz w:val="20"/>
          <w:szCs w:val="20"/>
          <w:lang w:val="en"/>
        </w:rPr>
        <w:t>Unimed</w:t>
      </w:r>
      <w:proofErr w:type="spellEnd"/>
      <w:r w:rsidRPr="00330C12">
        <w:rPr>
          <w:rFonts w:ascii="Palatino Linotype" w:eastAsia="Times New Roman" w:hAnsi="Palatino Linotype" w:cs="Courier New"/>
          <w:sz w:val="20"/>
          <w:szCs w:val="20"/>
          <w:lang w:val="en"/>
        </w:rPr>
        <w:t xml:space="preserve">. Through a systematic and sustainable approach in this check stage, </w:t>
      </w:r>
      <w:proofErr w:type="spellStart"/>
      <w:r w:rsidRPr="00330C12">
        <w:rPr>
          <w:rFonts w:ascii="Palatino Linotype" w:eastAsia="Times New Roman" w:hAnsi="Palatino Linotype" w:cs="Courier New"/>
          <w:sz w:val="20"/>
          <w:szCs w:val="20"/>
          <w:lang w:val="en"/>
        </w:rPr>
        <w:t>Unimed</w:t>
      </w:r>
      <w:proofErr w:type="spellEnd"/>
      <w:r w:rsidRPr="00330C12">
        <w:rPr>
          <w:rFonts w:ascii="Palatino Linotype" w:eastAsia="Times New Roman" w:hAnsi="Palatino Linotype" w:cs="Courier New"/>
          <w:sz w:val="20"/>
          <w:szCs w:val="20"/>
          <w:lang w:val="en"/>
        </w:rPr>
        <w:t xml:space="preserve"> can continue to adapt to changes in the world of education and ensure that every improvement effort made can have a real impact on achieving learning goals and student academic success.</w:t>
      </w:r>
    </w:p>
    <w:p w14:paraId="2C83AB2E" w14:textId="77777777" w:rsidR="006148DF" w:rsidRPr="006148DF" w:rsidRDefault="006148DF" w:rsidP="006148DF">
      <w:pPr>
        <w:spacing w:after="0"/>
        <w:ind w:left="426" w:hanging="426"/>
        <w:jc w:val="both"/>
        <w:rPr>
          <w:rFonts w:ascii="Palatino Linotype" w:hAnsi="Palatino Linotype"/>
          <w:sz w:val="20"/>
          <w:szCs w:val="20"/>
        </w:rPr>
      </w:pPr>
      <w:proofErr w:type="gramStart"/>
      <w:r w:rsidRPr="006148DF">
        <w:rPr>
          <w:rFonts w:ascii="Palatino Linotype" w:hAnsi="Palatino Linotype"/>
          <w:sz w:val="20"/>
          <w:szCs w:val="20"/>
        </w:rPr>
        <w:t>4.</w:t>
      </w:r>
      <w:r w:rsidRPr="006148DF">
        <w:rPr>
          <w:rFonts w:ascii="Palatino Linotype" w:hAnsi="Palatino Linotype"/>
          <w:i/>
          <w:sz w:val="20"/>
          <w:szCs w:val="20"/>
        </w:rPr>
        <w:t>Act</w:t>
      </w:r>
      <w:proofErr w:type="gramEnd"/>
      <w:r w:rsidRPr="006148DF">
        <w:rPr>
          <w:rFonts w:ascii="Palatino Linotype" w:hAnsi="Palatino Linotype"/>
          <w:i/>
          <w:sz w:val="20"/>
          <w:szCs w:val="20"/>
        </w:rPr>
        <w:t xml:space="preserve"> </w:t>
      </w:r>
    </w:p>
    <w:p w14:paraId="68013507" w14:textId="3E977D85" w:rsidR="00023F5D" w:rsidRPr="00023F5D" w:rsidRDefault="006148DF" w:rsidP="00023F5D">
      <w:pPr>
        <w:spacing w:after="0"/>
        <w:ind w:left="426" w:hanging="426"/>
        <w:jc w:val="both"/>
        <w:rPr>
          <w:rFonts w:ascii="Palatino Linotype" w:eastAsia="Times New Roman" w:hAnsi="Palatino Linotype" w:cs="Courier New"/>
          <w:sz w:val="20"/>
          <w:szCs w:val="20"/>
          <w:lang w:val="en"/>
        </w:rPr>
      </w:pPr>
      <w:r w:rsidRPr="006148DF">
        <w:rPr>
          <w:rFonts w:ascii="Palatino Linotype" w:hAnsi="Palatino Linotype"/>
          <w:sz w:val="20"/>
          <w:szCs w:val="20"/>
        </w:rPr>
        <w:tab/>
      </w:r>
      <w:r w:rsidR="00023F5D" w:rsidRPr="00023F5D">
        <w:rPr>
          <w:rFonts w:ascii="Palatino Linotype" w:eastAsia="Times New Roman" w:hAnsi="Palatino Linotype" w:cs="Courier New"/>
          <w:sz w:val="20"/>
          <w:szCs w:val="20"/>
          <w:lang w:val="en"/>
        </w:rPr>
        <w:t>Act is the stage of taking action based on the results of the Check stage. According to Richard, et.al (2001:291) there are two types of actions taken based on the results achieved, namely corrective actions in the form of solutions to problems faced in achieving targets and these actions need to be carried out if the results do not reach what has been targeted, standardization actions, namely actions to standardize the methods that have been carried out if the results reach the predetermined targets. This cycle will return to the Plan stage to make further process improvements so that there is a continuous cycle of improving the quality of learning (Continuous Quality Improvement) (</w:t>
      </w:r>
      <w:proofErr w:type="spellStart"/>
      <w:r w:rsidR="00023F5D" w:rsidRPr="00023F5D">
        <w:rPr>
          <w:rFonts w:ascii="Palatino Linotype" w:eastAsia="Times New Roman" w:hAnsi="Palatino Linotype" w:cs="Courier New"/>
          <w:sz w:val="20"/>
          <w:szCs w:val="20"/>
          <w:lang w:val="en"/>
        </w:rPr>
        <w:t>Namoun</w:t>
      </w:r>
      <w:proofErr w:type="spellEnd"/>
      <w:r w:rsidR="00023F5D" w:rsidRPr="00023F5D">
        <w:rPr>
          <w:rFonts w:ascii="Palatino Linotype" w:eastAsia="Times New Roman" w:hAnsi="Palatino Linotype" w:cs="Courier New"/>
          <w:sz w:val="20"/>
          <w:szCs w:val="20"/>
          <w:lang w:val="en"/>
        </w:rPr>
        <w:t xml:space="preserve"> et al., 2019), (</w:t>
      </w:r>
      <w:proofErr w:type="spellStart"/>
      <w:r w:rsidR="00023F5D" w:rsidRPr="00023F5D">
        <w:rPr>
          <w:rFonts w:ascii="Palatino Linotype" w:eastAsia="Times New Roman" w:hAnsi="Palatino Linotype" w:cs="Courier New"/>
          <w:sz w:val="20"/>
          <w:szCs w:val="20"/>
          <w:lang w:val="en"/>
        </w:rPr>
        <w:t>Amyotte</w:t>
      </w:r>
      <w:proofErr w:type="spellEnd"/>
      <w:r w:rsidR="00023F5D" w:rsidRPr="00023F5D">
        <w:rPr>
          <w:rFonts w:ascii="Palatino Linotype" w:eastAsia="Times New Roman" w:hAnsi="Palatino Linotype" w:cs="Courier New"/>
          <w:sz w:val="20"/>
          <w:szCs w:val="20"/>
          <w:lang w:val="en"/>
        </w:rPr>
        <w:t xml:space="preserve"> Paul et al., 2019). Based on the question items, 71.6% agreed that a </w:t>
      </w:r>
      <w:proofErr w:type="gramStart"/>
      <w:r w:rsidR="00023F5D" w:rsidRPr="00023F5D">
        <w:rPr>
          <w:rFonts w:ascii="Palatino Linotype" w:eastAsia="Times New Roman" w:hAnsi="Palatino Linotype" w:cs="Courier New"/>
          <w:sz w:val="20"/>
          <w:szCs w:val="20"/>
          <w:lang w:val="en"/>
        </w:rPr>
        <w:t>conducive</w:t>
      </w:r>
      <w:proofErr w:type="gramEnd"/>
      <w:r w:rsidR="00023F5D" w:rsidRPr="00023F5D">
        <w:rPr>
          <w:rFonts w:ascii="Palatino Linotype" w:eastAsia="Times New Roman" w:hAnsi="Palatino Linotype" w:cs="Courier New"/>
          <w:sz w:val="20"/>
          <w:szCs w:val="20"/>
          <w:lang w:val="en"/>
        </w:rPr>
        <w:t xml:space="preserve"> atmosphere was created in learning, blended learning was carried out using a learning management system (LMS), and each material contained case studies. Thus, at this stage standardization activities are carried out.  Through this act stage, Medan State University can continue to innovate in the implementation of learning to ensure that students get an optimal learning experience in accordance with the demands of the </w:t>
      </w:r>
      <w:r w:rsidR="00023F5D" w:rsidRPr="00023F5D">
        <w:rPr>
          <w:rFonts w:ascii="Palatino Linotype" w:eastAsia="Times New Roman" w:hAnsi="Palatino Linotype" w:cs="Courier New"/>
          <w:sz w:val="20"/>
          <w:szCs w:val="20"/>
          <w:lang w:val="en"/>
        </w:rPr>
        <w:lastRenderedPageBreak/>
        <w:t xml:space="preserve">times and developments in science. With a systematic and sustainable approach, </w:t>
      </w:r>
      <w:proofErr w:type="spellStart"/>
      <w:r w:rsidR="00023F5D" w:rsidRPr="00023F5D">
        <w:rPr>
          <w:rFonts w:ascii="Palatino Linotype" w:eastAsia="Times New Roman" w:hAnsi="Palatino Linotype" w:cs="Courier New"/>
          <w:sz w:val="20"/>
          <w:szCs w:val="20"/>
          <w:lang w:val="en"/>
        </w:rPr>
        <w:t>Unimed</w:t>
      </w:r>
      <w:proofErr w:type="spellEnd"/>
      <w:r w:rsidR="00023F5D" w:rsidRPr="00023F5D">
        <w:rPr>
          <w:rFonts w:ascii="Palatino Linotype" w:eastAsia="Times New Roman" w:hAnsi="Palatino Linotype" w:cs="Courier New"/>
          <w:sz w:val="20"/>
          <w:szCs w:val="20"/>
          <w:lang w:val="en"/>
        </w:rPr>
        <w:t xml:space="preserve"> can ensure that every stage in the learning process, including assessment, makes a real contribution to achieving learning goals and student academic success.</w:t>
      </w:r>
    </w:p>
    <w:p w14:paraId="167961DA" w14:textId="54B71D39" w:rsidR="00023F5D" w:rsidRDefault="00023F5D" w:rsidP="0002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
        </w:rPr>
      </w:pPr>
      <w:r>
        <w:rPr>
          <w:rFonts w:ascii="Palatino Linotype" w:eastAsia="Times New Roman" w:hAnsi="Palatino Linotype" w:cs="Courier New"/>
          <w:sz w:val="20"/>
          <w:szCs w:val="20"/>
          <w:lang w:val="en"/>
        </w:rPr>
        <w:tab/>
      </w:r>
      <w:r w:rsidRPr="00023F5D">
        <w:rPr>
          <w:rFonts w:ascii="Palatino Linotype" w:eastAsia="Times New Roman" w:hAnsi="Palatino Linotype" w:cs="Courier New"/>
          <w:sz w:val="20"/>
          <w:szCs w:val="20"/>
          <w:lang w:val="en"/>
        </w:rPr>
        <w:t xml:space="preserve">The tertiary </w:t>
      </w:r>
      <w:proofErr w:type="gramStart"/>
      <w:r w:rsidRPr="00023F5D">
        <w:rPr>
          <w:rFonts w:ascii="Palatino Linotype" w:eastAsia="Times New Roman" w:hAnsi="Palatino Linotype" w:cs="Courier New"/>
          <w:sz w:val="20"/>
          <w:szCs w:val="20"/>
          <w:lang w:val="en"/>
        </w:rPr>
        <w:t>curriculum is comprehensively prepared by involving elements within the tertiary institution and outside the tertiary institution which then has a flow by reducing the university's vision and mission to the vision and mission of the study program and so on until graduate learning outcomes (CPL) are</w:t>
      </w:r>
      <w:proofErr w:type="gramEnd"/>
      <w:r w:rsidRPr="00023F5D">
        <w:rPr>
          <w:rFonts w:ascii="Palatino Linotype" w:eastAsia="Times New Roman" w:hAnsi="Palatino Linotype" w:cs="Courier New"/>
          <w:sz w:val="20"/>
          <w:szCs w:val="20"/>
          <w:lang w:val="en"/>
        </w:rPr>
        <w:t xml:space="preserve"> formed. The following is the flow of curriculum preparation and implementation of the learning system;</w:t>
      </w:r>
    </w:p>
    <w:p w14:paraId="0FE8FF9B" w14:textId="77777777" w:rsidR="00023F5D" w:rsidRDefault="00023F5D" w:rsidP="0002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
        </w:rPr>
      </w:pPr>
    </w:p>
    <w:p w14:paraId="5A2C0D27" w14:textId="77777777" w:rsidR="00023F5D" w:rsidRPr="00753D33" w:rsidRDefault="00023F5D" w:rsidP="0002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atino Linotype" w:eastAsia="Times New Roman" w:hAnsi="Palatino Linotype" w:cs="Courier New"/>
          <w:sz w:val="20"/>
          <w:szCs w:val="20"/>
          <w:lang w:val="en-US"/>
        </w:rPr>
      </w:pPr>
      <w:proofErr w:type="gramStart"/>
      <w:r w:rsidRPr="00023F5D">
        <w:rPr>
          <w:rFonts w:ascii="Palatino Linotype" w:eastAsia="Times New Roman" w:hAnsi="Palatino Linotype" w:cs="Courier New"/>
          <w:sz w:val="20"/>
          <w:szCs w:val="20"/>
          <w:lang w:val="en"/>
        </w:rPr>
        <w:t>Figure 1.</w:t>
      </w:r>
      <w:proofErr w:type="gramEnd"/>
      <w:r w:rsidRPr="00023F5D">
        <w:rPr>
          <w:rFonts w:ascii="Palatino Linotype" w:eastAsia="Times New Roman" w:hAnsi="Palatino Linotype" w:cs="Courier New"/>
          <w:sz w:val="20"/>
          <w:szCs w:val="20"/>
          <w:lang w:val="en"/>
        </w:rPr>
        <w:t xml:space="preserve"> Curriculum Preparation Flow</w:t>
      </w:r>
    </w:p>
    <w:tbl>
      <w:tblPr>
        <w:tblStyle w:val="TableGrid"/>
        <w:tblW w:w="7938" w:type="dxa"/>
        <w:tblInd w:w="1242" w:type="dxa"/>
        <w:tblLook w:val="04A0" w:firstRow="1" w:lastRow="0" w:firstColumn="1" w:lastColumn="0" w:noHBand="0" w:noVBand="1"/>
      </w:tblPr>
      <w:tblGrid>
        <w:gridCol w:w="7938"/>
      </w:tblGrid>
      <w:tr w:rsidR="00023F5D" w:rsidRPr="00023F5D" w14:paraId="2E3A64FB" w14:textId="77777777" w:rsidTr="00025251">
        <w:tc>
          <w:tcPr>
            <w:tcW w:w="7938" w:type="dxa"/>
          </w:tcPr>
          <w:p w14:paraId="07965B54" w14:textId="77777777" w:rsidR="00023F5D" w:rsidRPr="00023F5D" w:rsidRDefault="00023F5D" w:rsidP="00025251">
            <w:pPr>
              <w:jc w:val="center"/>
              <w:rPr>
                <w:rFonts w:ascii="Palatino Linotype" w:hAnsi="Palatino Linotype"/>
              </w:rPr>
            </w:pPr>
            <w:proofErr w:type="spellStart"/>
            <w:r w:rsidRPr="00023F5D">
              <w:rPr>
                <w:rFonts w:ascii="Palatino Linotype" w:hAnsi="Palatino Linotype"/>
              </w:rPr>
              <w:t>Vission</w:t>
            </w:r>
            <w:proofErr w:type="spellEnd"/>
            <w:r w:rsidRPr="00023F5D">
              <w:rPr>
                <w:rFonts w:ascii="Palatino Linotype" w:hAnsi="Palatino Linotype"/>
              </w:rPr>
              <w:t xml:space="preserve"> and mission  </w:t>
            </w:r>
            <w:proofErr w:type="spellStart"/>
            <w:r w:rsidRPr="00023F5D">
              <w:rPr>
                <w:rFonts w:ascii="Palatino Linotype" w:hAnsi="Palatino Linotype"/>
              </w:rPr>
              <w:t>Universitas</w:t>
            </w:r>
            <w:proofErr w:type="spellEnd"/>
            <w:r w:rsidRPr="00023F5D">
              <w:rPr>
                <w:rFonts w:ascii="Palatino Linotype" w:hAnsi="Palatino Linotype"/>
              </w:rPr>
              <w:t xml:space="preserve"> </w:t>
            </w:r>
            <w:proofErr w:type="spellStart"/>
            <w:r w:rsidRPr="00023F5D">
              <w:rPr>
                <w:rFonts w:ascii="Palatino Linotype" w:hAnsi="Palatino Linotype"/>
              </w:rPr>
              <w:t>Negeri</w:t>
            </w:r>
            <w:proofErr w:type="spellEnd"/>
            <w:r w:rsidRPr="00023F5D">
              <w:rPr>
                <w:rFonts w:ascii="Palatino Linotype" w:hAnsi="Palatino Linotype"/>
              </w:rPr>
              <w:t xml:space="preserve"> Medan</w:t>
            </w:r>
          </w:p>
        </w:tc>
      </w:tr>
      <w:tr w:rsidR="00023F5D" w:rsidRPr="00023F5D" w14:paraId="7CDC20CE" w14:textId="77777777" w:rsidTr="00025251">
        <w:tc>
          <w:tcPr>
            <w:tcW w:w="7938" w:type="dxa"/>
          </w:tcPr>
          <w:p w14:paraId="1140C542" w14:textId="77777777" w:rsidR="00023F5D" w:rsidRPr="00023F5D" w:rsidRDefault="00023F5D" w:rsidP="00025251">
            <w:pPr>
              <w:jc w:val="center"/>
              <w:rPr>
                <w:rFonts w:ascii="Palatino Linotype" w:hAnsi="Palatino Linotype"/>
              </w:rPr>
            </w:pPr>
            <w:r w:rsidRPr="00023F5D">
              <w:rPr>
                <w:rFonts w:ascii="Palatino Linotype" w:hAnsi="Palatino Linotype"/>
                <w:noProof/>
              </w:rPr>
              <mc:AlternateContent>
                <mc:Choice Requires="wps">
                  <w:drawing>
                    <wp:anchor distT="0" distB="0" distL="114300" distR="114300" simplePos="0" relativeHeight="251659264" behindDoc="0" locked="0" layoutInCell="1" allowOverlap="1" wp14:anchorId="4CABF369" wp14:editId="7BA5F063">
                      <wp:simplePos x="0" y="0"/>
                      <wp:positionH relativeFrom="column">
                        <wp:posOffset>2297430</wp:posOffset>
                      </wp:positionH>
                      <wp:positionV relativeFrom="paragraph">
                        <wp:posOffset>30480</wp:posOffset>
                      </wp:positionV>
                      <wp:extent cx="219075" cy="133350"/>
                      <wp:effectExtent l="38100" t="0" r="9525" b="38100"/>
                      <wp:wrapNone/>
                      <wp:docPr id="1" name="Down Arrow 1"/>
                      <wp:cNvGraphicFramePr/>
                      <a:graphic xmlns:a="http://schemas.openxmlformats.org/drawingml/2006/main">
                        <a:graphicData uri="http://schemas.microsoft.com/office/word/2010/wordprocessingShape">
                          <wps:wsp>
                            <wps:cNvSpPr/>
                            <wps:spPr>
                              <a:xfrm>
                                <a:off x="0" y="0"/>
                                <a:ext cx="21907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80.9pt;margin-top:2.4pt;width:17.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" adj="10800" fillcolor="#4472c4 [3204]" strokecolor="#1f3763 [1604]" strokeweight="1pt"/>
                  </w:pict>
                </mc:Fallback>
              </mc:AlternateContent>
            </w:r>
          </w:p>
        </w:tc>
      </w:tr>
      <w:tr w:rsidR="00023F5D" w:rsidRPr="00023F5D" w14:paraId="6B0BC31A" w14:textId="77777777" w:rsidTr="00025251">
        <w:tc>
          <w:tcPr>
            <w:tcW w:w="7938" w:type="dxa"/>
          </w:tcPr>
          <w:p w14:paraId="23E38901" w14:textId="77777777" w:rsidR="00023F5D" w:rsidRPr="00023F5D" w:rsidRDefault="00023F5D" w:rsidP="00025251">
            <w:pPr>
              <w:jc w:val="center"/>
              <w:rPr>
                <w:rFonts w:ascii="Palatino Linotype" w:hAnsi="Palatino Linotype"/>
              </w:rPr>
            </w:pPr>
            <w:proofErr w:type="spellStart"/>
            <w:r w:rsidRPr="00023F5D">
              <w:rPr>
                <w:rFonts w:ascii="Palatino Linotype" w:hAnsi="Palatino Linotype"/>
              </w:rPr>
              <w:t>Vission</w:t>
            </w:r>
            <w:proofErr w:type="spellEnd"/>
            <w:r w:rsidRPr="00023F5D">
              <w:rPr>
                <w:rFonts w:ascii="Palatino Linotype" w:hAnsi="Palatino Linotype"/>
              </w:rPr>
              <w:t xml:space="preserve"> and Mission Community Education</w:t>
            </w:r>
          </w:p>
        </w:tc>
      </w:tr>
      <w:tr w:rsidR="00023F5D" w:rsidRPr="00023F5D" w14:paraId="28C231C4" w14:textId="77777777" w:rsidTr="00025251">
        <w:tc>
          <w:tcPr>
            <w:tcW w:w="7938" w:type="dxa"/>
          </w:tcPr>
          <w:p w14:paraId="3D48B12F" w14:textId="77777777" w:rsidR="00023F5D" w:rsidRPr="00023F5D" w:rsidRDefault="00023F5D" w:rsidP="00025251">
            <w:pPr>
              <w:jc w:val="center"/>
              <w:rPr>
                <w:rFonts w:ascii="Palatino Linotype" w:hAnsi="Palatino Linotype"/>
              </w:rPr>
            </w:pPr>
            <w:r w:rsidRPr="00023F5D">
              <w:rPr>
                <w:rFonts w:ascii="Palatino Linotype" w:hAnsi="Palatino Linotype"/>
                <w:noProof/>
              </w:rPr>
              <mc:AlternateContent>
                <mc:Choice Requires="wps">
                  <w:drawing>
                    <wp:anchor distT="0" distB="0" distL="114300" distR="114300" simplePos="0" relativeHeight="251660288" behindDoc="0" locked="0" layoutInCell="1" allowOverlap="1" wp14:anchorId="2803FFBA" wp14:editId="3C763C7E">
                      <wp:simplePos x="0" y="0"/>
                      <wp:positionH relativeFrom="column">
                        <wp:posOffset>2297430</wp:posOffset>
                      </wp:positionH>
                      <wp:positionV relativeFrom="paragraph">
                        <wp:posOffset>46355</wp:posOffset>
                      </wp:positionV>
                      <wp:extent cx="219075" cy="133350"/>
                      <wp:effectExtent l="38100" t="0" r="9525" b="38100"/>
                      <wp:wrapNone/>
                      <wp:docPr id="3" name="Down Arrow 3"/>
                      <wp:cNvGraphicFramePr/>
                      <a:graphic xmlns:a="http://schemas.openxmlformats.org/drawingml/2006/main">
                        <a:graphicData uri="http://schemas.microsoft.com/office/word/2010/wordprocessingShape">
                          <wps:wsp>
                            <wps:cNvSpPr/>
                            <wps:spPr>
                              <a:xfrm>
                                <a:off x="0" y="0"/>
                                <a:ext cx="21907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3" o:spid="_x0000_s1026" type="#_x0000_t67" style="position:absolute;margin-left:180.9pt;margin-top:3.65pt;width:17.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" adj="10800" fillcolor="#4472c4 [3204]" strokecolor="#1f3763 [1604]" strokeweight="1pt"/>
                  </w:pict>
                </mc:Fallback>
              </mc:AlternateContent>
            </w:r>
          </w:p>
        </w:tc>
      </w:tr>
      <w:tr w:rsidR="00023F5D" w:rsidRPr="00023F5D" w14:paraId="6E3C64C3" w14:textId="77777777" w:rsidTr="00025251">
        <w:tc>
          <w:tcPr>
            <w:tcW w:w="7938" w:type="dxa"/>
          </w:tcPr>
          <w:p w14:paraId="3CFBEFF0" w14:textId="77777777" w:rsidR="00023F5D" w:rsidRPr="00023F5D" w:rsidRDefault="00023F5D" w:rsidP="00025251">
            <w:pPr>
              <w:pStyle w:val="HTMLPreformatted"/>
              <w:jc w:val="center"/>
              <w:rPr>
                <w:rFonts w:ascii="Palatino Linotype" w:hAnsi="Palatino Linotype"/>
              </w:rPr>
            </w:pPr>
            <w:proofErr w:type="spellStart"/>
            <w:r w:rsidRPr="00023F5D">
              <w:rPr>
                <w:rFonts w:ascii="Palatino Linotype" w:hAnsi="Palatino Linotype"/>
              </w:rPr>
              <w:t>Programme</w:t>
            </w:r>
            <w:proofErr w:type="spellEnd"/>
            <w:r w:rsidRPr="00023F5D">
              <w:rPr>
                <w:rFonts w:ascii="Palatino Linotype" w:hAnsi="Palatino Linotype"/>
              </w:rPr>
              <w:t xml:space="preserve"> Educational Objectives </w:t>
            </w:r>
          </w:p>
          <w:p w14:paraId="2830ABD2" w14:textId="77777777" w:rsidR="00023F5D" w:rsidRPr="00023F5D" w:rsidRDefault="00023F5D" w:rsidP="00025251">
            <w:pPr>
              <w:pStyle w:val="HTMLPreformatted"/>
              <w:jc w:val="center"/>
              <w:rPr>
                <w:rFonts w:ascii="Palatino Linotype" w:hAnsi="Palatino Linotype"/>
              </w:rPr>
            </w:pPr>
            <w:r w:rsidRPr="00023F5D">
              <w:rPr>
                <w:rFonts w:ascii="Palatino Linotype" w:hAnsi="Palatino Linotype"/>
              </w:rPr>
              <w:t>(</w:t>
            </w:r>
            <w:r w:rsidRPr="00023F5D">
              <w:rPr>
                <w:rFonts w:ascii="Palatino Linotype" w:hAnsi="Palatino Linotype"/>
                <w:lang w:val="en"/>
              </w:rPr>
              <w:t>measured after 4-5 years of students graduation)</w:t>
            </w:r>
          </w:p>
        </w:tc>
      </w:tr>
      <w:tr w:rsidR="00023F5D" w:rsidRPr="00023F5D" w14:paraId="7C0B7CE5" w14:textId="77777777" w:rsidTr="00025251">
        <w:tc>
          <w:tcPr>
            <w:tcW w:w="7938" w:type="dxa"/>
          </w:tcPr>
          <w:p w14:paraId="1DF28600" w14:textId="77777777" w:rsidR="00023F5D" w:rsidRPr="00023F5D" w:rsidRDefault="00023F5D" w:rsidP="00025251">
            <w:pPr>
              <w:pStyle w:val="HTMLPreformatted"/>
              <w:jc w:val="center"/>
              <w:rPr>
                <w:rFonts w:ascii="Palatino Linotype" w:hAnsi="Palatino Linotype"/>
              </w:rPr>
            </w:pPr>
            <w:r w:rsidRPr="00023F5D">
              <w:rPr>
                <w:rFonts w:ascii="Palatino Linotype" w:hAnsi="Palatino Linotype"/>
                <w:noProof/>
              </w:rPr>
              <mc:AlternateContent>
                <mc:Choice Requires="wps">
                  <w:drawing>
                    <wp:anchor distT="0" distB="0" distL="114300" distR="114300" simplePos="0" relativeHeight="251661312" behindDoc="0" locked="0" layoutInCell="1" allowOverlap="1" wp14:anchorId="1EFB70E9" wp14:editId="2F276AE5">
                      <wp:simplePos x="0" y="0"/>
                      <wp:positionH relativeFrom="column">
                        <wp:posOffset>2297430</wp:posOffset>
                      </wp:positionH>
                      <wp:positionV relativeFrom="paragraph">
                        <wp:posOffset>24765</wp:posOffset>
                      </wp:positionV>
                      <wp:extent cx="219075" cy="133350"/>
                      <wp:effectExtent l="38100" t="0" r="9525" b="38100"/>
                      <wp:wrapNone/>
                      <wp:docPr id="4" name="Down Arrow 4"/>
                      <wp:cNvGraphicFramePr/>
                      <a:graphic xmlns:a="http://schemas.openxmlformats.org/drawingml/2006/main">
                        <a:graphicData uri="http://schemas.microsoft.com/office/word/2010/wordprocessingShape">
                          <wps:wsp>
                            <wps:cNvSpPr/>
                            <wps:spPr>
                              <a:xfrm>
                                <a:off x="0" y="0"/>
                                <a:ext cx="21907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4" o:spid="_x0000_s1026" type="#_x0000_t67" style="position:absolute;margin-left:180.9pt;margin-top:1.95pt;width:17.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" adj="10800" fillcolor="#4472c4 [3204]" strokecolor="#1f3763 [1604]" strokeweight="1pt"/>
                  </w:pict>
                </mc:Fallback>
              </mc:AlternateContent>
            </w:r>
          </w:p>
        </w:tc>
      </w:tr>
      <w:tr w:rsidR="00023F5D" w:rsidRPr="00023F5D" w14:paraId="6D361D31" w14:textId="77777777" w:rsidTr="00025251">
        <w:tc>
          <w:tcPr>
            <w:tcW w:w="7938" w:type="dxa"/>
          </w:tcPr>
          <w:p w14:paraId="5FC367A8" w14:textId="77777777" w:rsidR="00023F5D" w:rsidRPr="00023F5D" w:rsidRDefault="00023F5D" w:rsidP="00025251">
            <w:pPr>
              <w:pStyle w:val="HTMLPreformatted"/>
              <w:jc w:val="center"/>
              <w:rPr>
                <w:rFonts w:ascii="Palatino Linotype" w:hAnsi="Palatino Linotype"/>
              </w:rPr>
            </w:pPr>
            <w:proofErr w:type="spellStart"/>
            <w:r w:rsidRPr="00023F5D">
              <w:rPr>
                <w:rFonts w:ascii="Palatino Linotype" w:hAnsi="Palatino Linotype"/>
              </w:rPr>
              <w:t>Programme</w:t>
            </w:r>
            <w:proofErr w:type="spellEnd"/>
            <w:r w:rsidRPr="00023F5D">
              <w:rPr>
                <w:rFonts w:ascii="Palatino Linotype" w:hAnsi="Palatino Linotype"/>
              </w:rPr>
              <w:t xml:space="preserve"> Learning Outcomes </w:t>
            </w:r>
          </w:p>
          <w:p w14:paraId="666C8BA5" w14:textId="77777777" w:rsidR="00023F5D" w:rsidRPr="00023F5D" w:rsidRDefault="00023F5D" w:rsidP="00025251">
            <w:pPr>
              <w:pStyle w:val="HTMLPreformatted"/>
              <w:jc w:val="center"/>
              <w:rPr>
                <w:rFonts w:ascii="Palatino Linotype" w:hAnsi="Palatino Linotype"/>
              </w:rPr>
            </w:pPr>
            <w:r w:rsidRPr="00023F5D">
              <w:rPr>
                <w:rFonts w:ascii="Palatino Linotype" w:hAnsi="Palatino Linotype"/>
              </w:rPr>
              <w:t xml:space="preserve"> (</w:t>
            </w:r>
            <w:r w:rsidRPr="00023F5D">
              <w:rPr>
                <w:rFonts w:ascii="Palatino Linotype" w:hAnsi="Palatino Linotype"/>
                <w:lang w:val="en"/>
              </w:rPr>
              <w:t>measured after students graduate</w:t>
            </w:r>
            <w:r w:rsidRPr="00023F5D">
              <w:rPr>
                <w:rFonts w:ascii="Palatino Linotype" w:hAnsi="Palatino Linotype"/>
              </w:rPr>
              <w:t>)</w:t>
            </w:r>
          </w:p>
        </w:tc>
      </w:tr>
      <w:tr w:rsidR="00023F5D" w:rsidRPr="00023F5D" w14:paraId="4C9A72C8" w14:textId="77777777" w:rsidTr="00025251">
        <w:tc>
          <w:tcPr>
            <w:tcW w:w="7938" w:type="dxa"/>
          </w:tcPr>
          <w:p w14:paraId="500AE25A" w14:textId="77777777" w:rsidR="00023F5D" w:rsidRPr="00023F5D" w:rsidRDefault="00023F5D" w:rsidP="00025251">
            <w:pPr>
              <w:pStyle w:val="HTMLPreformatted"/>
              <w:jc w:val="center"/>
              <w:rPr>
                <w:rFonts w:ascii="Palatino Linotype" w:hAnsi="Palatino Linotype"/>
              </w:rPr>
            </w:pPr>
            <w:r w:rsidRPr="00023F5D">
              <w:rPr>
                <w:rFonts w:ascii="Palatino Linotype" w:hAnsi="Palatino Linotype"/>
                <w:noProof/>
              </w:rPr>
              <mc:AlternateContent>
                <mc:Choice Requires="wps">
                  <w:drawing>
                    <wp:anchor distT="0" distB="0" distL="114300" distR="114300" simplePos="0" relativeHeight="251662336" behindDoc="0" locked="0" layoutInCell="1" allowOverlap="1" wp14:anchorId="163C9B46" wp14:editId="2E1D9C3B">
                      <wp:simplePos x="0" y="0"/>
                      <wp:positionH relativeFrom="column">
                        <wp:posOffset>2297430</wp:posOffset>
                      </wp:positionH>
                      <wp:positionV relativeFrom="paragraph">
                        <wp:posOffset>21590</wp:posOffset>
                      </wp:positionV>
                      <wp:extent cx="219075" cy="133350"/>
                      <wp:effectExtent l="38100" t="0" r="9525" b="38100"/>
                      <wp:wrapNone/>
                      <wp:docPr id="5" name="Down Arrow 5"/>
                      <wp:cNvGraphicFramePr/>
                      <a:graphic xmlns:a="http://schemas.openxmlformats.org/drawingml/2006/main">
                        <a:graphicData uri="http://schemas.microsoft.com/office/word/2010/wordprocessingShape">
                          <wps:wsp>
                            <wps:cNvSpPr/>
                            <wps:spPr>
                              <a:xfrm>
                                <a:off x="0" y="0"/>
                                <a:ext cx="21907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5" o:spid="_x0000_s1026" type="#_x0000_t67" style="position:absolute;margin-left:180.9pt;margin-top:1.7pt;width:17.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" adj="10800" fillcolor="#4472c4 [3204]" strokecolor="#1f3763 [1604]" strokeweight="1pt"/>
                  </w:pict>
                </mc:Fallback>
              </mc:AlternateContent>
            </w:r>
          </w:p>
        </w:tc>
      </w:tr>
      <w:tr w:rsidR="00023F5D" w:rsidRPr="00023F5D" w14:paraId="0CF8DC5D" w14:textId="77777777" w:rsidTr="00025251">
        <w:tc>
          <w:tcPr>
            <w:tcW w:w="7938" w:type="dxa"/>
          </w:tcPr>
          <w:p w14:paraId="5C32458F" w14:textId="77777777" w:rsidR="00023F5D" w:rsidRPr="00023F5D" w:rsidRDefault="00023F5D" w:rsidP="00025251">
            <w:pPr>
              <w:pStyle w:val="HTMLPreformatted"/>
              <w:jc w:val="center"/>
              <w:rPr>
                <w:rFonts w:ascii="Palatino Linotype" w:hAnsi="Palatino Linotype"/>
              </w:rPr>
            </w:pPr>
            <w:r w:rsidRPr="00023F5D">
              <w:rPr>
                <w:rFonts w:ascii="Palatino Linotype" w:hAnsi="Palatino Linotype"/>
              </w:rPr>
              <w:t>Course Learning Outcome</w:t>
            </w:r>
          </w:p>
          <w:p w14:paraId="0FA3762A" w14:textId="77777777" w:rsidR="00023F5D" w:rsidRPr="00023F5D" w:rsidRDefault="00023F5D" w:rsidP="00025251">
            <w:pPr>
              <w:pStyle w:val="HTMLPreformatted"/>
              <w:jc w:val="center"/>
              <w:rPr>
                <w:rFonts w:ascii="Palatino Linotype" w:hAnsi="Palatino Linotype"/>
              </w:rPr>
            </w:pPr>
            <w:r w:rsidRPr="00023F5D">
              <w:rPr>
                <w:rFonts w:ascii="Palatino Linotype" w:hAnsi="Palatino Linotype"/>
              </w:rPr>
              <w:t xml:space="preserve"> (</w:t>
            </w:r>
            <w:r w:rsidRPr="00023F5D">
              <w:rPr>
                <w:rFonts w:ascii="Palatino Linotype" w:hAnsi="Palatino Linotype"/>
                <w:lang w:val="en"/>
              </w:rPr>
              <w:t>Achievement is measured after students pass the course</w:t>
            </w:r>
            <w:r w:rsidRPr="00023F5D">
              <w:rPr>
                <w:rFonts w:ascii="Palatino Linotype" w:hAnsi="Palatino Linotype"/>
              </w:rPr>
              <w:t>)</w:t>
            </w:r>
          </w:p>
        </w:tc>
      </w:tr>
    </w:tbl>
    <w:p w14:paraId="422A8A9E" w14:textId="77777777" w:rsidR="00023F5D" w:rsidRDefault="00023F5D" w:rsidP="00023F5D">
      <w:pPr>
        <w:spacing w:after="0"/>
        <w:ind w:firstLine="426"/>
        <w:jc w:val="both"/>
        <w:rPr>
          <w:rFonts w:ascii="Palatino Linotype" w:hAnsi="Palatino Linotype"/>
          <w:color w:val="FF0000"/>
          <w:sz w:val="20"/>
          <w:szCs w:val="20"/>
        </w:rPr>
      </w:pPr>
    </w:p>
    <w:p w14:paraId="2623806E" w14:textId="10DA77E9" w:rsid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US"/>
        </w:rPr>
      </w:pPr>
      <w:r w:rsidRPr="00097E08">
        <w:rPr>
          <w:rFonts w:ascii="Palatino Linotype" w:eastAsia="Times New Roman" w:hAnsi="Palatino Linotype" w:cs="Courier New"/>
          <w:sz w:val="20"/>
          <w:szCs w:val="20"/>
          <w:lang w:val="en"/>
        </w:rPr>
        <w:t xml:space="preserve">Learning planning is shown by learning objective indicators, namely creating a Semester learning plan (RPS) referring to study program graduate learning outcomes (CPL) and CPMK (Course Learning Outcomes) adapting to the demands of the teaching profession and managers of community education institutions. Providing learning media uploaded to the university's learning management system. </w:t>
      </w:r>
      <w:proofErr w:type="gramStart"/>
      <w:r w:rsidRPr="00097E08">
        <w:rPr>
          <w:rFonts w:ascii="Palatino Linotype" w:eastAsia="Times New Roman" w:hAnsi="Palatino Linotype" w:cs="Courier New"/>
          <w:sz w:val="20"/>
          <w:szCs w:val="20"/>
          <w:lang w:val="en"/>
        </w:rPr>
        <w:t>Making an Andragogy book based on the CPL Study Program which is written in the RPS as a lecture support.</w:t>
      </w:r>
      <w:proofErr w:type="gramEnd"/>
      <w:r w:rsidRPr="00097E08">
        <w:rPr>
          <w:rFonts w:ascii="Palatino Linotype" w:eastAsia="Times New Roman" w:hAnsi="Palatino Linotype" w:cs="Courier New"/>
          <w:sz w:val="20"/>
          <w:szCs w:val="20"/>
          <w:lang w:val="en"/>
        </w:rPr>
        <w:t xml:space="preserve"> Based on the 5 question items, the percentage results obtained were 77.46% agreeing that learning is planned to change attitudes, increase knowledge, </w:t>
      </w:r>
      <w:proofErr w:type="gramStart"/>
      <w:r w:rsidRPr="00097E08">
        <w:rPr>
          <w:rFonts w:ascii="Palatino Linotype" w:eastAsia="Times New Roman" w:hAnsi="Palatino Linotype" w:cs="Courier New"/>
          <w:sz w:val="20"/>
          <w:szCs w:val="20"/>
          <w:lang w:val="en"/>
        </w:rPr>
        <w:t>improve</w:t>
      </w:r>
      <w:proofErr w:type="gramEnd"/>
      <w:r w:rsidRPr="00097E08">
        <w:rPr>
          <w:rFonts w:ascii="Palatino Linotype" w:eastAsia="Times New Roman" w:hAnsi="Palatino Linotype" w:cs="Courier New"/>
          <w:sz w:val="20"/>
          <w:szCs w:val="20"/>
          <w:lang w:val="en"/>
        </w:rPr>
        <w:t xml:space="preserve"> general skills and special skills of students. Careful learning planning is the first step and is considered important in the learning process to realize attitude transformation, increase knowledge, perfect general skills, and develop special skills in students (Hartono et al., 2022), (</w:t>
      </w:r>
      <w:proofErr w:type="spellStart"/>
      <w:r w:rsidRPr="00097E08">
        <w:rPr>
          <w:rFonts w:ascii="Palatino Linotype" w:eastAsia="Times New Roman" w:hAnsi="Palatino Linotype" w:cs="Courier New"/>
          <w:sz w:val="20"/>
          <w:szCs w:val="20"/>
          <w:lang w:val="en"/>
        </w:rPr>
        <w:t>Rochanah</w:t>
      </w:r>
      <w:proofErr w:type="spellEnd"/>
      <w:r w:rsidRPr="00097E08">
        <w:rPr>
          <w:rFonts w:ascii="Palatino Linotype" w:eastAsia="Times New Roman" w:hAnsi="Palatino Linotype" w:cs="Courier New"/>
          <w:sz w:val="20"/>
          <w:szCs w:val="20"/>
          <w:lang w:val="en"/>
        </w:rPr>
        <w:t>, 2017). Apart from being a reference for successful learning, planning is also considered to be an important point because the success and failure of learning is largely determined by the complexity and readiness of the planning.</w:t>
      </w:r>
    </w:p>
    <w:p w14:paraId="4DA85D86" w14:textId="77777777" w:rsid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US"/>
        </w:rPr>
      </w:pPr>
      <w:r>
        <w:rPr>
          <w:rFonts w:ascii="Palatino Linotype" w:eastAsia="Times New Roman" w:hAnsi="Palatino Linotype" w:cs="Courier New"/>
          <w:sz w:val="20"/>
          <w:szCs w:val="20"/>
          <w:lang w:val="en-US"/>
        </w:rPr>
        <w:tab/>
      </w:r>
      <w:r w:rsidRPr="00097E08">
        <w:rPr>
          <w:rFonts w:ascii="Palatino Linotype" w:eastAsia="Times New Roman" w:hAnsi="Palatino Linotype" w:cs="Courier New"/>
          <w:sz w:val="20"/>
          <w:szCs w:val="20"/>
          <w:lang w:val="en"/>
        </w:rPr>
        <w:t>After the planning is done, the next stage is to realize the planning. Learning begins with pre-instructional, namely apperception activities, followed by the instructional stage, namely core learning activities with various learning methods referring to CPL study programs, linking the material to current social phenomena and then the lecturer and students determine alternative solutions. Apperception activities are not just about repeating and providing reinforcement of students' previous knowledge, but apperception is also a form of conditioning for a relaxed and enthusiastic learning environment to motivate students to learn (</w:t>
      </w:r>
      <w:proofErr w:type="spellStart"/>
      <w:r w:rsidRPr="00097E08">
        <w:rPr>
          <w:rFonts w:ascii="Palatino Linotype" w:eastAsia="Times New Roman" w:hAnsi="Palatino Linotype" w:cs="Courier New"/>
          <w:sz w:val="20"/>
          <w:szCs w:val="20"/>
          <w:lang w:val="en"/>
        </w:rPr>
        <w:t>Puteri</w:t>
      </w:r>
      <w:proofErr w:type="spellEnd"/>
      <w:r w:rsidRPr="00097E08">
        <w:rPr>
          <w:rFonts w:ascii="Palatino Linotype" w:eastAsia="Times New Roman" w:hAnsi="Palatino Linotype" w:cs="Courier New"/>
          <w:sz w:val="20"/>
          <w:szCs w:val="20"/>
          <w:lang w:val="en"/>
        </w:rPr>
        <w:t>, 2018). After students are declared ready to learn, the next stage is core learning activities with full involvement of students in the implementation process and linking it to current phenomena (</w:t>
      </w:r>
      <w:proofErr w:type="spellStart"/>
      <w:r w:rsidRPr="00097E08">
        <w:rPr>
          <w:rFonts w:ascii="Palatino Linotype" w:eastAsia="Times New Roman" w:hAnsi="Palatino Linotype" w:cs="Courier New"/>
          <w:sz w:val="20"/>
          <w:szCs w:val="20"/>
          <w:lang w:val="en"/>
        </w:rPr>
        <w:t>Yalyn</w:t>
      </w:r>
      <w:proofErr w:type="spellEnd"/>
      <w:r w:rsidRPr="00097E08">
        <w:rPr>
          <w:rFonts w:ascii="Palatino Linotype" w:eastAsia="Times New Roman" w:hAnsi="Palatino Linotype" w:cs="Courier New"/>
          <w:sz w:val="20"/>
          <w:szCs w:val="20"/>
          <w:lang w:val="en"/>
        </w:rPr>
        <w:t xml:space="preserve"> et al., 2022), (Stephen et al., 2022). Stages involving student involvement are considered important because they will increase student participation in learning, feel valued and will train focus, thinking skills and problem solving. At the end of learning, students are given the opportunity to ask questions and provide feedback as a learning evaluation stage. Assignments are given through the SIPDA UNIMED learning management system (LMS) to determine student understanding (Bali </w:t>
      </w:r>
      <w:proofErr w:type="spellStart"/>
      <w:r w:rsidRPr="00097E08">
        <w:rPr>
          <w:rFonts w:ascii="Palatino Linotype" w:eastAsia="Times New Roman" w:hAnsi="Palatino Linotype" w:cs="Courier New"/>
          <w:sz w:val="20"/>
          <w:szCs w:val="20"/>
          <w:lang w:val="en"/>
        </w:rPr>
        <w:t>Geroda</w:t>
      </w:r>
      <w:proofErr w:type="spellEnd"/>
      <w:r w:rsidRPr="00097E08">
        <w:rPr>
          <w:rFonts w:ascii="Palatino Linotype" w:eastAsia="Times New Roman" w:hAnsi="Palatino Linotype" w:cs="Courier New"/>
          <w:sz w:val="20"/>
          <w:szCs w:val="20"/>
          <w:lang w:val="en"/>
        </w:rPr>
        <w:t>, 2022).</w:t>
      </w:r>
    </w:p>
    <w:p w14:paraId="5677EB9A" w14:textId="053938FB" w:rsidR="00097E08" w:rsidRP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US"/>
        </w:rPr>
      </w:pPr>
      <w:r>
        <w:rPr>
          <w:rFonts w:ascii="Palatino Linotype" w:eastAsia="Times New Roman" w:hAnsi="Palatino Linotype" w:cs="Courier New"/>
          <w:sz w:val="20"/>
          <w:szCs w:val="20"/>
          <w:lang w:val="en-US"/>
        </w:rPr>
        <w:lastRenderedPageBreak/>
        <w:tab/>
      </w:r>
      <w:r w:rsidRPr="00097E08">
        <w:rPr>
          <w:rFonts w:ascii="Palatino Linotype" w:eastAsia="Times New Roman" w:hAnsi="Palatino Linotype" w:cs="Courier New"/>
          <w:sz w:val="20"/>
          <w:szCs w:val="20"/>
          <w:lang w:val="en"/>
        </w:rPr>
        <w:t>Learning in andragogy courses is carried out in a hybrid manner. The learning method used is adjusted to the discussion theme so that learning is conducive and communicative (</w:t>
      </w:r>
      <w:proofErr w:type="spellStart"/>
      <w:r w:rsidRPr="00097E08">
        <w:rPr>
          <w:rFonts w:ascii="Palatino Linotype" w:eastAsia="Times New Roman" w:hAnsi="Palatino Linotype" w:cs="Courier New"/>
          <w:sz w:val="20"/>
          <w:szCs w:val="20"/>
          <w:lang w:val="en"/>
        </w:rPr>
        <w:t>Setiawan</w:t>
      </w:r>
      <w:proofErr w:type="spellEnd"/>
      <w:r w:rsidRPr="00097E08">
        <w:rPr>
          <w:rFonts w:ascii="Palatino Linotype" w:eastAsia="Times New Roman" w:hAnsi="Palatino Linotype" w:cs="Courier New"/>
          <w:sz w:val="20"/>
          <w:szCs w:val="20"/>
          <w:lang w:val="en"/>
        </w:rPr>
        <w:t xml:space="preserve"> et al., 2023). Online learning is carried out using the university's virtual meet and learning management system application, namely SIPDA. By using the OBE-based learning method that has been carried out, it reduces barriers to learning so that standardization actions need to be carried out, namely actions to standardize the methods that have been carried out if the results reach the predetermined targets. This cycle will return to the Plan stage to carry out further process improvements so that there is a continuous cycle of improving the quality of learning (Continuous Quality Improvement). The cycle of continuous improvement of learning to improve the quality of learning through the stages of plan, do, study and act, or what is often shortened to (PDSA) (</w:t>
      </w:r>
      <w:proofErr w:type="spellStart"/>
      <w:r w:rsidRPr="00097E08">
        <w:rPr>
          <w:rFonts w:ascii="Palatino Linotype" w:eastAsia="Times New Roman" w:hAnsi="Palatino Linotype" w:cs="Courier New"/>
          <w:sz w:val="20"/>
          <w:szCs w:val="20"/>
          <w:lang w:val="en"/>
        </w:rPr>
        <w:t>Alyoubi</w:t>
      </w:r>
      <w:proofErr w:type="spellEnd"/>
      <w:r w:rsidRPr="00097E08">
        <w:rPr>
          <w:rFonts w:ascii="Palatino Linotype" w:eastAsia="Times New Roman" w:hAnsi="Palatino Linotype" w:cs="Courier New"/>
          <w:sz w:val="20"/>
          <w:szCs w:val="20"/>
          <w:lang w:val="en"/>
        </w:rPr>
        <w:t xml:space="preserve"> et al., 2017) (</w:t>
      </w:r>
      <w:proofErr w:type="spellStart"/>
      <w:r w:rsidRPr="00097E08">
        <w:rPr>
          <w:rFonts w:ascii="Palatino Linotype" w:eastAsia="Times New Roman" w:hAnsi="Palatino Linotype" w:cs="Courier New"/>
          <w:sz w:val="20"/>
          <w:szCs w:val="20"/>
          <w:lang w:val="en"/>
        </w:rPr>
        <w:t>Namoun</w:t>
      </w:r>
      <w:proofErr w:type="spellEnd"/>
      <w:r w:rsidRPr="00097E08">
        <w:rPr>
          <w:rFonts w:ascii="Palatino Linotype" w:eastAsia="Times New Roman" w:hAnsi="Palatino Linotype" w:cs="Courier New"/>
          <w:sz w:val="20"/>
          <w:szCs w:val="20"/>
          <w:lang w:val="en"/>
        </w:rPr>
        <w:t xml:space="preserve"> et al., 2019), (</w:t>
      </w:r>
      <w:proofErr w:type="spellStart"/>
      <w:r w:rsidRPr="00097E08">
        <w:rPr>
          <w:rFonts w:ascii="Palatino Linotype" w:eastAsia="Times New Roman" w:hAnsi="Palatino Linotype" w:cs="Courier New"/>
          <w:sz w:val="20"/>
          <w:szCs w:val="20"/>
          <w:lang w:val="en"/>
        </w:rPr>
        <w:t>Heidrich</w:t>
      </w:r>
      <w:proofErr w:type="spellEnd"/>
      <w:r w:rsidRPr="00097E08">
        <w:rPr>
          <w:rFonts w:ascii="Palatino Linotype" w:eastAsia="Times New Roman" w:hAnsi="Palatino Linotype" w:cs="Courier New"/>
          <w:sz w:val="20"/>
          <w:szCs w:val="20"/>
          <w:lang w:val="en"/>
        </w:rPr>
        <w:t>, 2013).</w:t>
      </w:r>
    </w:p>
    <w:p w14:paraId="16FC2CEC" w14:textId="714EC75C" w:rsidR="000073D7" w:rsidRPr="000073D7" w:rsidRDefault="005B5AEC" w:rsidP="000073D7">
      <w:pPr>
        <w:pStyle w:val="Alishlah21heading1"/>
        <w:rPr>
          <w:rFonts w:eastAsia="Arial"/>
        </w:rPr>
      </w:pPr>
      <w:r w:rsidRPr="00723B12">
        <w:rPr>
          <w:rFonts w:eastAsia="Arial"/>
        </w:rPr>
        <w:t xml:space="preserve">CONCLUSION </w:t>
      </w:r>
    </w:p>
    <w:p w14:paraId="25F2ED8E" w14:textId="4A94180F" w:rsidR="00097E08" w:rsidRPr="00097E08" w:rsidRDefault="00097E08" w:rsidP="00097E08">
      <w:pPr>
        <w:pStyle w:val="HTMLPreformatted"/>
        <w:jc w:val="both"/>
        <w:rPr>
          <w:rFonts w:ascii="Palatino Linotype" w:hAnsi="Palatino Linotype"/>
          <w:lang w:val="en"/>
        </w:rPr>
      </w:pPr>
      <w:r>
        <w:rPr>
          <w:lang w:val="en"/>
        </w:rPr>
        <w:tab/>
      </w:r>
      <w:r w:rsidRPr="00097E08">
        <w:rPr>
          <w:rFonts w:ascii="Palatino Linotype" w:hAnsi="Palatino Linotype"/>
          <w:lang w:val="en"/>
        </w:rPr>
        <w:t>Based on the results of the research conducted, the following conclusions can be drawn;</w:t>
      </w:r>
    </w:p>
    <w:p w14:paraId="739014F5" w14:textId="6C48BC11" w:rsidR="00097E08" w:rsidRPr="00097E08" w:rsidRDefault="007E63E5"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
        </w:rPr>
      </w:pPr>
      <w:r>
        <w:rPr>
          <w:rFonts w:ascii="Palatino Linotype" w:eastAsia="Times New Roman" w:hAnsi="Palatino Linotype" w:cs="Courier New"/>
          <w:sz w:val="20"/>
          <w:szCs w:val="20"/>
          <w:lang w:val="en"/>
        </w:rPr>
        <w:t xml:space="preserve">1. </w:t>
      </w:r>
      <w:r w:rsidR="00097E08" w:rsidRPr="00097E08">
        <w:rPr>
          <w:rFonts w:ascii="Palatino Linotype" w:eastAsia="Times New Roman" w:hAnsi="Palatino Linotype" w:cs="Courier New"/>
          <w:sz w:val="20"/>
          <w:szCs w:val="20"/>
          <w:lang w:val="en"/>
        </w:rPr>
        <w:t>Learning planning is shown by learning objective indicators, namely creating a Semester learning plan (RPS) referring to study program graduate learning outcomes (CPL) and CPMK (Course Learning Outcomes) adapting to the demands of the teaching profession and managers of community education institutions. Create an Andragogy book based on the CPL Study Program which is written in the RPS. The implementation of learning is carried out in the pre-instructional stage, namely apperception activities, followed by the instructional stage, namely the core learning activities with various learning methods referring to the CPL study program, and the evaluation stage carries out discussions, feedback and conclusions, presenting material that will be discussed at the next meeting.</w:t>
      </w:r>
    </w:p>
    <w:p w14:paraId="7980F9EE" w14:textId="77777777" w:rsidR="00097E08" w:rsidRP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
        </w:rPr>
      </w:pPr>
      <w:r w:rsidRPr="00097E08">
        <w:rPr>
          <w:rFonts w:ascii="Palatino Linotype" w:eastAsia="Times New Roman" w:hAnsi="Palatino Linotype" w:cs="Courier New"/>
          <w:sz w:val="20"/>
          <w:szCs w:val="20"/>
          <w:lang w:val="en"/>
        </w:rPr>
        <w:t>2. OBE-based learning applied to andragogy courses does not encounter obstacles because this is an innovation to create outcome-based learning that adapts to the study program's CPL according to the demands of the teaching profession and managers of community education institutions.</w:t>
      </w:r>
    </w:p>
    <w:p w14:paraId="6401141F" w14:textId="77777777" w:rsidR="00097E08" w:rsidRPr="00097E08" w:rsidRDefault="00097E08" w:rsidP="0009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US"/>
        </w:rPr>
      </w:pPr>
      <w:r w:rsidRPr="00097E08">
        <w:rPr>
          <w:rFonts w:ascii="Palatino Linotype" w:eastAsia="Times New Roman" w:hAnsi="Palatino Linotype" w:cs="Courier New"/>
          <w:sz w:val="20"/>
          <w:szCs w:val="20"/>
          <w:lang w:val="en"/>
        </w:rPr>
        <w:t>3. At the stage of taking action based on the results of the Check stage, action is taken to standardize the methods that have been carried out. This cycle will return to the Plan stage to carry out further process improvements so that there is a continuous cycle of improving the quality of learning (Continuous Quality Improvement).</w:t>
      </w:r>
    </w:p>
    <w:p w14:paraId="0283899D" w14:textId="77777777" w:rsidR="00E95C0B" w:rsidRPr="00E95C0B" w:rsidRDefault="00E95C0B" w:rsidP="007E63E5">
      <w:pPr>
        <w:pStyle w:val="Alishlah31text"/>
        <w:ind w:left="426" w:firstLine="0"/>
      </w:pPr>
    </w:p>
    <w:p w14:paraId="24DB100F" w14:textId="77777777" w:rsidR="00E95C0B" w:rsidRDefault="00E95C0B" w:rsidP="00E95C0B">
      <w:pPr>
        <w:pStyle w:val="Alishlah31text"/>
        <w:ind w:left="66" w:firstLine="0"/>
        <w:rPr>
          <w:szCs w:val="20"/>
        </w:rPr>
      </w:pPr>
    </w:p>
    <w:p w14:paraId="5FB9B8D1" w14:textId="77777777" w:rsidR="007E63E5" w:rsidRDefault="002B31FD" w:rsidP="007E63E5">
      <w:pPr>
        <w:pStyle w:val="HTMLPreformatted"/>
        <w:jc w:val="both"/>
        <w:rPr>
          <w:rFonts w:ascii="Palatino Linotype" w:hAnsi="Palatino Linotype"/>
          <w:sz w:val="18"/>
          <w:szCs w:val="18"/>
          <w:lang w:val="en"/>
        </w:rPr>
      </w:pPr>
      <w:r w:rsidRPr="007E63E5">
        <w:rPr>
          <w:rFonts w:ascii="Palatino Linotype" w:hAnsi="Palatino Linotype"/>
          <w:b/>
          <w:sz w:val="18"/>
          <w:szCs w:val="18"/>
        </w:rPr>
        <w:t>Acknowledgments:</w:t>
      </w:r>
      <w:r w:rsidR="003D3E34" w:rsidRPr="007E63E5">
        <w:rPr>
          <w:rFonts w:ascii="Palatino Linotype" w:hAnsi="Palatino Linotype"/>
          <w:sz w:val="18"/>
          <w:szCs w:val="18"/>
        </w:rPr>
        <w:t xml:space="preserve"> </w:t>
      </w:r>
      <w:r w:rsidR="007E63E5" w:rsidRPr="007E63E5">
        <w:rPr>
          <w:rFonts w:ascii="Palatino Linotype" w:hAnsi="Palatino Linotype"/>
          <w:sz w:val="18"/>
          <w:szCs w:val="18"/>
          <w:lang w:val="en"/>
        </w:rPr>
        <w:t xml:space="preserve">This research was funded by Medan State University PNBP funds for Fiscal Year 2023 in accordance with </w:t>
      </w:r>
      <w:proofErr w:type="spellStart"/>
      <w:r w:rsidR="007E63E5" w:rsidRPr="007E63E5">
        <w:rPr>
          <w:rFonts w:ascii="Palatino Linotype" w:hAnsi="Palatino Linotype"/>
          <w:sz w:val="18"/>
          <w:szCs w:val="18"/>
          <w:lang w:val="en"/>
        </w:rPr>
        <w:t>Unimed</w:t>
      </w:r>
      <w:proofErr w:type="spellEnd"/>
      <w:r w:rsidR="007E63E5" w:rsidRPr="007E63E5">
        <w:rPr>
          <w:rFonts w:ascii="Palatino Linotype" w:hAnsi="Palatino Linotype"/>
          <w:sz w:val="18"/>
          <w:szCs w:val="18"/>
          <w:lang w:val="en"/>
        </w:rPr>
        <w:t xml:space="preserve"> Chancellor's Decree No. 0204/UN33.8/PPKM/PD/2023. The author also would like to thank the Dean of the Faculty of Education and the Head of the Public Education Study Program for giving permission to conduct research at </w:t>
      </w:r>
      <w:proofErr w:type="spellStart"/>
      <w:r w:rsidR="007E63E5" w:rsidRPr="007E63E5">
        <w:rPr>
          <w:rFonts w:ascii="Palatino Linotype" w:hAnsi="Palatino Linotype"/>
          <w:sz w:val="18"/>
          <w:szCs w:val="18"/>
          <w:lang w:val="en"/>
        </w:rPr>
        <w:t>Fip</w:t>
      </w:r>
      <w:proofErr w:type="spellEnd"/>
      <w:r w:rsidR="007E63E5" w:rsidRPr="007E63E5">
        <w:rPr>
          <w:rFonts w:ascii="Palatino Linotype" w:hAnsi="Palatino Linotype"/>
          <w:sz w:val="18"/>
          <w:szCs w:val="18"/>
          <w:lang w:val="en"/>
        </w:rPr>
        <w:t xml:space="preserve"> </w:t>
      </w:r>
      <w:proofErr w:type="spellStart"/>
      <w:r w:rsidR="007E63E5" w:rsidRPr="007E63E5">
        <w:rPr>
          <w:rFonts w:ascii="Palatino Linotype" w:hAnsi="Palatino Linotype"/>
          <w:sz w:val="18"/>
          <w:szCs w:val="18"/>
          <w:lang w:val="en"/>
        </w:rPr>
        <w:t>Unimed</w:t>
      </w:r>
      <w:proofErr w:type="spellEnd"/>
      <w:r w:rsidR="007E63E5" w:rsidRPr="007E63E5">
        <w:rPr>
          <w:rFonts w:ascii="Palatino Linotype" w:hAnsi="Palatino Linotype"/>
          <w:sz w:val="18"/>
          <w:szCs w:val="18"/>
          <w:lang w:val="en"/>
        </w:rPr>
        <w:t>, especially on Community Education students.</w:t>
      </w:r>
    </w:p>
    <w:p w14:paraId="2459B3E0" w14:textId="77777777" w:rsidR="007E63E5" w:rsidRPr="007E63E5" w:rsidRDefault="007E63E5" w:rsidP="007E63E5">
      <w:pPr>
        <w:pStyle w:val="HTMLPreformatted"/>
        <w:jc w:val="both"/>
        <w:rPr>
          <w:rFonts w:ascii="Palatino Linotype" w:hAnsi="Palatino Linotype"/>
          <w:sz w:val="18"/>
          <w:szCs w:val="18"/>
        </w:rPr>
      </w:pPr>
    </w:p>
    <w:p w14:paraId="40DA034F" w14:textId="2C38F257" w:rsidR="002B31FD" w:rsidRPr="003E7862" w:rsidRDefault="002B31FD" w:rsidP="003E7862">
      <w:pPr>
        <w:pStyle w:val="HTMLPreformatted"/>
        <w:jc w:val="both"/>
        <w:rPr>
          <w:rFonts w:ascii="Palatino Linotype" w:hAnsi="Palatino Linotype"/>
          <w:sz w:val="18"/>
          <w:szCs w:val="18"/>
        </w:rPr>
      </w:pPr>
      <w:r w:rsidRPr="007E63E5">
        <w:rPr>
          <w:rFonts w:ascii="Palatino Linotype" w:hAnsi="Palatino Linotype"/>
          <w:b/>
          <w:sz w:val="18"/>
          <w:szCs w:val="18"/>
        </w:rPr>
        <w:t>Conflicts of Interest:</w:t>
      </w:r>
      <w:r w:rsidRPr="007E63E5">
        <w:rPr>
          <w:rFonts w:ascii="Palatino Linotype" w:hAnsi="Palatino Linotype"/>
          <w:sz w:val="18"/>
          <w:szCs w:val="18"/>
        </w:rPr>
        <w:t xml:space="preserve"> </w:t>
      </w:r>
      <w:r w:rsidR="007E63E5" w:rsidRPr="007E63E5">
        <w:rPr>
          <w:rFonts w:ascii="Palatino Linotype" w:hAnsi="Palatino Linotype"/>
          <w:sz w:val="18"/>
          <w:szCs w:val="18"/>
          <w:lang w:val="en"/>
        </w:rPr>
        <w:t>The author is interested in this research because it is considered that the results of this research will be a reference in OBE-based andragogy learning which can be used in lecture classes or by practitioners in the field.</w:t>
      </w:r>
    </w:p>
    <w:p w14:paraId="50AB36B6" w14:textId="77777777" w:rsidR="002B31FD" w:rsidRDefault="002B31FD" w:rsidP="002B31FD">
      <w:pPr>
        <w:rPr>
          <w:b/>
          <w:bCs/>
          <w:i/>
          <w:iCs/>
        </w:rPr>
      </w:pPr>
    </w:p>
    <w:p w14:paraId="535EC406" w14:textId="77777777" w:rsidR="002B31FD" w:rsidRDefault="002B31FD" w:rsidP="002B31FD">
      <w:pPr>
        <w:pStyle w:val="Alishlah21heading1"/>
        <w:numPr>
          <w:ilvl w:val="0"/>
          <w:numId w:val="0"/>
        </w:numPr>
      </w:pPr>
      <w:r>
        <w:t>REFERENCES</w:t>
      </w:r>
    </w:p>
    <w:p w14:paraId="09467C58" w14:textId="6851D4A1" w:rsidR="000F3189" w:rsidRPr="003E7862" w:rsidRDefault="000F3189" w:rsidP="00CD0C4C">
      <w:pPr>
        <w:pStyle w:val="Bibliography"/>
        <w:spacing w:line="240" w:lineRule="auto"/>
        <w:ind w:left="0" w:firstLine="0"/>
        <w:jc w:val="both"/>
        <w:rPr>
          <w:rFonts w:ascii="Palatino Linotype" w:hAnsi="Palatino Linotype" w:cs="Times New Roman"/>
          <w:sz w:val="20"/>
          <w:szCs w:val="20"/>
        </w:rPr>
      </w:pPr>
      <w:proofErr w:type="spellStart"/>
      <w:proofErr w:type="gramStart"/>
      <w:r w:rsidRPr="003E7862">
        <w:rPr>
          <w:rFonts w:ascii="Palatino Linotype" w:hAnsi="Palatino Linotype" w:cs="Times New Roman"/>
          <w:sz w:val="20"/>
          <w:szCs w:val="20"/>
        </w:rPr>
        <w:t>Amyotte</w:t>
      </w:r>
      <w:proofErr w:type="spellEnd"/>
      <w:r w:rsidRPr="003E7862">
        <w:rPr>
          <w:rFonts w:ascii="Palatino Linotype" w:hAnsi="Palatino Linotype" w:cs="Times New Roman"/>
          <w:sz w:val="20"/>
          <w:szCs w:val="20"/>
        </w:rPr>
        <w:t xml:space="preserve"> Paul, Khan Faisal, &amp; Irvine </w:t>
      </w:r>
      <w:proofErr w:type="spellStart"/>
      <w:r w:rsidRPr="003E7862">
        <w:rPr>
          <w:rFonts w:ascii="Palatino Linotype" w:hAnsi="Palatino Linotype" w:cs="Times New Roman"/>
          <w:sz w:val="20"/>
          <w:szCs w:val="20"/>
        </w:rPr>
        <w:t>Yene</w:t>
      </w:r>
      <w:proofErr w:type="spellEnd"/>
      <w:r w:rsidRPr="003E7862">
        <w:rPr>
          <w:rFonts w:ascii="Palatino Linotype" w:hAnsi="Palatino Linotype" w:cs="Times New Roman"/>
          <w:sz w:val="20"/>
          <w:szCs w:val="20"/>
        </w:rPr>
        <w:t>.</w:t>
      </w:r>
      <w:proofErr w:type="gramEnd"/>
      <w:r w:rsidRPr="003E7862">
        <w:rPr>
          <w:rFonts w:ascii="Palatino Linotype" w:hAnsi="Palatino Linotype" w:cs="Times New Roman"/>
          <w:sz w:val="20"/>
          <w:szCs w:val="20"/>
        </w:rPr>
        <w:t xml:space="preserve"> </w:t>
      </w:r>
      <w:proofErr w:type="gramStart"/>
      <w:r w:rsidRPr="003E7862">
        <w:rPr>
          <w:rFonts w:ascii="Palatino Linotype" w:hAnsi="Palatino Linotype" w:cs="Times New Roman"/>
          <w:sz w:val="20"/>
          <w:szCs w:val="20"/>
        </w:rPr>
        <w:t>(2019). Continuou</w:t>
      </w:r>
      <w:r w:rsidR="00CD0C4C" w:rsidRPr="003E7862">
        <w:rPr>
          <w:rFonts w:ascii="Palatino Linotype" w:hAnsi="Palatino Linotype" w:cs="Times New Roman"/>
          <w:sz w:val="20"/>
          <w:szCs w:val="20"/>
        </w:rPr>
        <w:t xml:space="preserve">s Improvement in Process Safety </w:t>
      </w:r>
      <w:r w:rsidRPr="003E7862">
        <w:rPr>
          <w:rFonts w:ascii="Palatino Linotype" w:hAnsi="Palatino Linotype" w:cs="Times New Roman"/>
          <w:sz w:val="20"/>
          <w:szCs w:val="20"/>
        </w:rPr>
        <w:t>Education.</w:t>
      </w:r>
      <w:proofErr w:type="gram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Chemical Engineering Transactions</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77</w:t>
      </w:r>
      <w:r w:rsidRPr="003E7862">
        <w:rPr>
          <w:rFonts w:ascii="Palatino Linotype" w:hAnsi="Palatino Linotype" w:cs="Times New Roman"/>
          <w:sz w:val="20"/>
          <w:szCs w:val="20"/>
        </w:rPr>
        <w:t xml:space="preserve">, 409–414. </w:t>
      </w:r>
      <w:hyperlink r:id="rId12" w:history="1">
        <w:r w:rsidR="00CD0C4C" w:rsidRPr="003E7862">
          <w:rPr>
            <w:rStyle w:val="Hyperlink"/>
            <w:rFonts w:ascii="Palatino Linotype" w:hAnsi="Palatino Linotype" w:cs="Times New Roman"/>
            <w:sz w:val="20"/>
            <w:szCs w:val="20"/>
          </w:rPr>
          <w:t>https://doi.org/10.3303/CET1977069</w:t>
        </w:r>
      </w:hyperlink>
      <w:r w:rsidR="00CD0C4C" w:rsidRPr="003E7862">
        <w:rPr>
          <w:rFonts w:ascii="Palatino Linotype" w:hAnsi="Palatino Linotype" w:cs="Times New Roman"/>
          <w:sz w:val="20"/>
          <w:szCs w:val="20"/>
        </w:rPr>
        <w:t>.</w:t>
      </w:r>
    </w:p>
    <w:p w14:paraId="0C74B091" w14:textId="77777777" w:rsidR="003E7862" w:rsidRPr="003E7862" w:rsidRDefault="003E7862" w:rsidP="00CD0C4C">
      <w:pPr>
        <w:pStyle w:val="Bibliography"/>
        <w:spacing w:line="240" w:lineRule="auto"/>
        <w:ind w:left="0" w:firstLine="0"/>
        <w:jc w:val="both"/>
        <w:rPr>
          <w:rFonts w:ascii="Palatino Linotype" w:hAnsi="Palatino Linotype"/>
          <w:sz w:val="20"/>
          <w:szCs w:val="20"/>
        </w:rPr>
      </w:pPr>
    </w:p>
    <w:p w14:paraId="03D35F80" w14:textId="045C1AC3" w:rsidR="00A24F94" w:rsidRPr="003E7862" w:rsidRDefault="002B31FD" w:rsidP="00CD0C4C">
      <w:pPr>
        <w:pStyle w:val="Bibliography"/>
        <w:spacing w:line="240" w:lineRule="auto"/>
        <w:ind w:left="0" w:firstLine="0"/>
        <w:jc w:val="both"/>
        <w:rPr>
          <w:rFonts w:ascii="Palatino Linotype" w:hAnsi="Palatino Linotype" w:cs="Calibri"/>
          <w:sz w:val="20"/>
          <w:szCs w:val="20"/>
        </w:rPr>
      </w:pPr>
      <w:r w:rsidRPr="003E7862">
        <w:rPr>
          <w:rFonts w:ascii="Palatino Linotype" w:hAnsi="Palatino Linotype"/>
          <w:sz w:val="20"/>
          <w:szCs w:val="20"/>
        </w:rPr>
        <w:fldChar w:fldCharType="begin" w:fldLock="1"/>
      </w:r>
      <w:r w:rsidRPr="003E7862">
        <w:rPr>
          <w:rFonts w:ascii="Palatino Linotype" w:hAnsi="Palatino Linotype"/>
          <w:sz w:val="20"/>
          <w:szCs w:val="20"/>
        </w:rPr>
        <w:instrText xml:space="preserve">ADDIN Mendeley Bibliography CSL_BIBLIOGRAPHY </w:instrText>
      </w:r>
      <w:r w:rsidRPr="003E7862">
        <w:rPr>
          <w:rFonts w:ascii="Palatino Linotype" w:hAnsi="Palatino Linotype"/>
          <w:sz w:val="20"/>
          <w:szCs w:val="20"/>
        </w:rPr>
        <w:fldChar w:fldCharType="separate"/>
      </w:r>
      <w:proofErr w:type="spellStart"/>
      <w:proofErr w:type="gramStart"/>
      <w:r w:rsidR="00A24F94" w:rsidRPr="003E7862">
        <w:rPr>
          <w:rFonts w:ascii="Palatino Linotype" w:hAnsi="Palatino Linotype" w:cs="Calibri"/>
          <w:sz w:val="20"/>
          <w:szCs w:val="20"/>
        </w:rPr>
        <w:t>Alyoubi</w:t>
      </w:r>
      <w:proofErr w:type="spellEnd"/>
      <w:r w:rsidR="00A24F94" w:rsidRPr="003E7862">
        <w:rPr>
          <w:rFonts w:ascii="Palatino Linotype" w:hAnsi="Palatino Linotype" w:cs="Calibri"/>
          <w:sz w:val="20"/>
          <w:szCs w:val="20"/>
        </w:rPr>
        <w:t>, M., Alqahtani, J., &amp; Aziz, A. Abd.</w:t>
      </w:r>
      <w:proofErr w:type="gramEnd"/>
      <w:r w:rsidR="00A24F94" w:rsidRPr="003E7862">
        <w:rPr>
          <w:rFonts w:ascii="Palatino Linotype" w:hAnsi="Palatino Linotype" w:cs="Calibri"/>
          <w:sz w:val="20"/>
          <w:szCs w:val="20"/>
        </w:rPr>
        <w:t xml:space="preserve"> </w:t>
      </w:r>
      <w:proofErr w:type="gramStart"/>
      <w:r w:rsidR="00A24F94" w:rsidRPr="003E7862">
        <w:rPr>
          <w:rFonts w:ascii="Palatino Linotype" w:hAnsi="Palatino Linotype" w:cs="Calibri"/>
          <w:sz w:val="20"/>
          <w:szCs w:val="20"/>
        </w:rPr>
        <w:t>(2017). Quality Improvement Methodologies – PDCA Cycle and Six Sigma in E-learning System.</w:t>
      </w:r>
      <w:proofErr w:type="gramEnd"/>
      <w:r w:rsidR="00A24F94" w:rsidRPr="003E7862">
        <w:rPr>
          <w:rFonts w:ascii="Palatino Linotype" w:hAnsi="Palatino Linotype" w:cs="Calibri"/>
          <w:sz w:val="20"/>
          <w:szCs w:val="20"/>
        </w:rPr>
        <w:t xml:space="preserve"> </w:t>
      </w:r>
      <w:r w:rsidR="00A24F94" w:rsidRPr="003E7862">
        <w:rPr>
          <w:rFonts w:ascii="Palatino Linotype" w:hAnsi="Palatino Linotype" w:cs="Calibri"/>
          <w:i/>
          <w:iCs/>
          <w:sz w:val="20"/>
          <w:szCs w:val="20"/>
        </w:rPr>
        <w:t>IARJSET</w:t>
      </w:r>
      <w:r w:rsidR="00A24F94" w:rsidRPr="003E7862">
        <w:rPr>
          <w:rFonts w:ascii="Palatino Linotype" w:hAnsi="Palatino Linotype" w:cs="Calibri"/>
          <w:sz w:val="20"/>
          <w:szCs w:val="20"/>
        </w:rPr>
        <w:t xml:space="preserve">, </w:t>
      </w:r>
      <w:r w:rsidR="00A24F94" w:rsidRPr="003E7862">
        <w:rPr>
          <w:rFonts w:ascii="Palatino Linotype" w:hAnsi="Palatino Linotype" w:cs="Calibri"/>
          <w:i/>
          <w:iCs/>
          <w:sz w:val="20"/>
          <w:szCs w:val="20"/>
        </w:rPr>
        <w:t>4</w:t>
      </w:r>
      <w:r w:rsidR="00A24F94" w:rsidRPr="003E7862">
        <w:rPr>
          <w:rFonts w:ascii="Palatino Linotype" w:hAnsi="Palatino Linotype" w:cs="Calibri"/>
          <w:sz w:val="20"/>
          <w:szCs w:val="20"/>
        </w:rPr>
        <w:t>(5), 95–99. https://doi.org/10.17148/IARJSET.2017.4518</w:t>
      </w:r>
      <w:r w:rsidR="00B43071" w:rsidRPr="003E7862">
        <w:rPr>
          <w:rFonts w:ascii="Palatino Linotype" w:hAnsi="Palatino Linotype" w:cs="Calibri"/>
          <w:sz w:val="20"/>
          <w:szCs w:val="20"/>
        </w:rPr>
        <w:t>.</w:t>
      </w:r>
    </w:p>
    <w:p w14:paraId="5B631CFE" w14:textId="77777777" w:rsidR="00B43071" w:rsidRPr="003E7862" w:rsidRDefault="00B43071" w:rsidP="00CD0C4C">
      <w:pPr>
        <w:spacing w:after="0" w:line="240" w:lineRule="auto"/>
        <w:jc w:val="both"/>
        <w:rPr>
          <w:rFonts w:ascii="Palatino Linotype" w:hAnsi="Palatino Linotype"/>
          <w:sz w:val="20"/>
          <w:szCs w:val="20"/>
        </w:rPr>
      </w:pPr>
    </w:p>
    <w:p w14:paraId="5F035DA2" w14:textId="293831CC" w:rsidR="00A24F94" w:rsidRPr="003E7862" w:rsidRDefault="00A24F94" w:rsidP="00CD0C4C">
      <w:pPr>
        <w:pStyle w:val="Bibliography"/>
        <w:spacing w:line="240" w:lineRule="auto"/>
        <w:ind w:left="0" w:firstLine="0"/>
        <w:jc w:val="both"/>
        <w:rPr>
          <w:rFonts w:ascii="Palatino Linotype" w:hAnsi="Palatino Linotype" w:cs="Calibri"/>
          <w:sz w:val="20"/>
          <w:szCs w:val="20"/>
        </w:rPr>
      </w:pPr>
      <w:r w:rsidRPr="003E7862">
        <w:rPr>
          <w:rFonts w:ascii="Palatino Linotype" w:hAnsi="Palatino Linotype" w:cs="Calibri"/>
          <w:sz w:val="20"/>
          <w:szCs w:val="20"/>
        </w:rPr>
        <w:lastRenderedPageBreak/>
        <w:t xml:space="preserve">Aziz, N. (2022). A systematic review of review studies on women’s empowerment and food security literature. </w:t>
      </w:r>
      <w:r w:rsidRPr="003E7862">
        <w:rPr>
          <w:rFonts w:ascii="Palatino Linotype" w:hAnsi="Palatino Linotype" w:cs="Calibri"/>
          <w:i/>
          <w:iCs/>
          <w:sz w:val="20"/>
          <w:szCs w:val="20"/>
        </w:rPr>
        <w:t>Global Food Security</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34</w:t>
      </w:r>
      <w:r w:rsidRPr="003E7862">
        <w:rPr>
          <w:rFonts w:ascii="Palatino Linotype" w:hAnsi="Palatino Linotype" w:cs="Calibri"/>
          <w:sz w:val="20"/>
          <w:szCs w:val="20"/>
        </w:rPr>
        <w:t>(Query date: 2024-03-03 20:01:46). https://doi.org/10.1016/j.gfs.2022.100647</w:t>
      </w:r>
      <w:r w:rsidR="00B43071" w:rsidRPr="003E7862">
        <w:rPr>
          <w:rFonts w:ascii="Palatino Linotype" w:hAnsi="Palatino Linotype" w:cs="Calibri"/>
          <w:sz w:val="20"/>
          <w:szCs w:val="20"/>
        </w:rPr>
        <w:t>.</w:t>
      </w:r>
    </w:p>
    <w:p w14:paraId="6D59CDC7" w14:textId="77777777" w:rsidR="00B43071" w:rsidRPr="003E7862" w:rsidRDefault="00B43071" w:rsidP="00CD0C4C">
      <w:pPr>
        <w:spacing w:after="0" w:line="240" w:lineRule="auto"/>
        <w:jc w:val="both"/>
        <w:rPr>
          <w:rFonts w:ascii="Palatino Linotype" w:hAnsi="Palatino Linotype"/>
          <w:sz w:val="20"/>
          <w:szCs w:val="20"/>
        </w:rPr>
      </w:pPr>
    </w:p>
    <w:p w14:paraId="1F2BE92B" w14:textId="320F531E" w:rsidR="00A24F94" w:rsidRPr="003E7862" w:rsidRDefault="00A24F94" w:rsidP="00CD0C4C">
      <w:pPr>
        <w:pStyle w:val="Bibliography"/>
        <w:spacing w:line="240" w:lineRule="auto"/>
        <w:ind w:left="0" w:firstLine="0"/>
        <w:jc w:val="both"/>
        <w:rPr>
          <w:rFonts w:ascii="Palatino Linotype" w:hAnsi="Palatino Linotype" w:cs="Calibri"/>
          <w:sz w:val="20"/>
          <w:szCs w:val="20"/>
        </w:rPr>
      </w:pPr>
      <w:proofErr w:type="gramStart"/>
      <w:r w:rsidRPr="003E7862">
        <w:rPr>
          <w:rFonts w:ascii="Palatino Linotype" w:hAnsi="Palatino Linotype" w:cs="Calibri"/>
          <w:sz w:val="20"/>
          <w:szCs w:val="20"/>
        </w:rPr>
        <w:t>Bali Geroda, G. (2022).</w:t>
      </w:r>
      <w:proofErr w:type="gramEnd"/>
      <w:r w:rsidRPr="003E7862">
        <w:rPr>
          <w:rFonts w:ascii="Palatino Linotype" w:hAnsi="Palatino Linotype" w:cs="Calibri"/>
          <w:sz w:val="20"/>
          <w:szCs w:val="20"/>
        </w:rPr>
        <w:t xml:space="preserve"> </w:t>
      </w:r>
      <w:r w:rsidR="00B43071" w:rsidRPr="003E7862">
        <w:rPr>
          <w:rFonts w:ascii="Palatino Linotype" w:hAnsi="Palatino Linotype" w:cs="Calibri"/>
          <w:sz w:val="20"/>
          <w:szCs w:val="20"/>
        </w:rPr>
        <w:t>Studentsâ€</w:t>
      </w:r>
      <w:r w:rsidRPr="003E7862">
        <w:rPr>
          <w:rFonts w:ascii="Palatino Linotype" w:hAnsi="Palatino Linotype" w:cs="Calibri"/>
          <w:sz w:val="20"/>
          <w:szCs w:val="20"/>
          <w:vertAlign w:val="superscript"/>
        </w:rPr>
        <w:t>TM</w:t>
      </w:r>
      <w:r w:rsidRPr="003E7862">
        <w:rPr>
          <w:rFonts w:ascii="Palatino Linotype" w:hAnsi="Palatino Linotype" w:cs="Calibri"/>
          <w:sz w:val="20"/>
          <w:szCs w:val="20"/>
        </w:rPr>
        <w:t xml:space="preserve"> </w:t>
      </w:r>
      <w:r w:rsidR="00B43071" w:rsidRPr="003E7862">
        <w:rPr>
          <w:rFonts w:ascii="Palatino Linotype" w:hAnsi="Palatino Linotype" w:cs="Calibri"/>
          <w:sz w:val="20"/>
          <w:szCs w:val="20"/>
        </w:rPr>
        <w:t xml:space="preserve">Perception </w:t>
      </w:r>
      <w:proofErr w:type="gramStart"/>
      <w:r w:rsidR="00B43071" w:rsidRPr="003E7862">
        <w:rPr>
          <w:rFonts w:ascii="Palatino Linotype" w:hAnsi="Palatino Linotype" w:cs="Calibri"/>
          <w:sz w:val="20"/>
          <w:szCs w:val="20"/>
        </w:rPr>
        <w:t>Of</w:t>
      </w:r>
      <w:proofErr w:type="gramEnd"/>
      <w:r w:rsidR="00B43071" w:rsidRPr="003E7862">
        <w:rPr>
          <w:rFonts w:ascii="Palatino Linotype" w:hAnsi="Palatino Linotype" w:cs="Calibri"/>
          <w:sz w:val="20"/>
          <w:szCs w:val="20"/>
        </w:rPr>
        <w:t xml:space="preserve"> Spada Uwgm As Learning Management System </w:t>
      </w:r>
      <w:r w:rsidRPr="003E7862">
        <w:rPr>
          <w:rFonts w:ascii="Palatino Linotype" w:hAnsi="Palatino Linotype" w:cs="Calibri"/>
          <w:sz w:val="20"/>
          <w:szCs w:val="20"/>
        </w:rPr>
        <w:t xml:space="preserve">(LMS) </w:t>
      </w:r>
      <w:r w:rsidR="00B43071" w:rsidRPr="003E7862">
        <w:rPr>
          <w:rFonts w:ascii="Palatino Linotype" w:hAnsi="Palatino Linotype" w:cs="Calibri"/>
          <w:sz w:val="20"/>
          <w:szCs w:val="20"/>
        </w:rPr>
        <w:t>In Widya Gama Mahakam Samarinda University.</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Pendas Mahakam</w:t>
      </w:r>
      <w:r w:rsidRPr="003E7862">
        <w:rPr>
          <w:rFonts w:ascii="Times New Roman" w:hAnsi="Times New Roman" w:cs="Times New Roman"/>
          <w:i/>
          <w:iCs/>
          <w:sz w:val="20"/>
          <w:szCs w:val="20"/>
        </w:rPr>
        <w:t> </w:t>
      </w:r>
      <w:r w:rsidRPr="003E7862">
        <w:rPr>
          <w:rFonts w:ascii="Palatino Linotype" w:hAnsi="Palatino Linotype" w:cs="Calibri"/>
          <w:i/>
          <w:iCs/>
          <w:sz w:val="20"/>
          <w:szCs w:val="20"/>
        </w:rPr>
        <w:t>: Jurnal Pendidikan Dan Pembelajaran Sekolah Dasar</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7</w:t>
      </w:r>
      <w:r w:rsidRPr="003E7862">
        <w:rPr>
          <w:rFonts w:ascii="Palatino Linotype" w:hAnsi="Palatino Linotype" w:cs="Calibri"/>
          <w:sz w:val="20"/>
          <w:szCs w:val="20"/>
        </w:rPr>
        <w:t>(1), 53–64. https://doi.org/10.24903/pm.v7i1.1021</w:t>
      </w:r>
      <w:r w:rsidR="00B43071" w:rsidRPr="003E7862">
        <w:rPr>
          <w:rFonts w:ascii="Palatino Linotype" w:hAnsi="Palatino Linotype" w:cs="Calibri"/>
          <w:sz w:val="20"/>
          <w:szCs w:val="20"/>
        </w:rPr>
        <w:t>.</w:t>
      </w:r>
    </w:p>
    <w:p w14:paraId="4B55B50B" w14:textId="77777777" w:rsidR="00B43071" w:rsidRPr="003E7862" w:rsidRDefault="00B43071" w:rsidP="00CD0C4C">
      <w:pPr>
        <w:spacing w:after="0" w:line="240" w:lineRule="auto"/>
        <w:jc w:val="both"/>
        <w:rPr>
          <w:rFonts w:ascii="Palatino Linotype" w:hAnsi="Palatino Linotype"/>
          <w:sz w:val="20"/>
          <w:szCs w:val="20"/>
        </w:rPr>
      </w:pPr>
    </w:p>
    <w:p w14:paraId="755934F2" w14:textId="77777777" w:rsidR="00B43071" w:rsidRPr="003E7862" w:rsidRDefault="00B43071" w:rsidP="00CD0C4C">
      <w:pPr>
        <w:pStyle w:val="Alishlah71References"/>
        <w:spacing w:line="240" w:lineRule="auto"/>
        <w:ind w:left="0" w:firstLine="0"/>
        <w:rPr>
          <w:rFonts w:cs="Segoe UI"/>
          <w:color w:val="0D0D0D"/>
        </w:rPr>
      </w:pPr>
      <w:r w:rsidRPr="003E7862">
        <w:rPr>
          <w:rFonts w:cs="Segoe UI"/>
          <w:color w:val="0D0D0D"/>
        </w:rPr>
        <w:t xml:space="preserve">Biggs, J., &amp; Tang, C. (2011). </w:t>
      </w:r>
      <w:r w:rsidRPr="003E7862">
        <w:rPr>
          <w:rStyle w:val="Emphasis"/>
          <w:rFonts w:cs="Segoe UI"/>
          <w:color w:val="0D0D0D"/>
          <w:bdr w:val="single" w:sz="2" w:space="0" w:color="E3E3E3" w:frame="1"/>
        </w:rPr>
        <w:t>Teaching for Quality Learning at University: What the Student Does</w:t>
      </w:r>
      <w:r w:rsidRPr="003E7862">
        <w:rPr>
          <w:rFonts w:cs="Segoe UI"/>
          <w:color w:val="0D0D0D"/>
        </w:rPr>
        <w:t xml:space="preserve"> (4th ed.). McGraw-Hill Education.</w:t>
      </w:r>
    </w:p>
    <w:p w14:paraId="24B9FEA5" w14:textId="77777777" w:rsidR="000F3189" w:rsidRPr="003E7862" w:rsidRDefault="000F3189" w:rsidP="00CD0C4C">
      <w:pPr>
        <w:autoSpaceDE w:val="0"/>
        <w:autoSpaceDN w:val="0"/>
        <w:adjustRightInd w:val="0"/>
        <w:spacing w:after="0" w:line="240" w:lineRule="auto"/>
        <w:jc w:val="both"/>
        <w:rPr>
          <w:rFonts w:ascii="Palatino Linotype" w:hAnsi="Palatino Linotype" w:cs="Times New Roman"/>
          <w:sz w:val="20"/>
          <w:szCs w:val="20"/>
        </w:rPr>
      </w:pPr>
    </w:p>
    <w:p w14:paraId="33537B9D" w14:textId="27743F73" w:rsidR="000F3189" w:rsidRPr="003E7862" w:rsidRDefault="000F3189" w:rsidP="00CD0C4C">
      <w:pPr>
        <w:autoSpaceDE w:val="0"/>
        <w:autoSpaceDN w:val="0"/>
        <w:adjustRightInd w:val="0"/>
        <w:spacing w:after="0" w:line="240" w:lineRule="auto"/>
        <w:jc w:val="both"/>
        <w:rPr>
          <w:rFonts w:ascii="Palatino Linotype" w:hAnsi="Palatino Linotype" w:cs="Times New Roman"/>
          <w:i/>
          <w:iCs/>
          <w:sz w:val="20"/>
          <w:szCs w:val="20"/>
        </w:rPr>
      </w:pPr>
      <w:proofErr w:type="spellStart"/>
      <w:r w:rsidRPr="003E7862">
        <w:rPr>
          <w:rFonts w:ascii="Palatino Linotype" w:hAnsi="Palatino Linotype" w:cs="Times New Roman"/>
          <w:sz w:val="20"/>
          <w:szCs w:val="20"/>
        </w:rPr>
        <w:t>Badan</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Pusat</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Statistik</w:t>
      </w:r>
      <w:proofErr w:type="spellEnd"/>
      <w:r w:rsidRPr="003E7862">
        <w:rPr>
          <w:rFonts w:ascii="Palatino Linotype" w:hAnsi="Palatino Linotype" w:cs="Times New Roman"/>
          <w:sz w:val="20"/>
          <w:szCs w:val="20"/>
        </w:rPr>
        <w:t xml:space="preserve">. </w:t>
      </w:r>
      <w:proofErr w:type="gramStart"/>
      <w:r w:rsidRPr="003E7862">
        <w:rPr>
          <w:rFonts w:ascii="Palatino Linotype" w:hAnsi="Palatino Linotype" w:cs="Times New Roman"/>
          <w:sz w:val="20"/>
          <w:szCs w:val="20"/>
        </w:rPr>
        <w:t xml:space="preserve">(2019). </w:t>
      </w:r>
      <w:proofErr w:type="spellStart"/>
      <w:r w:rsidRPr="003E7862">
        <w:rPr>
          <w:rFonts w:ascii="Palatino Linotype" w:hAnsi="Palatino Linotype" w:cs="Times New Roman"/>
          <w:i/>
          <w:iCs/>
          <w:sz w:val="20"/>
          <w:szCs w:val="20"/>
        </w:rPr>
        <w:t>Pengangguran</w:t>
      </w:r>
      <w:proofErr w:type="spellEnd"/>
      <w:r w:rsidRPr="003E7862">
        <w:rPr>
          <w:rFonts w:ascii="Palatino Linotype" w:hAnsi="Palatino Linotype" w:cs="Times New Roman"/>
          <w:i/>
          <w:iCs/>
          <w:sz w:val="20"/>
          <w:szCs w:val="20"/>
        </w:rPr>
        <w:t xml:space="preserve"> Terbuka </w:t>
      </w:r>
      <w:proofErr w:type="spellStart"/>
      <w:r w:rsidRPr="003E7862">
        <w:rPr>
          <w:rFonts w:ascii="Palatino Linotype" w:hAnsi="Palatino Linotype" w:cs="Times New Roman"/>
          <w:i/>
          <w:iCs/>
          <w:sz w:val="20"/>
          <w:szCs w:val="20"/>
        </w:rPr>
        <w:t>Menurut</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Pendidikan</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Tinggi</w:t>
      </w:r>
      <w:proofErr w:type="spellEnd"/>
      <w:r w:rsidRPr="003E7862">
        <w:rPr>
          <w:rFonts w:ascii="Palatino Linotype" w:hAnsi="Palatino Linotype" w:cs="Times New Roman"/>
          <w:i/>
          <w:iCs/>
          <w:sz w:val="20"/>
          <w:szCs w:val="20"/>
        </w:rPr>
        <w:t xml:space="preserve"> yang </w:t>
      </w:r>
      <w:proofErr w:type="spellStart"/>
      <w:r w:rsidRPr="003E7862">
        <w:rPr>
          <w:rFonts w:ascii="Palatino Linotype" w:hAnsi="Palatino Linotype" w:cs="Times New Roman"/>
          <w:i/>
          <w:iCs/>
          <w:sz w:val="20"/>
          <w:szCs w:val="20"/>
        </w:rPr>
        <w:t>Ditamatkan</w:t>
      </w:r>
      <w:proofErr w:type="spellEnd"/>
      <w:r w:rsidR="00CD0C4C" w:rsidRPr="003E7862">
        <w:rPr>
          <w:rFonts w:ascii="Palatino Linotype" w:hAnsi="Palatino Linotype" w:cs="Times New Roman"/>
          <w:i/>
          <w:iCs/>
          <w:sz w:val="20"/>
          <w:szCs w:val="20"/>
        </w:rPr>
        <w:t>.</w:t>
      </w:r>
      <w:proofErr w:type="gramEnd"/>
    </w:p>
    <w:p w14:paraId="37F04E7B" w14:textId="77777777" w:rsidR="00CD0C4C" w:rsidRPr="003E7862" w:rsidRDefault="00CD0C4C" w:rsidP="00CD0C4C">
      <w:pPr>
        <w:autoSpaceDE w:val="0"/>
        <w:autoSpaceDN w:val="0"/>
        <w:adjustRightInd w:val="0"/>
        <w:spacing w:after="0" w:line="240" w:lineRule="auto"/>
        <w:jc w:val="both"/>
        <w:rPr>
          <w:rFonts w:ascii="Palatino Linotype" w:hAnsi="Palatino Linotype" w:cs="Times New Roman"/>
          <w:sz w:val="20"/>
          <w:szCs w:val="20"/>
        </w:rPr>
      </w:pPr>
    </w:p>
    <w:p w14:paraId="1FFC2716" w14:textId="31B2EB0E" w:rsidR="00CD0C4C" w:rsidRPr="003E7862" w:rsidRDefault="00CD0C4C" w:rsidP="00CD0C4C">
      <w:pPr>
        <w:autoSpaceDE w:val="0"/>
        <w:autoSpaceDN w:val="0"/>
        <w:adjustRightInd w:val="0"/>
        <w:spacing w:after="0" w:line="240" w:lineRule="auto"/>
        <w:jc w:val="both"/>
        <w:rPr>
          <w:rFonts w:ascii="Palatino Linotype" w:hAnsi="Palatino Linotype"/>
          <w:sz w:val="20"/>
          <w:szCs w:val="20"/>
        </w:rPr>
      </w:pPr>
      <w:proofErr w:type="spellStart"/>
      <w:proofErr w:type="gramStart"/>
      <w:r w:rsidRPr="003E7862">
        <w:rPr>
          <w:rFonts w:ascii="Palatino Linotype" w:hAnsi="Palatino Linotype" w:cs="Times New Roman"/>
          <w:sz w:val="20"/>
          <w:szCs w:val="20"/>
        </w:rPr>
        <w:t>Egetenmeyer</w:t>
      </w:r>
      <w:proofErr w:type="spellEnd"/>
      <w:r w:rsidRPr="003E7862">
        <w:rPr>
          <w:rFonts w:ascii="Palatino Linotype" w:hAnsi="Palatino Linotype" w:cs="Times New Roman"/>
          <w:sz w:val="20"/>
          <w:szCs w:val="20"/>
        </w:rPr>
        <w:t>, R., Schmidt-</w:t>
      </w:r>
      <w:proofErr w:type="spellStart"/>
      <w:r w:rsidRPr="003E7862">
        <w:rPr>
          <w:rFonts w:ascii="Palatino Linotype" w:hAnsi="Palatino Linotype" w:cs="Times New Roman"/>
          <w:sz w:val="20"/>
          <w:szCs w:val="20"/>
        </w:rPr>
        <w:t>Lauff</w:t>
      </w:r>
      <w:proofErr w:type="spellEnd"/>
      <w:r w:rsidRPr="003E7862">
        <w:rPr>
          <w:rFonts w:ascii="Palatino Linotype" w:hAnsi="Palatino Linotype" w:cs="Times New Roman"/>
          <w:sz w:val="20"/>
          <w:szCs w:val="20"/>
        </w:rPr>
        <w:t xml:space="preserve">, S., &amp; </w:t>
      </w:r>
      <w:proofErr w:type="spellStart"/>
      <w:r w:rsidRPr="003E7862">
        <w:rPr>
          <w:rFonts w:ascii="Palatino Linotype" w:hAnsi="Palatino Linotype" w:cs="Times New Roman"/>
          <w:sz w:val="20"/>
          <w:szCs w:val="20"/>
        </w:rPr>
        <w:t>Boffo</w:t>
      </w:r>
      <w:proofErr w:type="spellEnd"/>
      <w:r w:rsidRPr="003E7862">
        <w:rPr>
          <w:rFonts w:ascii="Palatino Linotype" w:hAnsi="Palatino Linotype" w:cs="Times New Roman"/>
          <w:sz w:val="20"/>
          <w:szCs w:val="20"/>
        </w:rPr>
        <w:t>, V. (2017).</w:t>
      </w:r>
      <w:proofErr w:type="gram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Adult Learning and Education in International Contexts: Future Challenges for its Professionalization</w:t>
      </w:r>
      <w:r w:rsidRPr="003E7862">
        <w:rPr>
          <w:rFonts w:ascii="Palatino Linotype" w:hAnsi="Palatino Linotype" w:cs="Times New Roman"/>
          <w:sz w:val="20"/>
          <w:szCs w:val="20"/>
        </w:rPr>
        <w:t>. Peter Lang D. https://doi.org/10.3726/b11144</w:t>
      </w:r>
    </w:p>
    <w:p w14:paraId="6AE52F6C" w14:textId="77777777" w:rsidR="00B43071" w:rsidRPr="003E7862" w:rsidRDefault="00B43071" w:rsidP="00CD0C4C">
      <w:pPr>
        <w:spacing w:after="0" w:line="240" w:lineRule="auto"/>
        <w:jc w:val="both"/>
        <w:rPr>
          <w:rFonts w:ascii="Palatino Linotype" w:hAnsi="Palatino Linotype"/>
          <w:sz w:val="20"/>
          <w:szCs w:val="20"/>
        </w:rPr>
      </w:pPr>
    </w:p>
    <w:p w14:paraId="729CDDE0" w14:textId="36E9A498" w:rsidR="00A24F94" w:rsidRPr="003E7862" w:rsidRDefault="00A24F94" w:rsidP="00CD0C4C">
      <w:pPr>
        <w:pStyle w:val="Bibliography"/>
        <w:spacing w:line="240" w:lineRule="auto"/>
        <w:ind w:left="0" w:firstLine="0"/>
        <w:jc w:val="both"/>
        <w:rPr>
          <w:rFonts w:ascii="Palatino Linotype" w:hAnsi="Palatino Linotype" w:cs="Calibri"/>
          <w:sz w:val="20"/>
          <w:szCs w:val="20"/>
        </w:rPr>
      </w:pPr>
      <w:proofErr w:type="gramStart"/>
      <w:r w:rsidRPr="003E7862">
        <w:rPr>
          <w:rFonts w:ascii="Palatino Linotype" w:hAnsi="Palatino Linotype" w:cs="Calibri"/>
          <w:sz w:val="20"/>
          <w:szCs w:val="20"/>
        </w:rPr>
        <w:t>Hartono, U., Amarullah, R. Q., &amp; Mulyadi, E. (2022).</w:t>
      </w:r>
      <w:proofErr w:type="gramEnd"/>
      <w:r w:rsidRPr="003E7862">
        <w:rPr>
          <w:rFonts w:ascii="Palatino Linotype" w:hAnsi="Palatino Linotype" w:cs="Calibri"/>
          <w:sz w:val="20"/>
          <w:szCs w:val="20"/>
        </w:rPr>
        <w:t xml:space="preserve"> </w:t>
      </w:r>
      <w:proofErr w:type="gramStart"/>
      <w:r w:rsidRPr="003E7862">
        <w:rPr>
          <w:rFonts w:ascii="Palatino Linotype" w:hAnsi="Palatino Linotype" w:cs="Calibri"/>
          <w:sz w:val="20"/>
          <w:szCs w:val="20"/>
        </w:rPr>
        <w:t>Hakikat Belajar Menurut UNESCO Serta Relevansinya Pada Saat Ini.</w:t>
      </w:r>
      <w:proofErr w:type="gramEnd"/>
      <w:r w:rsidRPr="003E7862">
        <w:rPr>
          <w:rFonts w:ascii="Palatino Linotype" w:hAnsi="Palatino Linotype" w:cs="Calibri"/>
          <w:sz w:val="20"/>
          <w:szCs w:val="20"/>
        </w:rPr>
        <w:t xml:space="preserve"> </w:t>
      </w:r>
      <w:r w:rsidRPr="003E7862">
        <w:rPr>
          <w:rFonts w:ascii="Palatino Linotype" w:hAnsi="Palatino Linotype" w:cs="Calibri"/>
          <w:i/>
          <w:iCs/>
          <w:sz w:val="20"/>
          <w:szCs w:val="20"/>
        </w:rPr>
        <w:t>Khidmatussifa: Journal of Islamic Studies</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1</w:t>
      </w:r>
      <w:r w:rsidRPr="003E7862">
        <w:rPr>
          <w:rFonts w:ascii="Palatino Linotype" w:hAnsi="Palatino Linotype" w:cs="Calibri"/>
          <w:sz w:val="20"/>
          <w:szCs w:val="20"/>
        </w:rPr>
        <w:t>(2), 22–30. https://doi.org/10.56146/khidmatussifa.v1i2.65</w:t>
      </w:r>
      <w:r w:rsidR="00B75F92" w:rsidRPr="003E7862">
        <w:rPr>
          <w:rFonts w:ascii="Palatino Linotype" w:hAnsi="Palatino Linotype" w:cs="Calibri"/>
          <w:sz w:val="20"/>
          <w:szCs w:val="20"/>
        </w:rPr>
        <w:t>.</w:t>
      </w:r>
    </w:p>
    <w:p w14:paraId="35FFF1BD" w14:textId="77777777" w:rsidR="00B75F92" w:rsidRPr="003E7862" w:rsidRDefault="00B75F92" w:rsidP="00CD0C4C">
      <w:pPr>
        <w:spacing w:after="0"/>
        <w:jc w:val="both"/>
        <w:rPr>
          <w:rFonts w:ascii="Palatino Linotype" w:hAnsi="Palatino Linotype"/>
          <w:sz w:val="20"/>
          <w:szCs w:val="20"/>
        </w:rPr>
      </w:pPr>
    </w:p>
    <w:p w14:paraId="06F8D09E" w14:textId="390D4AE1" w:rsidR="00A24F94" w:rsidRPr="003E7862" w:rsidRDefault="00A24F94" w:rsidP="00CD0C4C">
      <w:pPr>
        <w:pStyle w:val="Bibliography"/>
        <w:spacing w:line="240" w:lineRule="auto"/>
        <w:ind w:left="0" w:firstLine="0"/>
        <w:jc w:val="both"/>
        <w:rPr>
          <w:rFonts w:ascii="Palatino Linotype" w:hAnsi="Palatino Linotype" w:cs="Calibri"/>
          <w:sz w:val="20"/>
          <w:szCs w:val="20"/>
        </w:rPr>
      </w:pPr>
      <w:r w:rsidRPr="003E7862">
        <w:rPr>
          <w:rFonts w:ascii="Palatino Linotype" w:hAnsi="Palatino Linotype" w:cs="Calibri"/>
          <w:sz w:val="20"/>
          <w:szCs w:val="20"/>
        </w:rPr>
        <w:t xml:space="preserve">Heidrich, J. (2013). </w:t>
      </w:r>
      <w:proofErr w:type="gramStart"/>
      <w:r w:rsidRPr="003E7862">
        <w:rPr>
          <w:rFonts w:ascii="Palatino Linotype" w:hAnsi="Palatino Linotype" w:cs="Calibri"/>
          <w:sz w:val="20"/>
          <w:szCs w:val="20"/>
        </w:rPr>
        <w:t>Continuous Process Improvement.</w:t>
      </w:r>
      <w:proofErr w:type="gramEnd"/>
      <w:r w:rsidRPr="003E7862">
        <w:rPr>
          <w:rFonts w:ascii="Palatino Linotype" w:hAnsi="Palatino Linotype" w:cs="Calibri"/>
          <w:sz w:val="20"/>
          <w:szCs w:val="20"/>
        </w:rPr>
        <w:t xml:space="preserve"> In J. Münch &amp; K. Schmid (Eds.), </w:t>
      </w:r>
      <w:r w:rsidRPr="003E7862">
        <w:rPr>
          <w:rFonts w:ascii="Palatino Linotype" w:hAnsi="Palatino Linotype" w:cs="Calibri"/>
          <w:i/>
          <w:iCs/>
          <w:sz w:val="20"/>
          <w:szCs w:val="20"/>
        </w:rPr>
        <w:t>Perspectives on the Future of Software Engineering</w:t>
      </w:r>
      <w:r w:rsidRPr="003E7862">
        <w:rPr>
          <w:rFonts w:ascii="Palatino Linotype" w:hAnsi="Palatino Linotype" w:cs="Calibri"/>
          <w:sz w:val="20"/>
          <w:szCs w:val="20"/>
        </w:rPr>
        <w:t xml:space="preserve"> (pp. 111–129). </w:t>
      </w:r>
      <w:proofErr w:type="gramStart"/>
      <w:r w:rsidRPr="003E7862">
        <w:rPr>
          <w:rFonts w:ascii="Palatino Linotype" w:hAnsi="Palatino Linotype" w:cs="Calibri"/>
          <w:sz w:val="20"/>
          <w:szCs w:val="20"/>
        </w:rPr>
        <w:t>Springer Berlin Heidelberg.</w:t>
      </w:r>
      <w:proofErr w:type="gramEnd"/>
      <w:r w:rsidRPr="003E7862">
        <w:rPr>
          <w:rFonts w:ascii="Palatino Linotype" w:hAnsi="Palatino Linotype" w:cs="Calibri"/>
          <w:sz w:val="20"/>
          <w:szCs w:val="20"/>
        </w:rPr>
        <w:t xml:space="preserve"> https://doi.org/10.1007/978-3-642-37395-4_8</w:t>
      </w:r>
      <w:r w:rsidR="00B75F92" w:rsidRPr="003E7862">
        <w:rPr>
          <w:rFonts w:ascii="Palatino Linotype" w:hAnsi="Palatino Linotype" w:cs="Calibri"/>
          <w:sz w:val="20"/>
          <w:szCs w:val="20"/>
        </w:rPr>
        <w:t>.</w:t>
      </w:r>
    </w:p>
    <w:p w14:paraId="73A65A41" w14:textId="77777777" w:rsidR="003E7862" w:rsidRPr="003E7862" w:rsidRDefault="003E7862" w:rsidP="00CD0C4C">
      <w:pPr>
        <w:pStyle w:val="Bibliography"/>
        <w:spacing w:line="240" w:lineRule="auto"/>
        <w:jc w:val="both"/>
        <w:rPr>
          <w:rFonts w:ascii="Palatino Linotype" w:hAnsi="Palatino Linotype" w:cs="Times New Roman"/>
          <w:sz w:val="20"/>
          <w:szCs w:val="20"/>
        </w:rPr>
      </w:pPr>
    </w:p>
    <w:p w14:paraId="7CB7D3B7" w14:textId="77777777"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proofErr w:type="gramStart"/>
      <w:r w:rsidRPr="003E7862">
        <w:rPr>
          <w:rFonts w:ascii="Palatino Linotype" w:hAnsi="Palatino Linotype" w:cs="Times New Roman"/>
          <w:sz w:val="20"/>
          <w:szCs w:val="20"/>
        </w:rPr>
        <w:t>Julianto</w:t>
      </w:r>
      <w:proofErr w:type="spellEnd"/>
      <w:r w:rsidRPr="003E7862">
        <w:rPr>
          <w:rFonts w:ascii="Palatino Linotype" w:hAnsi="Palatino Linotype" w:cs="Times New Roman"/>
          <w:sz w:val="20"/>
          <w:szCs w:val="20"/>
        </w:rPr>
        <w:t xml:space="preserve">, P., </w:t>
      </w:r>
      <w:proofErr w:type="spellStart"/>
      <w:r w:rsidRPr="003E7862">
        <w:rPr>
          <w:rFonts w:ascii="Palatino Linotype" w:hAnsi="Palatino Linotype" w:cs="Times New Roman"/>
          <w:sz w:val="20"/>
          <w:szCs w:val="20"/>
        </w:rPr>
        <w:t>Samin</w:t>
      </w:r>
      <w:proofErr w:type="spellEnd"/>
      <w:r w:rsidRPr="003E7862">
        <w:rPr>
          <w:rFonts w:ascii="Palatino Linotype" w:hAnsi="Palatino Linotype" w:cs="Times New Roman"/>
          <w:sz w:val="20"/>
          <w:szCs w:val="20"/>
        </w:rPr>
        <w:t xml:space="preserve">, S., &amp; </w:t>
      </w:r>
      <w:proofErr w:type="spellStart"/>
      <w:r w:rsidRPr="003E7862">
        <w:rPr>
          <w:rFonts w:ascii="Palatino Linotype" w:hAnsi="Palatino Linotype" w:cs="Times New Roman"/>
          <w:sz w:val="20"/>
          <w:szCs w:val="20"/>
        </w:rPr>
        <w:t>Faizin</w:t>
      </w:r>
      <w:proofErr w:type="spellEnd"/>
      <w:r w:rsidRPr="003E7862">
        <w:rPr>
          <w:rFonts w:ascii="Palatino Linotype" w:hAnsi="Palatino Linotype" w:cs="Times New Roman"/>
          <w:sz w:val="20"/>
          <w:szCs w:val="20"/>
        </w:rPr>
        <w:t>, F. (2022).</w:t>
      </w:r>
      <w:proofErr w:type="gramEnd"/>
      <w:r w:rsidRPr="003E7862">
        <w:rPr>
          <w:rFonts w:ascii="Palatino Linotype" w:hAnsi="Palatino Linotype" w:cs="Times New Roman"/>
          <w:sz w:val="20"/>
          <w:szCs w:val="20"/>
        </w:rPr>
        <w:t xml:space="preserve"> EVALUASI PENERAPAN RENCANA PEMBELAJARAN SEMESTER (RPS) PADA PROGRAM STUDI MANAJEMEN IAIN KERINCI. </w:t>
      </w:r>
      <w:r w:rsidRPr="003E7862">
        <w:rPr>
          <w:rFonts w:ascii="Palatino Linotype" w:hAnsi="Palatino Linotype" w:cs="Times New Roman"/>
          <w:i/>
          <w:iCs/>
          <w:sz w:val="20"/>
          <w:szCs w:val="20"/>
        </w:rPr>
        <w:t xml:space="preserve">Equilibrium: </w:t>
      </w:r>
      <w:proofErr w:type="spellStart"/>
      <w:r w:rsidRPr="003E7862">
        <w:rPr>
          <w:rFonts w:ascii="Palatino Linotype" w:hAnsi="Palatino Linotype" w:cs="Times New Roman"/>
          <w:i/>
          <w:iCs/>
          <w:sz w:val="20"/>
          <w:szCs w:val="20"/>
        </w:rPr>
        <w:t>Jurnal</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Penelitian</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Pendidikan</w:t>
      </w:r>
      <w:proofErr w:type="spellEnd"/>
      <w:r w:rsidRPr="003E7862">
        <w:rPr>
          <w:rFonts w:ascii="Palatino Linotype" w:hAnsi="Palatino Linotype" w:cs="Times New Roman"/>
          <w:i/>
          <w:iCs/>
          <w:sz w:val="20"/>
          <w:szCs w:val="20"/>
        </w:rPr>
        <w:t xml:space="preserve"> Dan </w:t>
      </w:r>
      <w:proofErr w:type="spellStart"/>
      <w:r w:rsidRPr="003E7862">
        <w:rPr>
          <w:rFonts w:ascii="Palatino Linotype" w:hAnsi="Palatino Linotype" w:cs="Times New Roman"/>
          <w:i/>
          <w:iCs/>
          <w:sz w:val="20"/>
          <w:szCs w:val="20"/>
        </w:rPr>
        <w:t>Ekonomi</w:t>
      </w:r>
      <w:proofErr w:type="spell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19</w:t>
      </w:r>
      <w:r w:rsidRPr="003E7862">
        <w:rPr>
          <w:rFonts w:ascii="Palatino Linotype" w:hAnsi="Palatino Linotype" w:cs="Times New Roman"/>
          <w:sz w:val="20"/>
          <w:szCs w:val="20"/>
        </w:rPr>
        <w:t>(02), 274–280. https://doi.org/10.25134/equi.v19i02.4962</w:t>
      </w:r>
    </w:p>
    <w:p w14:paraId="4FE15690" w14:textId="77777777" w:rsidR="003E7862" w:rsidRPr="003E7862" w:rsidRDefault="003E7862" w:rsidP="00CD0C4C">
      <w:pPr>
        <w:pStyle w:val="Bibliography"/>
        <w:spacing w:line="240" w:lineRule="auto"/>
        <w:jc w:val="both"/>
        <w:rPr>
          <w:rFonts w:ascii="Palatino Linotype" w:hAnsi="Palatino Linotype" w:cs="Times New Roman"/>
          <w:sz w:val="20"/>
          <w:szCs w:val="20"/>
        </w:rPr>
      </w:pPr>
    </w:p>
    <w:p w14:paraId="2F04D7A6" w14:textId="77777777"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gramStart"/>
      <w:r w:rsidRPr="003E7862">
        <w:rPr>
          <w:rFonts w:ascii="Palatino Linotype" w:hAnsi="Palatino Linotype" w:cs="Times New Roman"/>
          <w:sz w:val="20"/>
          <w:szCs w:val="20"/>
        </w:rPr>
        <w:t xml:space="preserve">Magdalena, I., </w:t>
      </w:r>
      <w:proofErr w:type="spellStart"/>
      <w:r w:rsidRPr="003E7862">
        <w:rPr>
          <w:rFonts w:ascii="Palatino Linotype" w:hAnsi="Palatino Linotype" w:cs="Times New Roman"/>
          <w:sz w:val="20"/>
          <w:szCs w:val="20"/>
        </w:rPr>
        <w:t>Nurchayati</w:t>
      </w:r>
      <w:proofErr w:type="spellEnd"/>
      <w:r w:rsidRPr="003E7862">
        <w:rPr>
          <w:rFonts w:ascii="Palatino Linotype" w:hAnsi="Palatino Linotype" w:cs="Times New Roman"/>
          <w:sz w:val="20"/>
          <w:szCs w:val="20"/>
        </w:rPr>
        <w:t xml:space="preserve">, A., &amp; </w:t>
      </w:r>
      <w:proofErr w:type="spellStart"/>
      <w:r w:rsidRPr="003E7862">
        <w:rPr>
          <w:rFonts w:ascii="Palatino Linotype" w:hAnsi="Palatino Linotype" w:cs="Times New Roman"/>
          <w:sz w:val="20"/>
          <w:szCs w:val="20"/>
        </w:rPr>
        <w:t>Apriliyani</w:t>
      </w:r>
      <w:proofErr w:type="spellEnd"/>
      <w:r w:rsidRPr="003E7862">
        <w:rPr>
          <w:rFonts w:ascii="Palatino Linotype" w:hAnsi="Palatino Linotype" w:cs="Times New Roman"/>
          <w:sz w:val="20"/>
          <w:szCs w:val="20"/>
        </w:rPr>
        <w:t>, D. (2023).</w:t>
      </w:r>
      <w:proofErr w:type="gramEnd"/>
      <w:r w:rsidRPr="003E7862">
        <w:rPr>
          <w:rFonts w:ascii="Palatino Linotype" w:hAnsi="Palatino Linotype" w:cs="Times New Roman"/>
          <w:sz w:val="20"/>
          <w:szCs w:val="20"/>
        </w:rPr>
        <w:t xml:space="preserve"> </w:t>
      </w:r>
      <w:proofErr w:type="spellStart"/>
      <w:proofErr w:type="gramStart"/>
      <w:r w:rsidRPr="003E7862">
        <w:rPr>
          <w:rFonts w:ascii="Palatino Linotype" w:hAnsi="Palatino Linotype" w:cs="Times New Roman"/>
          <w:sz w:val="20"/>
          <w:szCs w:val="20"/>
        </w:rPr>
        <w:t>Pentingnya</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Peran</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Evaluasi</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dalam</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Pembelajaran</w:t>
      </w:r>
      <w:proofErr w:type="spellEnd"/>
      <w:r w:rsidRPr="003E7862">
        <w:rPr>
          <w:rFonts w:ascii="Palatino Linotype" w:hAnsi="Palatino Linotype" w:cs="Times New Roman"/>
          <w:sz w:val="20"/>
          <w:szCs w:val="20"/>
        </w:rPr>
        <w:t xml:space="preserve"> di </w:t>
      </w:r>
      <w:proofErr w:type="spellStart"/>
      <w:r w:rsidRPr="003E7862">
        <w:rPr>
          <w:rFonts w:ascii="Palatino Linotype" w:hAnsi="Palatino Linotype" w:cs="Times New Roman"/>
          <w:sz w:val="20"/>
          <w:szCs w:val="20"/>
        </w:rPr>
        <w:t>Sekolah</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Dasar</w:t>
      </w:r>
      <w:proofErr w:type="spellEnd"/>
      <w:r w:rsidRPr="003E7862">
        <w:rPr>
          <w:rFonts w:ascii="Palatino Linotype" w:hAnsi="Palatino Linotype" w:cs="Times New Roman"/>
          <w:sz w:val="20"/>
          <w:szCs w:val="20"/>
        </w:rPr>
        <w:t>.</w:t>
      </w:r>
      <w:proofErr w:type="gram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MASALIQ</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3</w:t>
      </w:r>
      <w:r w:rsidRPr="003E7862">
        <w:rPr>
          <w:rFonts w:ascii="Palatino Linotype" w:hAnsi="Palatino Linotype" w:cs="Times New Roman"/>
          <w:sz w:val="20"/>
          <w:szCs w:val="20"/>
        </w:rPr>
        <w:t>(5), 833–839. https://doi.org/10.58578/masaliq.v3i5.1381</w:t>
      </w:r>
    </w:p>
    <w:p w14:paraId="12C2C22F" w14:textId="77777777" w:rsidR="003E7862" w:rsidRPr="003E7862" w:rsidRDefault="003E7862" w:rsidP="00CD0C4C">
      <w:pPr>
        <w:jc w:val="both"/>
        <w:rPr>
          <w:rFonts w:ascii="Palatino Linotype" w:hAnsi="Palatino Linotype"/>
          <w:sz w:val="20"/>
          <w:szCs w:val="20"/>
        </w:rPr>
      </w:pPr>
    </w:p>
    <w:p w14:paraId="21C72C62" w14:textId="70FE625F" w:rsidR="00CD0C4C" w:rsidRPr="003E7862" w:rsidRDefault="00CD0C4C" w:rsidP="00CD0C4C">
      <w:pPr>
        <w:jc w:val="both"/>
        <w:rPr>
          <w:rFonts w:ascii="Palatino Linotype" w:hAnsi="Palatino Linotype"/>
          <w:sz w:val="20"/>
          <w:szCs w:val="20"/>
        </w:rPr>
      </w:pPr>
      <w:proofErr w:type="spellStart"/>
      <w:r w:rsidRPr="003E7862">
        <w:rPr>
          <w:rFonts w:ascii="Palatino Linotype" w:hAnsi="Palatino Linotype"/>
          <w:sz w:val="20"/>
          <w:szCs w:val="20"/>
        </w:rPr>
        <w:t>Munadziroh</w:t>
      </w:r>
      <w:proofErr w:type="spellEnd"/>
      <w:r w:rsidRPr="003E7862">
        <w:rPr>
          <w:rFonts w:ascii="Palatino Linotype" w:hAnsi="Palatino Linotype"/>
          <w:sz w:val="20"/>
          <w:szCs w:val="20"/>
        </w:rPr>
        <w:t xml:space="preserve">, A., </w:t>
      </w:r>
      <w:proofErr w:type="spellStart"/>
      <w:r w:rsidRPr="003E7862">
        <w:rPr>
          <w:rFonts w:ascii="Palatino Linotype" w:hAnsi="Palatino Linotype"/>
          <w:sz w:val="20"/>
          <w:szCs w:val="20"/>
        </w:rPr>
        <w:t>dkk</w:t>
      </w:r>
      <w:proofErr w:type="spellEnd"/>
      <w:r w:rsidRPr="003E7862">
        <w:rPr>
          <w:rFonts w:ascii="Palatino Linotype" w:hAnsi="Palatino Linotype"/>
          <w:sz w:val="20"/>
          <w:szCs w:val="20"/>
        </w:rPr>
        <w:t xml:space="preserve">. </w:t>
      </w:r>
      <w:proofErr w:type="gramStart"/>
      <w:r w:rsidRPr="003E7862">
        <w:rPr>
          <w:rFonts w:ascii="Palatino Linotype" w:hAnsi="Palatino Linotype"/>
          <w:sz w:val="20"/>
          <w:szCs w:val="20"/>
        </w:rPr>
        <w:t xml:space="preserve">(2023). </w:t>
      </w:r>
      <w:proofErr w:type="spellStart"/>
      <w:r w:rsidRPr="003E7862">
        <w:rPr>
          <w:rFonts w:ascii="Palatino Linotype" w:hAnsi="Palatino Linotype"/>
          <w:b/>
          <w:bCs/>
          <w:sz w:val="20"/>
          <w:szCs w:val="20"/>
        </w:rPr>
        <w:t>Esensi</w:t>
      </w:r>
      <w:proofErr w:type="spellEnd"/>
      <w:r w:rsidRPr="003E7862">
        <w:rPr>
          <w:rFonts w:ascii="Palatino Linotype" w:hAnsi="Palatino Linotype"/>
          <w:b/>
          <w:bCs/>
          <w:sz w:val="20"/>
          <w:szCs w:val="20"/>
        </w:rPr>
        <w:t xml:space="preserve"> </w:t>
      </w:r>
      <w:proofErr w:type="spellStart"/>
      <w:r w:rsidRPr="003E7862">
        <w:rPr>
          <w:rFonts w:ascii="Palatino Linotype" w:hAnsi="Palatino Linotype"/>
          <w:b/>
          <w:bCs/>
          <w:sz w:val="20"/>
          <w:szCs w:val="20"/>
        </w:rPr>
        <w:t>Pendidikan</w:t>
      </w:r>
      <w:proofErr w:type="spellEnd"/>
      <w:r w:rsidRPr="003E7862">
        <w:rPr>
          <w:rFonts w:ascii="Palatino Linotype" w:hAnsi="Palatino Linotype"/>
          <w:b/>
          <w:bCs/>
          <w:sz w:val="20"/>
          <w:szCs w:val="20"/>
        </w:rPr>
        <w:t xml:space="preserve"> </w:t>
      </w:r>
      <w:proofErr w:type="spellStart"/>
      <w:r w:rsidRPr="003E7862">
        <w:rPr>
          <w:rFonts w:ascii="Palatino Linotype" w:hAnsi="Palatino Linotype"/>
          <w:b/>
          <w:bCs/>
          <w:sz w:val="20"/>
          <w:szCs w:val="20"/>
        </w:rPr>
        <w:t>Berkarakter</w:t>
      </w:r>
      <w:proofErr w:type="spellEnd"/>
      <w:r w:rsidRPr="003E7862">
        <w:rPr>
          <w:rFonts w:ascii="Palatino Linotype" w:hAnsi="Palatino Linotype"/>
          <w:b/>
          <w:bCs/>
          <w:sz w:val="20"/>
          <w:szCs w:val="20"/>
        </w:rPr>
        <w:t xml:space="preserve"> di Tengah </w:t>
      </w:r>
      <w:proofErr w:type="spellStart"/>
      <w:r w:rsidRPr="003E7862">
        <w:rPr>
          <w:rFonts w:ascii="Palatino Linotype" w:hAnsi="Palatino Linotype"/>
          <w:b/>
          <w:bCs/>
          <w:sz w:val="20"/>
          <w:szCs w:val="20"/>
        </w:rPr>
        <w:t>Maraknya</w:t>
      </w:r>
      <w:proofErr w:type="spellEnd"/>
      <w:r w:rsidRPr="003E7862">
        <w:rPr>
          <w:rFonts w:ascii="Palatino Linotype" w:hAnsi="Palatino Linotype"/>
          <w:b/>
          <w:bCs/>
          <w:sz w:val="20"/>
          <w:szCs w:val="20"/>
        </w:rPr>
        <w:t xml:space="preserve"> </w:t>
      </w:r>
      <w:proofErr w:type="spellStart"/>
      <w:r w:rsidRPr="003E7862">
        <w:rPr>
          <w:rFonts w:ascii="Palatino Linotype" w:hAnsi="Palatino Linotype"/>
          <w:b/>
          <w:bCs/>
          <w:sz w:val="20"/>
          <w:szCs w:val="20"/>
        </w:rPr>
        <w:t>Fenomena</w:t>
      </w:r>
      <w:proofErr w:type="spellEnd"/>
      <w:r w:rsidRPr="003E7862">
        <w:rPr>
          <w:rFonts w:ascii="Palatino Linotype" w:hAnsi="Palatino Linotype"/>
          <w:b/>
          <w:bCs/>
          <w:sz w:val="20"/>
          <w:szCs w:val="20"/>
        </w:rPr>
        <w:t xml:space="preserve"> </w:t>
      </w:r>
      <w:proofErr w:type="spellStart"/>
      <w:r w:rsidRPr="003E7862">
        <w:rPr>
          <w:rFonts w:ascii="Palatino Linotype" w:hAnsi="Palatino Linotype"/>
          <w:b/>
          <w:bCs/>
          <w:sz w:val="20"/>
          <w:szCs w:val="20"/>
        </w:rPr>
        <w:t>Sarjana</w:t>
      </w:r>
      <w:proofErr w:type="spellEnd"/>
      <w:r w:rsidRPr="003E7862">
        <w:rPr>
          <w:rFonts w:ascii="Palatino Linotype" w:hAnsi="Palatino Linotype"/>
          <w:b/>
          <w:bCs/>
          <w:sz w:val="20"/>
          <w:szCs w:val="20"/>
        </w:rPr>
        <w:t xml:space="preserve"> </w:t>
      </w:r>
      <w:proofErr w:type="spellStart"/>
      <w:r w:rsidRPr="003E7862">
        <w:rPr>
          <w:rFonts w:ascii="Palatino Linotype" w:hAnsi="Palatino Linotype"/>
          <w:b/>
          <w:bCs/>
          <w:sz w:val="20"/>
          <w:szCs w:val="20"/>
        </w:rPr>
        <w:t>Pengangguran</w:t>
      </w:r>
      <w:proofErr w:type="spellEnd"/>
      <w:r w:rsidRPr="003E7862">
        <w:rPr>
          <w:rFonts w:ascii="Palatino Linotype" w:hAnsi="Palatino Linotype"/>
          <w:b/>
          <w:bCs/>
          <w:sz w:val="20"/>
          <w:szCs w:val="20"/>
        </w:rPr>
        <w:t>.</w:t>
      </w:r>
      <w:proofErr w:type="gramEnd"/>
      <w:r w:rsidRPr="003E7862">
        <w:rPr>
          <w:rFonts w:ascii="Palatino Linotype" w:hAnsi="Palatino Linotype"/>
          <w:b/>
          <w:bCs/>
          <w:sz w:val="20"/>
          <w:szCs w:val="20"/>
        </w:rPr>
        <w:t xml:space="preserve"> </w:t>
      </w:r>
      <w:proofErr w:type="gramStart"/>
      <w:r w:rsidRPr="003E7862">
        <w:rPr>
          <w:rFonts w:ascii="Palatino Linotype" w:hAnsi="Palatino Linotype"/>
          <w:b/>
          <w:bCs/>
          <w:sz w:val="20"/>
          <w:szCs w:val="20"/>
        </w:rPr>
        <w:t xml:space="preserve">Journal </w:t>
      </w:r>
      <w:proofErr w:type="spellStart"/>
      <w:r w:rsidRPr="003E7862">
        <w:rPr>
          <w:rFonts w:ascii="Palatino Linotype" w:hAnsi="Palatino Linotype"/>
          <w:b/>
          <w:bCs/>
          <w:sz w:val="20"/>
          <w:szCs w:val="20"/>
        </w:rPr>
        <w:t>EcoGen</w:t>
      </w:r>
      <w:proofErr w:type="spellEnd"/>
      <w:r w:rsidRPr="003E7862">
        <w:rPr>
          <w:rFonts w:ascii="Palatino Linotype" w:hAnsi="Palatino Linotype"/>
          <w:b/>
          <w:bCs/>
          <w:sz w:val="20"/>
          <w:szCs w:val="20"/>
        </w:rPr>
        <w:t>.</w:t>
      </w:r>
      <w:proofErr w:type="gramEnd"/>
      <w:r w:rsidRPr="003E7862">
        <w:rPr>
          <w:rFonts w:ascii="Palatino Linotype" w:hAnsi="Palatino Linotype"/>
          <w:b/>
          <w:bCs/>
          <w:sz w:val="20"/>
          <w:szCs w:val="20"/>
        </w:rPr>
        <w:t xml:space="preserve"> </w:t>
      </w:r>
      <w:proofErr w:type="gramStart"/>
      <w:r w:rsidRPr="003E7862">
        <w:rPr>
          <w:rFonts w:ascii="Palatino Linotype" w:hAnsi="Palatino Linotype"/>
          <w:b/>
          <w:bCs/>
          <w:sz w:val="20"/>
          <w:szCs w:val="20"/>
        </w:rPr>
        <w:t>Vol.6. No.4.</w:t>
      </w:r>
      <w:proofErr w:type="gramEnd"/>
      <w:r w:rsidRPr="003E7862">
        <w:rPr>
          <w:rFonts w:ascii="Palatino Linotype" w:hAnsi="Palatino Linotype"/>
          <w:b/>
          <w:bCs/>
          <w:sz w:val="20"/>
          <w:szCs w:val="20"/>
        </w:rPr>
        <w:t xml:space="preserve"> </w:t>
      </w:r>
      <w:r w:rsidRPr="003E7862">
        <w:rPr>
          <w:rFonts w:ascii="Palatino Linotype" w:hAnsi="Palatino Linotype"/>
          <w:sz w:val="20"/>
          <w:szCs w:val="20"/>
        </w:rPr>
        <w:t xml:space="preserve"> </w:t>
      </w:r>
      <w:r w:rsidRPr="003E7862">
        <w:rPr>
          <w:rFonts w:ascii="Palatino Linotype" w:hAnsi="Palatino Linotype"/>
          <w:b/>
          <w:bCs/>
          <w:sz w:val="20"/>
          <w:szCs w:val="20"/>
        </w:rPr>
        <w:t xml:space="preserve">ISSN </w:t>
      </w:r>
      <w:r w:rsidRPr="003E7862">
        <w:rPr>
          <w:rFonts w:ascii="Palatino Linotype" w:hAnsi="Palatino Linotype"/>
          <w:b/>
          <w:bCs/>
          <w:color w:val="323232"/>
          <w:sz w:val="20"/>
          <w:szCs w:val="20"/>
        </w:rPr>
        <w:t>2654-8429</w:t>
      </w:r>
    </w:p>
    <w:p w14:paraId="1267E2CA" w14:textId="357C8840" w:rsidR="00A24F94" w:rsidRPr="003E7862" w:rsidRDefault="00A24F94" w:rsidP="00CD0C4C">
      <w:pPr>
        <w:pStyle w:val="Bibliography"/>
        <w:spacing w:line="240" w:lineRule="auto"/>
        <w:ind w:left="0" w:firstLine="0"/>
        <w:jc w:val="both"/>
        <w:rPr>
          <w:rFonts w:ascii="Palatino Linotype" w:hAnsi="Palatino Linotype" w:cs="Calibri"/>
          <w:sz w:val="20"/>
          <w:szCs w:val="20"/>
        </w:rPr>
      </w:pPr>
      <w:proofErr w:type="spellStart"/>
      <w:proofErr w:type="gramStart"/>
      <w:r w:rsidRPr="003E7862">
        <w:rPr>
          <w:rFonts w:ascii="Palatino Linotype" w:hAnsi="Palatino Linotype" w:cs="Calibri"/>
          <w:sz w:val="20"/>
          <w:szCs w:val="20"/>
        </w:rPr>
        <w:t>Namoun</w:t>
      </w:r>
      <w:proofErr w:type="spellEnd"/>
      <w:r w:rsidRPr="003E7862">
        <w:rPr>
          <w:rFonts w:ascii="Palatino Linotype" w:hAnsi="Palatino Linotype" w:cs="Calibri"/>
          <w:sz w:val="20"/>
          <w:szCs w:val="20"/>
        </w:rPr>
        <w:t>, A., Taleb, A., Al-Shargabi, M., &amp; Benaida, M. (2019).</w:t>
      </w:r>
      <w:proofErr w:type="gramEnd"/>
      <w:r w:rsidRPr="003E7862">
        <w:rPr>
          <w:rFonts w:ascii="Palatino Linotype" w:hAnsi="Palatino Linotype" w:cs="Calibri"/>
          <w:sz w:val="20"/>
          <w:szCs w:val="20"/>
        </w:rPr>
        <w:t xml:space="preserve"> A Learning Outcome Inspired Survey Instrument for Assessing the Quality of Continuous Improvement Cycle: </w:t>
      </w:r>
      <w:r w:rsidRPr="003E7862">
        <w:rPr>
          <w:rFonts w:ascii="Palatino Linotype" w:hAnsi="Palatino Linotype" w:cs="Calibri"/>
          <w:i/>
          <w:iCs/>
          <w:sz w:val="20"/>
          <w:szCs w:val="20"/>
        </w:rPr>
        <w:t>International Journal of Information and Communication Technology Education</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15</w:t>
      </w:r>
      <w:r w:rsidRPr="003E7862">
        <w:rPr>
          <w:rFonts w:ascii="Palatino Linotype" w:hAnsi="Palatino Linotype" w:cs="Calibri"/>
          <w:sz w:val="20"/>
          <w:szCs w:val="20"/>
        </w:rPr>
        <w:t>(2), 108–129. https://doi.org/10.4018/IJICTE.2019040107</w:t>
      </w:r>
      <w:r w:rsidR="00B75F92" w:rsidRPr="003E7862">
        <w:rPr>
          <w:rFonts w:ascii="Palatino Linotype" w:hAnsi="Palatino Linotype" w:cs="Calibri"/>
          <w:sz w:val="20"/>
          <w:szCs w:val="20"/>
        </w:rPr>
        <w:t>.</w:t>
      </w:r>
    </w:p>
    <w:p w14:paraId="0C552943" w14:textId="77777777" w:rsidR="000F3189" w:rsidRPr="003E7862" w:rsidRDefault="000F3189" w:rsidP="00CD0C4C">
      <w:pPr>
        <w:pStyle w:val="Default"/>
        <w:jc w:val="both"/>
        <w:rPr>
          <w:rFonts w:cstheme="minorBidi"/>
          <w:color w:val="auto"/>
          <w:sz w:val="20"/>
          <w:szCs w:val="20"/>
        </w:rPr>
      </w:pPr>
    </w:p>
    <w:p w14:paraId="6BD82A67" w14:textId="77777777"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proofErr w:type="gramStart"/>
      <w:r w:rsidRPr="003E7862">
        <w:rPr>
          <w:rFonts w:ascii="Palatino Linotype" w:hAnsi="Palatino Linotype" w:cs="Times New Roman"/>
          <w:sz w:val="20"/>
          <w:szCs w:val="20"/>
        </w:rPr>
        <w:t>Nugraha</w:t>
      </w:r>
      <w:proofErr w:type="spellEnd"/>
      <w:r w:rsidRPr="003E7862">
        <w:rPr>
          <w:rFonts w:ascii="Palatino Linotype" w:hAnsi="Palatino Linotype" w:cs="Times New Roman"/>
          <w:sz w:val="20"/>
          <w:szCs w:val="20"/>
        </w:rPr>
        <w:t xml:space="preserve">, M., </w:t>
      </w:r>
      <w:proofErr w:type="spellStart"/>
      <w:r w:rsidRPr="003E7862">
        <w:rPr>
          <w:rFonts w:ascii="Palatino Linotype" w:hAnsi="Palatino Linotype" w:cs="Times New Roman"/>
          <w:sz w:val="20"/>
          <w:szCs w:val="20"/>
        </w:rPr>
        <w:t>Usman</w:t>
      </w:r>
      <w:proofErr w:type="spellEnd"/>
      <w:r w:rsidRPr="003E7862">
        <w:rPr>
          <w:rFonts w:ascii="Palatino Linotype" w:hAnsi="Palatino Linotype" w:cs="Times New Roman"/>
          <w:sz w:val="20"/>
          <w:szCs w:val="20"/>
        </w:rPr>
        <w:t xml:space="preserve">, M. L. L., &amp; </w:t>
      </w:r>
      <w:proofErr w:type="spellStart"/>
      <w:r w:rsidRPr="003E7862">
        <w:rPr>
          <w:rFonts w:ascii="Palatino Linotype" w:hAnsi="Palatino Linotype" w:cs="Times New Roman"/>
          <w:sz w:val="20"/>
          <w:szCs w:val="20"/>
        </w:rPr>
        <w:t>Tiawan</w:t>
      </w:r>
      <w:proofErr w:type="spellEnd"/>
      <w:r w:rsidRPr="003E7862">
        <w:rPr>
          <w:rFonts w:ascii="Palatino Linotype" w:hAnsi="Palatino Linotype" w:cs="Times New Roman"/>
          <w:sz w:val="20"/>
          <w:szCs w:val="20"/>
        </w:rPr>
        <w:t>, T. (2021).</w:t>
      </w:r>
      <w:proofErr w:type="gramEnd"/>
      <w:r w:rsidRPr="003E7862">
        <w:rPr>
          <w:rFonts w:ascii="Palatino Linotype" w:hAnsi="Palatino Linotype" w:cs="Times New Roman"/>
          <w:sz w:val="20"/>
          <w:szCs w:val="20"/>
        </w:rPr>
        <w:t xml:space="preserve"> WEB-BASED RPS MANAGEMENT INFORMATION SYSTEM (SEMESTER LESSON PLAN) USING WATERFALL MODEL. </w:t>
      </w:r>
      <w:proofErr w:type="spellStart"/>
      <w:r w:rsidRPr="003E7862">
        <w:rPr>
          <w:rFonts w:ascii="Palatino Linotype" w:hAnsi="Palatino Linotype" w:cs="Times New Roman"/>
          <w:i/>
          <w:iCs/>
          <w:sz w:val="20"/>
          <w:szCs w:val="20"/>
        </w:rPr>
        <w:t>Jurnal</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Pilar</w:t>
      </w:r>
      <w:proofErr w:type="spellEnd"/>
      <w:r w:rsidRPr="003E7862">
        <w:rPr>
          <w:rFonts w:ascii="Palatino Linotype" w:hAnsi="Palatino Linotype" w:cs="Times New Roman"/>
          <w:i/>
          <w:iCs/>
          <w:sz w:val="20"/>
          <w:szCs w:val="20"/>
        </w:rPr>
        <w:t xml:space="preserve"> Nusa </w:t>
      </w:r>
      <w:proofErr w:type="spellStart"/>
      <w:r w:rsidRPr="003E7862">
        <w:rPr>
          <w:rFonts w:ascii="Palatino Linotype" w:hAnsi="Palatino Linotype" w:cs="Times New Roman"/>
          <w:i/>
          <w:iCs/>
          <w:sz w:val="20"/>
          <w:szCs w:val="20"/>
        </w:rPr>
        <w:t>Mandiri</w:t>
      </w:r>
      <w:proofErr w:type="spell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17</w:t>
      </w:r>
      <w:r w:rsidRPr="003E7862">
        <w:rPr>
          <w:rFonts w:ascii="Palatino Linotype" w:hAnsi="Palatino Linotype" w:cs="Times New Roman"/>
          <w:sz w:val="20"/>
          <w:szCs w:val="20"/>
        </w:rPr>
        <w:t>(1), 59–66. https://doi.org/10.33480/pilar.v17i1.2098</w:t>
      </w:r>
    </w:p>
    <w:p w14:paraId="2865FE43" w14:textId="77777777" w:rsidR="00CD0C4C" w:rsidRPr="003E7862" w:rsidRDefault="00CD0C4C" w:rsidP="00CD0C4C">
      <w:pPr>
        <w:pStyle w:val="Default"/>
        <w:jc w:val="both"/>
        <w:rPr>
          <w:rFonts w:cstheme="minorBidi"/>
          <w:color w:val="auto"/>
          <w:sz w:val="20"/>
          <w:szCs w:val="20"/>
        </w:rPr>
      </w:pPr>
    </w:p>
    <w:p w14:paraId="0583C59D" w14:textId="54A03FD1" w:rsidR="00B75F92" w:rsidRPr="003E7862" w:rsidRDefault="00A24F94" w:rsidP="003E7862">
      <w:pPr>
        <w:pStyle w:val="Bibliography"/>
        <w:spacing w:line="240" w:lineRule="auto"/>
        <w:ind w:left="0" w:firstLine="0"/>
        <w:jc w:val="both"/>
        <w:rPr>
          <w:rFonts w:ascii="Palatino Linotype" w:hAnsi="Palatino Linotype" w:cs="Calibri"/>
          <w:sz w:val="20"/>
          <w:szCs w:val="20"/>
        </w:rPr>
      </w:pPr>
      <w:proofErr w:type="spellStart"/>
      <w:r w:rsidRPr="003E7862">
        <w:rPr>
          <w:rFonts w:ascii="Palatino Linotype" w:hAnsi="Palatino Linotype" w:cs="Calibri"/>
          <w:sz w:val="20"/>
          <w:szCs w:val="20"/>
        </w:rPr>
        <w:t>Puteri</w:t>
      </w:r>
      <w:proofErr w:type="spellEnd"/>
      <w:r w:rsidRPr="003E7862">
        <w:rPr>
          <w:rFonts w:ascii="Palatino Linotype" w:hAnsi="Palatino Linotype" w:cs="Calibri"/>
          <w:sz w:val="20"/>
          <w:szCs w:val="20"/>
        </w:rPr>
        <w:t xml:space="preserve">, L. H. (2018). </w:t>
      </w:r>
      <w:proofErr w:type="gramStart"/>
      <w:r w:rsidRPr="003E7862">
        <w:rPr>
          <w:rFonts w:ascii="Palatino Linotype" w:hAnsi="Palatino Linotype" w:cs="Calibri"/>
          <w:sz w:val="20"/>
          <w:szCs w:val="20"/>
        </w:rPr>
        <w:t>The Apperception Approach for Stimulating Student Learning Motivation.</w:t>
      </w:r>
      <w:proofErr w:type="gramEnd"/>
      <w:r w:rsidRPr="003E7862">
        <w:rPr>
          <w:rFonts w:ascii="Palatino Linotype" w:hAnsi="Palatino Linotype" w:cs="Calibri"/>
          <w:sz w:val="20"/>
          <w:szCs w:val="20"/>
        </w:rPr>
        <w:t xml:space="preserve"> </w:t>
      </w:r>
      <w:r w:rsidRPr="003E7862">
        <w:rPr>
          <w:rFonts w:ascii="Palatino Linotype" w:hAnsi="Palatino Linotype" w:cs="Calibri"/>
          <w:i/>
          <w:iCs/>
          <w:sz w:val="20"/>
          <w:szCs w:val="20"/>
        </w:rPr>
        <w:t>International Journal of Education, Training and Learning</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2</w:t>
      </w:r>
      <w:r w:rsidRPr="003E7862">
        <w:rPr>
          <w:rFonts w:ascii="Palatino Linotype" w:hAnsi="Palatino Linotype" w:cs="Calibri"/>
          <w:sz w:val="20"/>
          <w:szCs w:val="20"/>
        </w:rPr>
        <w:t>(1), 7–12. https://doi.org/10.33094/6.2017.2018.21.7.12</w:t>
      </w:r>
      <w:r w:rsidR="00B75F92" w:rsidRPr="003E7862">
        <w:rPr>
          <w:rFonts w:ascii="Palatino Linotype" w:hAnsi="Palatino Linotype" w:cs="Calibri"/>
          <w:sz w:val="20"/>
          <w:szCs w:val="20"/>
        </w:rPr>
        <w:t>.</w:t>
      </w:r>
    </w:p>
    <w:p w14:paraId="22BD1E5A" w14:textId="77777777" w:rsidR="003E7862" w:rsidRPr="003E7862" w:rsidRDefault="003E7862" w:rsidP="003E7862">
      <w:pPr>
        <w:rPr>
          <w:rFonts w:ascii="Palatino Linotype" w:hAnsi="Palatino Linotype"/>
          <w:sz w:val="20"/>
          <w:szCs w:val="20"/>
        </w:rPr>
      </w:pPr>
    </w:p>
    <w:p w14:paraId="21B0494E" w14:textId="1346A0B7" w:rsidR="00A24F94" w:rsidRPr="003E7862" w:rsidRDefault="00A24F94" w:rsidP="00CD0C4C">
      <w:pPr>
        <w:pStyle w:val="Bibliography"/>
        <w:spacing w:line="240" w:lineRule="auto"/>
        <w:ind w:left="0" w:firstLine="0"/>
        <w:jc w:val="both"/>
        <w:rPr>
          <w:rFonts w:ascii="Palatino Linotype" w:hAnsi="Palatino Linotype" w:cs="Calibri"/>
          <w:sz w:val="20"/>
          <w:szCs w:val="20"/>
        </w:rPr>
      </w:pPr>
      <w:r w:rsidRPr="003E7862">
        <w:rPr>
          <w:rFonts w:ascii="Palatino Linotype" w:hAnsi="Palatino Linotype" w:cs="Calibri"/>
          <w:sz w:val="20"/>
          <w:szCs w:val="20"/>
        </w:rPr>
        <w:lastRenderedPageBreak/>
        <w:t xml:space="preserve">Rochanah, R. (2017). </w:t>
      </w:r>
      <w:proofErr w:type="gramStart"/>
      <w:r w:rsidR="00B75F92" w:rsidRPr="003E7862">
        <w:rPr>
          <w:rFonts w:ascii="Palatino Linotype" w:hAnsi="Palatino Linotype" w:cs="Calibri"/>
          <w:sz w:val="20"/>
          <w:szCs w:val="20"/>
        </w:rPr>
        <w:t>Peranan Keluarga Sekolah Dan Masyarakat Dalam Menunjang Pembelajaran Yang Efektif</w:t>
      </w:r>
      <w:r w:rsidRPr="003E7862">
        <w:rPr>
          <w:rFonts w:ascii="Palatino Linotype" w:hAnsi="Palatino Linotype" w:cs="Calibri"/>
          <w:sz w:val="20"/>
          <w:szCs w:val="20"/>
        </w:rPr>
        <w:t>.</w:t>
      </w:r>
      <w:proofErr w:type="gramEnd"/>
      <w:r w:rsidRPr="003E7862">
        <w:rPr>
          <w:rFonts w:ascii="Palatino Linotype" w:hAnsi="Palatino Linotype" w:cs="Calibri"/>
          <w:sz w:val="20"/>
          <w:szCs w:val="20"/>
        </w:rPr>
        <w:t xml:space="preserve"> </w:t>
      </w:r>
      <w:r w:rsidRPr="003E7862">
        <w:rPr>
          <w:rFonts w:ascii="Palatino Linotype" w:hAnsi="Palatino Linotype" w:cs="Calibri"/>
          <w:i/>
          <w:iCs/>
          <w:sz w:val="20"/>
          <w:szCs w:val="20"/>
        </w:rPr>
        <w:t>ELEMENTARY: Islamic Teacher Journal</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4</w:t>
      </w:r>
      <w:r w:rsidRPr="003E7862">
        <w:rPr>
          <w:rFonts w:ascii="Palatino Linotype" w:hAnsi="Palatino Linotype" w:cs="Calibri"/>
          <w:sz w:val="20"/>
          <w:szCs w:val="20"/>
        </w:rPr>
        <w:t>(1). https://doi.org/10.21043/elementary.v4i1.1981</w:t>
      </w:r>
      <w:r w:rsidR="00B75F92" w:rsidRPr="003E7862">
        <w:rPr>
          <w:rFonts w:ascii="Palatino Linotype" w:hAnsi="Palatino Linotype" w:cs="Calibri"/>
          <w:sz w:val="20"/>
          <w:szCs w:val="20"/>
        </w:rPr>
        <w:t>.</w:t>
      </w:r>
    </w:p>
    <w:p w14:paraId="0ACD3578"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5FF99E92" w14:textId="219DE206"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proofErr w:type="gramStart"/>
      <w:r w:rsidRPr="003E7862">
        <w:rPr>
          <w:rFonts w:ascii="Palatino Linotype" w:hAnsi="Palatino Linotype" w:cs="Times New Roman"/>
          <w:sz w:val="20"/>
          <w:szCs w:val="20"/>
        </w:rPr>
        <w:t>Rosiawan</w:t>
      </w:r>
      <w:proofErr w:type="spellEnd"/>
      <w:r w:rsidRPr="003E7862">
        <w:rPr>
          <w:rFonts w:ascii="Palatino Linotype" w:hAnsi="Palatino Linotype" w:cs="Times New Roman"/>
          <w:sz w:val="20"/>
          <w:szCs w:val="20"/>
        </w:rPr>
        <w:t>, M. (2023).</w:t>
      </w:r>
      <w:proofErr w:type="gramEnd"/>
      <w:r w:rsidRPr="003E7862">
        <w:rPr>
          <w:rFonts w:ascii="Palatino Linotype" w:hAnsi="Palatino Linotype" w:cs="Times New Roman"/>
          <w:sz w:val="20"/>
          <w:szCs w:val="20"/>
        </w:rPr>
        <w:t xml:space="preserve"> </w:t>
      </w:r>
      <w:proofErr w:type="gramStart"/>
      <w:r w:rsidRPr="003E7862">
        <w:rPr>
          <w:rFonts w:ascii="Palatino Linotype" w:hAnsi="Palatino Linotype" w:cs="Times New Roman"/>
          <w:sz w:val="20"/>
          <w:szCs w:val="20"/>
        </w:rPr>
        <w:t>Implementing Outcome-Based Education in Accordance with ISO 21001 Requirements.</w:t>
      </w:r>
      <w:proofErr w:type="gramEnd"/>
      <w:r w:rsidRPr="003E7862">
        <w:rPr>
          <w:rFonts w:ascii="Palatino Linotype" w:hAnsi="Palatino Linotype" w:cs="Times New Roman"/>
          <w:sz w:val="20"/>
          <w:szCs w:val="20"/>
        </w:rPr>
        <w:t xml:space="preserve"> In W. R. </w:t>
      </w:r>
      <w:proofErr w:type="spellStart"/>
      <w:r w:rsidRPr="003E7862">
        <w:rPr>
          <w:rFonts w:ascii="Palatino Linotype" w:hAnsi="Palatino Linotype" w:cs="Times New Roman"/>
          <w:sz w:val="20"/>
          <w:szCs w:val="20"/>
        </w:rPr>
        <w:t>Murhadi</w:t>
      </w:r>
      <w:proofErr w:type="spellEnd"/>
      <w:r w:rsidRPr="003E7862">
        <w:rPr>
          <w:rFonts w:ascii="Palatino Linotype" w:hAnsi="Palatino Linotype" w:cs="Times New Roman"/>
          <w:sz w:val="20"/>
          <w:szCs w:val="20"/>
        </w:rPr>
        <w:t xml:space="preserve">, D. </w:t>
      </w:r>
      <w:proofErr w:type="spellStart"/>
      <w:r w:rsidRPr="003E7862">
        <w:rPr>
          <w:rFonts w:ascii="Palatino Linotype" w:hAnsi="Palatino Linotype" w:cs="Times New Roman"/>
          <w:sz w:val="20"/>
          <w:szCs w:val="20"/>
        </w:rPr>
        <w:t>Anandya</w:t>
      </w:r>
      <w:proofErr w:type="spellEnd"/>
      <w:r w:rsidRPr="003E7862">
        <w:rPr>
          <w:rFonts w:ascii="Palatino Linotype" w:hAnsi="Palatino Linotype" w:cs="Times New Roman"/>
          <w:sz w:val="20"/>
          <w:szCs w:val="20"/>
        </w:rPr>
        <w:t xml:space="preserve">, N. K. </w:t>
      </w:r>
      <w:proofErr w:type="spellStart"/>
      <w:r w:rsidRPr="003E7862">
        <w:rPr>
          <w:rFonts w:ascii="Palatino Linotype" w:hAnsi="Palatino Linotype" w:cs="Times New Roman"/>
          <w:sz w:val="20"/>
          <w:szCs w:val="20"/>
        </w:rPr>
        <w:t>Darmasetiawan</w:t>
      </w:r>
      <w:proofErr w:type="spellEnd"/>
      <w:r w:rsidRPr="003E7862">
        <w:rPr>
          <w:rFonts w:ascii="Palatino Linotype" w:hAnsi="Palatino Linotype" w:cs="Times New Roman"/>
          <w:sz w:val="20"/>
          <w:szCs w:val="20"/>
        </w:rPr>
        <w:t xml:space="preserve">, J. </w:t>
      </w:r>
      <w:proofErr w:type="spellStart"/>
      <w:r w:rsidRPr="003E7862">
        <w:rPr>
          <w:rFonts w:ascii="Palatino Linotype" w:hAnsi="Palatino Linotype" w:cs="Times New Roman"/>
          <w:sz w:val="20"/>
          <w:szCs w:val="20"/>
        </w:rPr>
        <w:t>Dyah</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Trisnawati</w:t>
      </w:r>
      <w:proofErr w:type="spellEnd"/>
      <w:r w:rsidRPr="003E7862">
        <w:rPr>
          <w:rFonts w:ascii="Palatino Linotype" w:hAnsi="Palatino Linotype" w:cs="Times New Roman"/>
          <w:sz w:val="20"/>
          <w:szCs w:val="20"/>
        </w:rPr>
        <w:t xml:space="preserve">, P. A. </w:t>
      </w:r>
      <w:proofErr w:type="spellStart"/>
      <w:r w:rsidRPr="003E7862">
        <w:rPr>
          <w:rFonts w:ascii="Palatino Linotype" w:hAnsi="Palatino Linotype" w:cs="Times New Roman"/>
          <w:sz w:val="20"/>
          <w:szCs w:val="20"/>
        </w:rPr>
        <w:t>Mahadwartha</w:t>
      </w:r>
      <w:proofErr w:type="spellEnd"/>
      <w:r w:rsidRPr="003E7862">
        <w:rPr>
          <w:rFonts w:ascii="Palatino Linotype" w:hAnsi="Palatino Linotype" w:cs="Times New Roman"/>
          <w:sz w:val="20"/>
          <w:szCs w:val="20"/>
        </w:rPr>
        <w:t xml:space="preserve">, &amp; E. </w:t>
      </w:r>
      <w:proofErr w:type="spellStart"/>
      <w:r w:rsidRPr="003E7862">
        <w:rPr>
          <w:rFonts w:ascii="Palatino Linotype" w:hAnsi="Palatino Linotype" w:cs="Times New Roman"/>
          <w:sz w:val="20"/>
          <w:szCs w:val="20"/>
        </w:rPr>
        <w:t>Tandelilin</w:t>
      </w:r>
      <w:proofErr w:type="spellEnd"/>
      <w:r w:rsidRPr="003E7862">
        <w:rPr>
          <w:rFonts w:ascii="Palatino Linotype" w:hAnsi="Palatino Linotype" w:cs="Times New Roman"/>
          <w:sz w:val="20"/>
          <w:szCs w:val="20"/>
        </w:rPr>
        <w:t xml:space="preserve"> (Eds.), </w:t>
      </w:r>
      <w:r w:rsidRPr="003E7862">
        <w:rPr>
          <w:rFonts w:ascii="Palatino Linotype" w:hAnsi="Palatino Linotype" w:cs="Times New Roman"/>
          <w:i/>
          <w:iCs/>
          <w:sz w:val="20"/>
          <w:szCs w:val="20"/>
        </w:rPr>
        <w:t>Proceedings of the 19th International Symposium on Management (INSYMA 2022)</w:t>
      </w:r>
      <w:r w:rsidRPr="003E7862">
        <w:rPr>
          <w:rFonts w:ascii="Palatino Linotype" w:hAnsi="Palatino Linotype" w:cs="Times New Roman"/>
          <w:sz w:val="20"/>
          <w:szCs w:val="20"/>
        </w:rPr>
        <w:t xml:space="preserve"> (Vol. 223, pp. 1067–1077). Atlantis Press International BV. https://doi.org/10.2991/978-94-6463-008-4_132</w:t>
      </w:r>
      <w:r w:rsidR="003E7862" w:rsidRPr="003E7862">
        <w:rPr>
          <w:rFonts w:ascii="Palatino Linotype" w:hAnsi="Palatino Linotype" w:cs="Times New Roman"/>
          <w:sz w:val="20"/>
          <w:szCs w:val="20"/>
        </w:rPr>
        <w:t>.</w:t>
      </w:r>
    </w:p>
    <w:p w14:paraId="40F4CF9B" w14:textId="77777777" w:rsidR="003E7862" w:rsidRPr="003E7862" w:rsidRDefault="003E7862" w:rsidP="00CD0C4C">
      <w:pPr>
        <w:pStyle w:val="Bibliography"/>
        <w:spacing w:line="240" w:lineRule="auto"/>
        <w:jc w:val="both"/>
        <w:rPr>
          <w:rFonts w:ascii="Palatino Linotype" w:hAnsi="Palatino Linotype" w:cs="Times New Roman"/>
          <w:sz w:val="20"/>
          <w:szCs w:val="20"/>
        </w:rPr>
      </w:pPr>
    </w:p>
    <w:p w14:paraId="06451EDC" w14:textId="08F8D984" w:rsidR="00CD0C4C" w:rsidRPr="003E7862" w:rsidRDefault="00CD0C4C" w:rsidP="003E7862">
      <w:pPr>
        <w:pStyle w:val="Bibliography"/>
        <w:spacing w:line="240" w:lineRule="auto"/>
        <w:ind w:left="0" w:hanging="11"/>
        <w:jc w:val="both"/>
        <w:rPr>
          <w:rFonts w:ascii="Palatino Linotype" w:hAnsi="Palatino Linotype" w:cs="Times New Roman"/>
          <w:sz w:val="20"/>
          <w:szCs w:val="20"/>
        </w:rPr>
      </w:pPr>
      <w:proofErr w:type="spellStart"/>
      <w:proofErr w:type="gramStart"/>
      <w:r w:rsidRPr="003E7862">
        <w:rPr>
          <w:rFonts w:ascii="Palatino Linotype" w:hAnsi="Palatino Linotype" w:cs="Times New Roman"/>
          <w:sz w:val="20"/>
          <w:szCs w:val="20"/>
        </w:rPr>
        <w:t>Rumohr</w:t>
      </w:r>
      <w:proofErr w:type="spellEnd"/>
      <w:r w:rsidRPr="003E7862">
        <w:rPr>
          <w:rFonts w:ascii="Palatino Linotype" w:hAnsi="Palatino Linotype" w:cs="Times New Roman"/>
          <w:sz w:val="20"/>
          <w:szCs w:val="20"/>
        </w:rPr>
        <w:t>, F. (2013).</w:t>
      </w:r>
      <w:proofErr w:type="gramEnd"/>
      <w:r w:rsidRPr="003E7862">
        <w:rPr>
          <w:rFonts w:ascii="Palatino Linotype" w:hAnsi="Palatino Linotype" w:cs="Times New Roman"/>
          <w:sz w:val="20"/>
          <w:szCs w:val="20"/>
        </w:rPr>
        <w:t xml:space="preserve"> </w:t>
      </w:r>
      <w:proofErr w:type="gramStart"/>
      <w:r w:rsidRPr="003E7862">
        <w:rPr>
          <w:rFonts w:ascii="Palatino Linotype" w:hAnsi="Palatino Linotype" w:cs="Times New Roman"/>
          <w:sz w:val="20"/>
          <w:szCs w:val="20"/>
        </w:rPr>
        <w:t>Reflection and Inquiry in Stages of Learning Practice.</w:t>
      </w:r>
      <w:proofErr w:type="gramEnd"/>
      <w:r w:rsidRPr="003E7862">
        <w:rPr>
          <w:rFonts w:ascii="Palatino Linotype" w:hAnsi="Palatino Linotype" w:cs="Times New Roman"/>
          <w:sz w:val="20"/>
          <w:szCs w:val="20"/>
        </w:rPr>
        <w:t xml:space="preserve"> </w:t>
      </w:r>
      <w:proofErr w:type="gramStart"/>
      <w:r w:rsidRPr="003E7862">
        <w:rPr>
          <w:rFonts w:ascii="Palatino Linotype" w:hAnsi="Palatino Linotype" w:cs="Times New Roman"/>
          <w:i/>
          <w:iCs/>
          <w:sz w:val="20"/>
          <w:szCs w:val="20"/>
        </w:rPr>
        <w:t>Teaching Artist Journal</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11</w:t>
      </w:r>
      <w:r w:rsidRPr="003E7862">
        <w:rPr>
          <w:rFonts w:ascii="Palatino Linotype" w:hAnsi="Palatino Linotype" w:cs="Times New Roman"/>
          <w:sz w:val="20"/>
          <w:szCs w:val="20"/>
        </w:rPr>
        <w:t>(4), 224–233.</w:t>
      </w:r>
      <w:proofErr w:type="gramEnd"/>
      <w:r w:rsidRPr="003E7862">
        <w:rPr>
          <w:rFonts w:ascii="Palatino Linotype" w:hAnsi="Palatino Linotype" w:cs="Times New Roman"/>
          <w:sz w:val="20"/>
          <w:szCs w:val="20"/>
        </w:rPr>
        <w:t xml:space="preserve"> https://doi.org/10.1080/15411796.2013.815544</w:t>
      </w:r>
      <w:r w:rsidR="003E7862" w:rsidRPr="003E7862">
        <w:rPr>
          <w:rFonts w:ascii="Palatino Linotype" w:hAnsi="Palatino Linotype" w:cs="Times New Roman"/>
          <w:sz w:val="20"/>
          <w:szCs w:val="20"/>
        </w:rPr>
        <w:t>.</w:t>
      </w:r>
    </w:p>
    <w:p w14:paraId="4DBD5F90"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75080382" w14:textId="4E9706C8" w:rsidR="003E7862"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r w:rsidRPr="003E7862">
        <w:rPr>
          <w:rFonts w:ascii="Palatino Linotype" w:hAnsi="Palatino Linotype" w:cs="Times New Roman"/>
          <w:sz w:val="20"/>
          <w:szCs w:val="20"/>
        </w:rPr>
        <w:t>Rusmardi</w:t>
      </w:r>
      <w:proofErr w:type="spellEnd"/>
      <w:r w:rsidRPr="003E7862">
        <w:rPr>
          <w:rFonts w:ascii="Palatino Linotype" w:hAnsi="Palatino Linotype" w:cs="Times New Roman"/>
          <w:sz w:val="20"/>
          <w:szCs w:val="20"/>
        </w:rPr>
        <w:t xml:space="preserve">, R. (2023). Content Analysis </w:t>
      </w:r>
      <w:proofErr w:type="gramStart"/>
      <w:r w:rsidRPr="003E7862">
        <w:rPr>
          <w:rFonts w:ascii="Palatino Linotype" w:hAnsi="Palatino Linotype" w:cs="Times New Roman"/>
          <w:sz w:val="20"/>
          <w:szCs w:val="20"/>
        </w:rPr>
        <w:t>Of</w:t>
      </w:r>
      <w:proofErr w:type="gramEnd"/>
      <w:r w:rsidRPr="003E7862">
        <w:rPr>
          <w:rFonts w:ascii="Palatino Linotype" w:hAnsi="Palatino Linotype" w:cs="Times New Roman"/>
          <w:sz w:val="20"/>
          <w:szCs w:val="20"/>
        </w:rPr>
        <w:t xml:space="preserve"> Entrepreneurship Semester Learning Plan (</w:t>
      </w:r>
      <w:proofErr w:type="spellStart"/>
      <w:r w:rsidRPr="003E7862">
        <w:rPr>
          <w:rFonts w:ascii="Palatino Linotype" w:hAnsi="Palatino Linotype" w:cs="Times New Roman"/>
          <w:sz w:val="20"/>
          <w:szCs w:val="20"/>
        </w:rPr>
        <w:t>Rps</w:t>
      </w:r>
      <w:proofErr w:type="spellEnd"/>
      <w:r w:rsidRPr="003E7862">
        <w:rPr>
          <w:rFonts w:ascii="Palatino Linotype" w:hAnsi="Palatino Linotype" w:cs="Times New Roman"/>
          <w:sz w:val="20"/>
          <w:szCs w:val="20"/>
        </w:rPr>
        <w:t xml:space="preserve">) Versus Character Education And Professional Ethics In The Heavy Equipment Engineering Study Program Of Padang State Polytechnic. </w:t>
      </w:r>
      <w:r w:rsidRPr="003E7862">
        <w:rPr>
          <w:rFonts w:ascii="Palatino Linotype" w:hAnsi="Palatino Linotype" w:cs="Times New Roman"/>
          <w:i/>
          <w:iCs/>
          <w:sz w:val="20"/>
          <w:szCs w:val="20"/>
        </w:rPr>
        <w:t>Journal of Social Science (</w:t>
      </w:r>
      <w:proofErr w:type="spellStart"/>
      <w:r w:rsidRPr="003E7862">
        <w:rPr>
          <w:rFonts w:ascii="Palatino Linotype" w:hAnsi="Palatino Linotype" w:cs="Times New Roman"/>
          <w:i/>
          <w:iCs/>
          <w:sz w:val="20"/>
          <w:szCs w:val="20"/>
        </w:rPr>
        <w:t>JoSS</w:t>
      </w:r>
      <w:proofErr w:type="spellEnd"/>
      <w:r w:rsidRPr="003E7862">
        <w:rPr>
          <w:rFonts w:ascii="Palatino Linotype" w:hAnsi="Palatino Linotype" w:cs="Times New Roman"/>
          <w:i/>
          <w:iCs/>
          <w:sz w:val="20"/>
          <w:szCs w:val="20"/>
        </w:rPr>
        <w:t>)</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2</w:t>
      </w:r>
      <w:r w:rsidRPr="003E7862">
        <w:rPr>
          <w:rFonts w:ascii="Palatino Linotype" w:hAnsi="Palatino Linotype" w:cs="Times New Roman"/>
          <w:sz w:val="20"/>
          <w:szCs w:val="20"/>
        </w:rPr>
        <w:t>(4), 422–429. https://doi.org/10.57185/joss.v2i4.71</w:t>
      </w:r>
      <w:r w:rsidR="003E7862" w:rsidRPr="003E7862">
        <w:rPr>
          <w:rFonts w:ascii="Palatino Linotype" w:hAnsi="Palatino Linotype" w:cs="Times New Roman"/>
          <w:sz w:val="20"/>
          <w:szCs w:val="20"/>
        </w:rPr>
        <w:t>.</w:t>
      </w:r>
    </w:p>
    <w:p w14:paraId="046B67D6" w14:textId="77777777" w:rsidR="003E7862" w:rsidRPr="003E7862" w:rsidRDefault="003E7862" w:rsidP="003E7862">
      <w:pPr>
        <w:pStyle w:val="Bibliography"/>
        <w:spacing w:line="240" w:lineRule="auto"/>
        <w:ind w:left="0" w:hanging="11"/>
        <w:jc w:val="both"/>
        <w:rPr>
          <w:rFonts w:ascii="Palatino Linotype" w:hAnsi="Palatino Linotype" w:cs="Times New Roman"/>
          <w:sz w:val="20"/>
          <w:szCs w:val="20"/>
        </w:rPr>
      </w:pPr>
    </w:p>
    <w:p w14:paraId="46A592D5" w14:textId="3C490244" w:rsidR="00CD0C4C" w:rsidRPr="003E7862" w:rsidRDefault="00CD0C4C" w:rsidP="003E7862">
      <w:pPr>
        <w:pStyle w:val="Bibliography"/>
        <w:spacing w:line="240" w:lineRule="auto"/>
        <w:ind w:left="0" w:hanging="11"/>
        <w:jc w:val="both"/>
        <w:rPr>
          <w:rFonts w:ascii="Palatino Linotype" w:hAnsi="Palatino Linotype" w:cs="Times New Roman"/>
          <w:sz w:val="20"/>
          <w:szCs w:val="20"/>
        </w:rPr>
      </w:pPr>
      <w:proofErr w:type="spellStart"/>
      <w:r w:rsidRPr="003E7862">
        <w:rPr>
          <w:rFonts w:ascii="Palatino Linotype" w:hAnsi="Palatino Linotype" w:cs="Times New Roman"/>
          <w:sz w:val="20"/>
          <w:szCs w:val="20"/>
        </w:rPr>
        <w:t>Septiana</w:t>
      </w:r>
      <w:proofErr w:type="spellEnd"/>
      <w:r w:rsidRPr="003E7862">
        <w:rPr>
          <w:rFonts w:ascii="Palatino Linotype" w:hAnsi="Palatino Linotype" w:cs="Times New Roman"/>
          <w:sz w:val="20"/>
          <w:szCs w:val="20"/>
        </w:rPr>
        <w:t xml:space="preserve">, T. I. (2023). </w:t>
      </w:r>
      <w:proofErr w:type="gramStart"/>
      <w:r w:rsidRPr="003E7862">
        <w:rPr>
          <w:rFonts w:ascii="Palatino Linotype" w:hAnsi="Palatino Linotype" w:cs="Times New Roman"/>
          <w:sz w:val="20"/>
          <w:szCs w:val="20"/>
        </w:rPr>
        <w:t xml:space="preserve">Designing Semester </w:t>
      </w:r>
      <w:proofErr w:type="spellStart"/>
      <w:r w:rsidRPr="003E7862">
        <w:rPr>
          <w:rFonts w:ascii="Palatino Linotype" w:hAnsi="Palatino Linotype" w:cs="Times New Roman"/>
          <w:sz w:val="20"/>
          <w:szCs w:val="20"/>
        </w:rPr>
        <w:t>Insturctional</w:t>
      </w:r>
      <w:proofErr w:type="spellEnd"/>
      <w:r w:rsidRPr="003E7862">
        <w:rPr>
          <w:rFonts w:ascii="Palatino Linotype" w:hAnsi="Palatino Linotype" w:cs="Times New Roman"/>
          <w:sz w:val="20"/>
          <w:szCs w:val="20"/>
        </w:rPr>
        <w:t xml:space="preserve"> Plan of Reading Course at English Education Department.</w:t>
      </w:r>
      <w:proofErr w:type="gram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i/>
          <w:iCs/>
          <w:sz w:val="20"/>
          <w:szCs w:val="20"/>
        </w:rPr>
        <w:t>Educativo</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Jurnal</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Pendidikan</w:t>
      </w:r>
      <w:proofErr w:type="spell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2</w:t>
      </w:r>
      <w:r w:rsidRPr="003E7862">
        <w:rPr>
          <w:rFonts w:ascii="Palatino Linotype" w:hAnsi="Palatino Linotype" w:cs="Times New Roman"/>
          <w:sz w:val="20"/>
          <w:szCs w:val="20"/>
        </w:rPr>
        <w:t>(1), 168–182. https://doi.org/10.56248/educativo.v2i1.123</w:t>
      </w:r>
      <w:r w:rsidR="003E7862" w:rsidRPr="003E7862">
        <w:rPr>
          <w:rFonts w:ascii="Palatino Linotype" w:hAnsi="Palatino Linotype" w:cs="Times New Roman"/>
          <w:sz w:val="20"/>
          <w:szCs w:val="20"/>
        </w:rPr>
        <w:t>.</w:t>
      </w:r>
    </w:p>
    <w:p w14:paraId="57E8BFAC" w14:textId="77777777" w:rsidR="003E7862" w:rsidRPr="003E7862" w:rsidRDefault="003E7862" w:rsidP="00CD0C4C">
      <w:pPr>
        <w:pStyle w:val="Bibliography"/>
        <w:spacing w:line="240" w:lineRule="auto"/>
        <w:jc w:val="both"/>
        <w:rPr>
          <w:rFonts w:ascii="Palatino Linotype" w:hAnsi="Palatino Linotype" w:cs="Times New Roman"/>
          <w:sz w:val="20"/>
          <w:szCs w:val="20"/>
        </w:rPr>
      </w:pPr>
    </w:p>
    <w:p w14:paraId="58FECA0C" w14:textId="77777777"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r w:rsidRPr="003E7862">
        <w:rPr>
          <w:rFonts w:ascii="Palatino Linotype" w:hAnsi="Palatino Linotype" w:cs="Times New Roman"/>
          <w:sz w:val="20"/>
          <w:szCs w:val="20"/>
        </w:rPr>
        <w:t>Septiani</w:t>
      </w:r>
      <w:proofErr w:type="spellEnd"/>
      <w:r w:rsidRPr="003E7862">
        <w:rPr>
          <w:rFonts w:ascii="Palatino Linotype" w:hAnsi="Palatino Linotype" w:cs="Times New Roman"/>
          <w:sz w:val="20"/>
          <w:szCs w:val="20"/>
        </w:rPr>
        <w:t xml:space="preserve">, A. N., </w:t>
      </w:r>
      <w:proofErr w:type="spellStart"/>
      <w:r w:rsidRPr="003E7862">
        <w:rPr>
          <w:rFonts w:ascii="Palatino Linotype" w:hAnsi="Palatino Linotype" w:cs="Times New Roman"/>
          <w:sz w:val="20"/>
          <w:szCs w:val="20"/>
        </w:rPr>
        <w:t>Pratiwi</w:t>
      </w:r>
      <w:proofErr w:type="spellEnd"/>
      <w:r w:rsidRPr="003E7862">
        <w:rPr>
          <w:rFonts w:ascii="Palatino Linotype" w:hAnsi="Palatino Linotype" w:cs="Times New Roman"/>
          <w:sz w:val="20"/>
          <w:szCs w:val="20"/>
        </w:rPr>
        <w:t xml:space="preserve">, D., &amp; </w:t>
      </w:r>
      <w:proofErr w:type="spellStart"/>
      <w:r w:rsidRPr="003E7862">
        <w:rPr>
          <w:rFonts w:ascii="Palatino Linotype" w:hAnsi="Palatino Linotype" w:cs="Times New Roman"/>
          <w:sz w:val="20"/>
          <w:szCs w:val="20"/>
        </w:rPr>
        <w:t>Rossy</w:t>
      </w:r>
      <w:proofErr w:type="spellEnd"/>
      <w:r w:rsidRPr="003E7862">
        <w:rPr>
          <w:rFonts w:ascii="Palatino Linotype" w:hAnsi="Palatino Linotype" w:cs="Times New Roman"/>
          <w:sz w:val="20"/>
          <w:szCs w:val="20"/>
        </w:rPr>
        <w:t xml:space="preserve">, R. (2023). </w:t>
      </w:r>
      <w:proofErr w:type="spellStart"/>
      <w:proofErr w:type="gramStart"/>
      <w:r w:rsidRPr="003E7862">
        <w:rPr>
          <w:rFonts w:ascii="Palatino Linotype" w:hAnsi="Palatino Linotype" w:cs="Times New Roman"/>
          <w:sz w:val="20"/>
          <w:szCs w:val="20"/>
        </w:rPr>
        <w:t>Evaluasi</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Pembelajaran</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dalam</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Meningkatan</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Mutu</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Pendidikan</w:t>
      </w:r>
      <w:proofErr w:type="spellEnd"/>
      <w:r w:rsidRPr="003E7862">
        <w:rPr>
          <w:rFonts w:ascii="Palatino Linotype" w:hAnsi="Palatino Linotype" w:cs="Times New Roman"/>
          <w:sz w:val="20"/>
          <w:szCs w:val="20"/>
        </w:rPr>
        <w:t xml:space="preserve"> di </w:t>
      </w:r>
      <w:proofErr w:type="spellStart"/>
      <w:r w:rsidRPr="003E7862">
        <w:rPr>
          <w:rFonts w:ascii="Palatino Linotype" w:hAnsi="Palatino Linotype" w:cs="Times New Roman"/>
          <w:sz w:val="20"/>
          <w:szCs w:val="20"/>
        </w:rPr>
        <w:t>Sekolah</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Dasar</w:t>
      </w:r>
      <w:proofErr w:type="spellEnd"/>
      <w:r w:rsidRPr="003E7862">
        <w:rPr>
          <w:rFonts w:ascii="Palatino Linotype" w:hAnsi="Palatino Linotype" w:cs="Times New Roman"/>
          <w:sz w:val="20"/>
          <w:szCs w:val="20"/>
        </w:rPr>
        <w:t>.</w:t>
      </w:r>
      <w:proofErr w:type="gram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MASALIQ</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3</w:t>
      </w:r>
      <w:r w:rsidRPr="003E7862">
        <w:rPr>
          <w:rFonts w:ascii="Palatino Linotype" w:hAnsi="Palatino Linotype" w:cs="Times New Roman"/>
          <w:sz w:val="20"/>
          <w:szCs w:val="20"/>
        </w:rPr>
        <w:t>(5), 824–832. https://doi.org/10.58578/masaliq.v3i5.1380</w:t>
      </w:r>
    </w:p>
    <w:p w14:paraId="7D392176" w14:textId="77777777" w:rsidR="00B75F92" w:rsidRPr="003E7862" w:rsidRDefault="00B75F92" w:rsidP="00CD0C4C">
      <w:pPr>
        <w:spacing w:after="0"/>
        <w:jc w:val="both"/>
        <w:rPr>
          <w:rFonts w:ascii="Palatino Linotype" w:hAnsi="Palatino Linotype"/>
          <w:sz w:val="20"/>
          <w:szCs w:val="20"/>
        </w:rPr>
      </w:pPr>
    </w:p>
    <w:p w14:paraId="02F909DC" w14:textId="266C0580" w:rsidR="00A24F94" w:rsidRPr="003E7862" w:rsidRDefault="00A24F94" w:rsidP="00CD0C4C">
      <w:pPr>
        <w:pStyle w:val="Bibliography"/>
        <w:spacing w:line="240" w:lineRule="auto"/>
        <w:ind w:left="0" w:firstLine="0"/>
        <w:jc w:val="both"/>
        <w:rPr>
          <w:rFonts w:ascii="Palatino Linotype" w:hAnsi="Palatino Linotype" w:cs="Calibri"/>
          <w:sz w:val="20"/>
          <w:szCs w:val="20"/>
        </w:rPr>
      </w:pPr>
      <w:proofErr w:type="gramStart"/>
      <w:r w:rsidRPr="003E7862">
        <w:rPr>
          <w:rFonts w:ascii="Palatino Linotype" w:hAnsi="Palatino Linotype" w:cs="Calibri"/>
          <w:sz w:val="20"/>
          <w:szCs w:val="20"/>
        </w:rPr>
        <w:t>Setiawan, D., Putri, E. R., &amp; Hidayat, A. (2023).</w:t>
      </w:r>
      <w:proofErr w:type="gramEnd"/>
      <w:r w:rsidRPr="003E7862">
        <w:rPr>
          <w:rFonts w:ascii="Palatino Linotype" w:hAnsi="Palatino Linotype" w:cs="Calibri"/>
          <w:sz w:val="20"/>
          <w:szCs w:val="20"/>
        </w:rPr>
        <w:t xml:space="preserve"> </w:t>
      </w:r>
      <w:proofErr w:type="gramStart"/>
      <w:r w:rsidRPr="003E7862">
        <w:rPr>
          <w:rFonts w:ascii="Palatino Linotype" w:hAnsi="Palatino Linotype" w:cs="Calibri"/>
          <w:sz w:val="20"/>
          <w:szCs w:val="20"/>
        </w:rPr>
        <w:t>Learning Methods and Scientific Approaches on Integrated Thematic Learning.</w:t>
      </w:r>
      <w:proofErr w:type="gramEnd"/>
      <w:r w:rsidRPr="003E7862">
        <w:rPr>
          <w:rFonts w:ascii="Palatino Linotype" w:hAnsi="Palatino Linotype" w:cs="Calibri"/>
          <w:sz w:val="20"/>
          <w:szCs w:val="20"/>
        </w:rPr>
        <w:t xml:space="preserve"> </w:t>
      </w:r>
      <w:r w:rsidRPr="003E7862">
        <w:rPr>
          <w:rFonts w:ascii="Palatino Linotype" w:hAnsi="Palatino Linotype" w:cs="Calibri"/>
          <w:i/>
          <w:iCs/>
          <w:sz w:val="20"/>
          <w:szCs w:val="20"/>
        </w:rPr>
        <w:t>Jurnal Penelitian Pendidikan IPA</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9</w:t>
      </w:r>
      <w:r w:rsidRPr="003E7862">
        <w:rPr>
          <w:rFonts w:ascii="Palatino Linotype" w:hAnsi="Palatino Linotype" w:cs="Calibri"/>
          <w:sz w:val="20"/>
          <w:szCs w:val="20"/>
        </w:rPr>
        <w:t>(4), 1679–1686. https://doi.org/10.29303/jppipa.v9i4.3029</w:t>
      </w:r>
      <w:r w:rsidR="00B75F92" w:rsidRPr="003E7862">
        <w:rPr>
          <w:rFonts w:ascii="Palatino Linotype" w:hAnsi="Palatino Linotype" w:cs="Calibri"/>
          <w:sz w:val="20"/>
          <w:szCs w:val="20"/>
        </w:rPr>
        <w:t>.</w:t>
      </w:r>
    </w:p>
    <w:p w14:paraId="3C7A0232"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1C41FD49" w14:textId="0F859A1F"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gramStart"/>
      <w:r w:rsidRPr="003E7862">
        <w:rPr>
          <w:rFonts w:ascii="Palatino Linotype" w:hAnsi="Palatino Linotype" w:cs="Times New Roman"/>
          <w:sz w:val="20"/>
          <w:szCs w:val="20"/>
        </w:rPr>
        <w:t xml:space="preserve">Sharma, S., &amp; </w:t>
      </w:r>
      <w:proofErr w:type="spellStart"/>
      <w:r w:rsidRPr="003E7862">
        <w:rPr>
          <w:rFonts w:ascii="Palatino Linotype" w:hAnsi="Palatino Linotype" w:cs="Times New Roman"/>
          <w:sz w:val="20"/>
          <w:szCs w:val="20"/>
        </w:rPr>
        <w:t>Dwivedi</w:t>
      </w:r>
      <w:proofErr w:type="spellEnd"/>
      <w:r w:rsidRPr="003E7862">
        <w:rPr>
          <w:rFonts w:ascii="Palatino Linotype" w:hAnsi="Palatino Linotype" w:cs="Times New Roman"/>
          <w:sz w:val="20"/>
          <w:szCs w:val="20"/>
        </w:rPr>
        <w:t>, P. (2021).</w:t>
      </w:r>
      <w:proofErr w:type="gramEnd"/>
      <w:r w:rsidRPr="003E7862">
        <w:rPr>
          <w:rFonts w:ascii="Palatino Linotype" w:hAnsi="Palatino Linotype" w:cs="Times New Roman"/>
          <w:sz w:val="20"/>
          <w:szCs w:val="20"/>
        </w:rPr>
        <w:t xml:space="preserve"> A Comparative Study of Existing Mechanisms for Implementation of OBE in Various Countries: In G. R. </w:t>
      </w:r>
      <w:proofErr w:type="spellStart"/>
      <w:r w:rsidRPr="003E7862">
        <w:rPr>
          <w:rFonts w:ascii="Palatino Linotype" w:hAnsi="Palatino Linotype" w:cs="Times New Roman"/>
          <w:sz w:val="20"/>
          <w:szCs w:val="20"/>
        </w:rPr>
        <w:t>Sinha</w:t>
      </w:r>
      <w:proofErr w:type="spellEnd"/>
      <w:r w:rsidRPr="003E7862">
        <w:rPr>
          <w:rFonts w:ascii="Palatino Linotype" w:hAnsi="Palatino Linotype" w:cs="Times New Roman"/>
          <w:sz w:val="20"/>
          <w:szCs w:val="20"/>
        </w:rPr>
        <w:t xml:space="preserve"> (Ed.), </w:t>
      </w:r>
      <w:r w:rsidRPr="003E7862">
        <w:rPr>
          <w:rFonts w:ascii="Palatino Linotype" w:hAnsi="Palatino Linotype" w:cs="Times New Roman"/>
          <w:i/>
          <w:iCs/>
          <w:sz w:val="20"/>
          <w:szCs w:val="20"/>
        </w:rPr>
        <w:t>Advances in Educational Technologies and Instructional Design</w:t>
      </w:r>
      <w:r w:rsidRPr="003E7862">
        <w:rPr>
          <w:rFonts w:ascii="Palatino Linotype" w:hAnsi="Palatino Linotype" w:cs="Times New Roman"/>
          <w:sz w:val="20"/>
          <w:szCs w:val="20"/>
        </w:rPr>
        <w:t xml:space="preserve"> (pp. 198–210). </w:t>
      </w:r>
      <w:proofErr w:type="gramStart"/>
      <w:r w:rsidRPr="003E7862">
        <w:rPr>
          <w:rFonts w:ascii="Palatino Linotype" w:hAnsi="Palatino Linotype" w:cs="Times New Roman"/>
          <w:sz w:val="20"/>
          <w:szCs w:val="20"/>
        </w:rPr>
        <w:t>IGI Global.</w:t>
      </w:r>
      <w:proofErr w:type="gramEnd"/>
      <w:r w:rsidRPr="003E7862">
        <w:rPr>
          <w:rFonts w:ascii="Palatino Linotype" w:hAnsi="Palatino Linotype" w:cs="Times New Roman"/>
          <w:sz w:val="20"/>
          <w:szCs w:val="20"/>
        </w:rPr>
        <w:t xml:space="preserve"> https://doi.org/10.4018/978-1-7998-4784-7.ch012</w:t>
      </w:r>
      <w:r w:rsidR="003E7862" w:rsidRPr="003E7862">
        <w:rPr>
          <w:rFonts w:ascii="Palatino Linotype" w:hAnsi="Palatino Linotype" w:cs="Times New Roman"/>
          <w:sz w:val="20"/>
          <w:szCs w:val="20"/>
        </w:rPr>
        <w:t>.</w:t>
      </w:r>
    </w:p>
    <w:p w14:paraId="13764D23" w14:textId="77777777" w:rsidR="003E7862" w:rsidRPr="003E7862" w:rsidRDefault="003E7862" w:rsidP="00CD0C4C">
      <w:pPr>
        <w:pStyle w:val="Bibliography"/>
        <w:spacing w:line="240" w:lineRule="auto"/>
        <w:jc w:val="both"/>
        <w:rPr>
          <w:rFonts w:ascii="Palatino Linotype" w:hAnsi="Palatino Linotype" w:cs="Times New Roman"/>
          <w:sz w:val="20"/>
          <w:szCs w:val="20"/>
        </w:rPr>
      </w:pPr>
    </w:p>
    <w:p w14:paraId="2A9EA820" w14:textId="01315FC9"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proofErr w:type="gramStart"/>
      <w:r w:rsidRPr="003E7862">
        <w:rPr>
          <w:rFonts w:ascii="Palatino Linotype" w:hAnsi="Palatino Linotype" w:cs="Times New Roman"/>
          <w:sz w:val="20"/>
          <w:szCs w:val="20"/>
        </w:rPr>
        <w:t>Sheran</w:t>
      </w:r>
      <w:proofErr w:type="spellEnd"/>
      <w:r w:rsidRPr="003E7862">
        <w:rPr>
          <w:rFonts w:ascii="Palatino Linotype" w:hAnsi="Palatino Linotype" w:cs="Times New Roman"/>
          <w:sz w:val="20"/>
          <w:szCs w:val="20"/>
        </w:rPr>
        <w:t xml:space="preserve">, M., &amp; </w:t>
      </w:r>
      <w:proofErr w:type="spellStart"/>
      <w:r w:rsidRPr="003E7862">
        <w:rPr>
          <w:rFonts w:ascii="Palatino Linotype" w:hAnsi="Palatino Linotype" w:cs="Times New Roman"/>
          <w:sz w:val="20"/>
          <w:szCs w:val="20"/>
        </w:rPr>
        <w:t>Sarbaum</w:t>
      </w:r>
      <w:proofErr w:type="spellEnd"/>
      <w:r w:rsidRPr="003E7862">
        <w:rPr>
          <w:rFonts w:ascii="Palatino Linotype" w:hAnsi="Palatino Linotype" w:cs="Times New Roman"/>
          <w:sz w:val="20"/>
          <w:szCs w:val="20"/>
        </w:rPr>
        <w:t>, J. (2012).</w:t>
      </w:r>
      <w:proofErr w:type="gramEnd"/>
      <w:r w:rsidRPr="003E7862">
        <w:rPr>
          <w:rFonts w:ascii="Palatino Linotype" w:hAnsi="Palatino Linotype" w:cs="Times New Roman"/>
          <w:sz w:val="20"/>
          <w:szCs w:val="20"/>
        </w:rPr>
        <w:t xml:space="preserve"> Developing </w:t>
      </w:r>
      <w:proofErr w:type="gramStart"/>
      <w:r w:rsidRPr="003E7862">
        <w:rPr>
          <w:rFonts w:ascii="Palatino Linotype" w:hAnsi="Palatino Linotype" w:cs="Times New Roman"/>
          <w:sz w:val="20"/>
          <w:szCs w:val="20"/>
        </w:rPr>
        <w:t>An</w:t>
      </w:r>
      <w:proofErr w:type="gramEnd"/>
      <w:r w:rsidRPr="003E7862">
        <w:rPr>
          <w:rFonts w:ascii="Palatino Linotype" w:hAnsi="Palatino Linotype" w:cs="Times New Roman"/>
          <w:sz w:val="20"/>
          <w:szCs w:val="20"/>
        </w:rPr>
        <w:t xml:space="preserve"> Assessment Of Learning Process: The Importance Of Pre-Testing. </w:t>
      </w:r>
      <w:r w:rsidRPr="003E7862">
        <w:rPr>
          <w:rFonts w:ascii="Palatino Linotype" w:hAnsi="Palatino Linotype" w:cs="Times New Roman"/>
          <w:i/>
          <w:iCs/>
          <w:sz w:val="20"/>
          <w:szCs w:val="20"/>
        </w:rPr>
        <w:t>American Journal of Business Education (AJBE)</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5</w:t>
      </w:r>
      <w:r w:rsidRPr="003E7862">
        <w:rPr>
          <w:rFonts w:ascii="Palatino Linotype" w:hAnsi="Palatino Linotype" w:cs="Times New Roman"/>
          <w:sz w:val="20"/>
          <w:szCs w:val="20"/>
        </w:rPr>
        <w:t>(5), 609–616. https://doi.org/10.19030/ajbe.v5i5.7218</w:t>
      </w:r>
      <w:r w:rsidR="003E7862" w:rsidRPr="003E7862">
        <w:rPr>
          <w:rFonts w:ascii="Palatino Linotype" w:hAnsi="Palatino Linotype" w:cs="Times New Roman"/>
          <w:sz w:val="20"/>
          <w:szCs w:val="20"/>
        </w:rPr>
        <w:t>.</w:t>
      </w:r>
    </w:p>
    <w:p w14:paraId="5E3449CE"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01E2F51D" w14:textId="77777777" w:rsidR="003E7862"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proofErr w:type="gramStart"/>
      <w:r w:rsidRPr="003E7862">
        <w:rPr>
          <w:rFonts w:ascii="Palatino Linotype" w:hAnsi="Palatino Linotype" w:cs="Times New Roman"/>
          <w:sz w:val="20"/>
          <w:szCs w:val="20"/>
        </w:rPr>
        <w:t>Sitepu</w:t>
      </w:r>
      <w:proofErr w:type="spellEnd"/>
      <w:r w:rsidRPr="003E7862">
        <w:rPr>
          <w:rFonts w:ascii="Palatino Linotype" w:hAnsi="Palatino Linotype" w:cs="Times New Roman"/>
          <w:sz w:val="20"/>
          <w:szCs w:val="20"/>
        </w:rPr>
        <w:t>, B. P., &amp; Lestari, I. (2018).</w:t>
      </w:r>
      <w:proofErr w:type="gramEnd"/>
      <w:r w:rsidRPr="003E7862">
        <w:rPr>
          <w:rFonts w:ascii="Palatino Linotype" w:hAnsi="Palatino Linotype" w:cs="Times New Roman"/>
          <w:sz w:val="20"/>
          <w:szCs w:val="20"/>
        </w:rPr>
        <w:t xml:space="preserve"> PELAKSANAAN RENCANA PEMBELAJARAN SEMESTER DALAM PROSES PEMBELAJARAN DI PERGURUAN TINGGI. </w:t>
      </w:r>
      <w:proofErr w:type="spellStart"/>
      <w:r w:rsidRPr="003E7862">
        <w:rPr>
          <w:rFonts w:ascii="Palatino Linotype" w:hAnsi="Palatino Linotype" w:cs="Times New Roman"/>
          <w:i/>
          <w:iCs/>
          <w:sz w:val="20"/>
          <w:szCs w:val="20"/>
        </w:rPr>
        <w:t>Perspektif</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Ilmu</w:t>
      </w:r>
      <w:proofErr w:type="spellEnd"/>
      <w:r w:rsidRPr="003E7862">
        <w:rPr>
          <w:rFonts w:ascii="Palatino Linotype" w:hAnsi="Palatino Linotype" w:cs="Times New Roman"/>
          <w:i/>
          <w:iCs/>
          <w:sz w:val="20"/>
          <w:szCs w:val="20"/>
        </w:rPr>
        <w:t xml:space="preserve"> </w:t>
      </w:r>
      <w:proofErr w:type="spellStart"/>
      <w:r w:rsidRPr="003E7862">
        <w:rPr>
          <w:rFonts w:ascii="Palatino Linotype" w:hAnsi="Palatino Linotype" w:cs="Times New Roman"/>
          <w:i/>
          <w:iCs/>
          <w:sz w:val="20"/>
          <w:szCs w:val="20"/>
        </w:rPr>
        <w:t>Pendidikan</w:t>
      </w:r>
      <w:proofErr w:type="spell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32</w:t>
      </w:r>
      <w:r w:rsidRPr="003E7862">
        <w:rPr>
          <w:rFonts w:ascii="Palatino Linotype" w:hAnsi="Palatino Linotype" w:cs="Times New Roman"/>
          <w:sz w:val="20"/>
          <w:szCs w:val="20"/>
        </w:rPr>
        <w:t>(1), 41–49. https://doi.org/10.21009/PIP.321.6</w:t>
      </w:r>
      <w:r w:rsidR="003E7862" w:rsidRPr="003E7862">
        <w:rPr>
          <w:rFonts w:ascii="Palatino Linotype" w:hAnsi="Palatino Linotype" w:cs="Times New Roman"/>
          <w:sz w:val="20"/>
          <w:szCs w:val="20"/>
        </w:rPr>
        <w:t>.</w:t>
      </w:r>
    </w:p>
    <w:p w14:paraId="4CE64017"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1BF49A6B" w14:textId="7AE20BA9"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gramStart"/>
      <w:r w:rsidRPr="003E7862">
        <w:rPr>
          <w:rFonts w:ascii="Palatino Linotype" w:hAnsi="Palatino Linotype" w:cs="Times New Roman"/>
          <w:sz w:val="20"/>
          <w:szCs w:val="20"/>
        </w:rPr>
        <w:t>Stein, D. S. (2002).</w:t>
      </w:r>
      <w:proofErr w:type="gramEnd"/>
      <w:r w:rsidRPr="003E7862">
        <w:rPr>
          <w:rFonts w:ascii="Palatino Linotype" w:hAnsi="Palatino Linotype" w:cs="Times New Roman"/>
          <w:sz w:val="20"/>
          <w:szCs w:val="20"/>
        </w:rPr>
        <w:t xml:space="preserve"> </w:t>
      </w:r>
      <w:proofErr w:type="gramStart"/>
      <w:r w:rsidRPr="003E7862">
        <w:rPr>
          <w:rFonts w:ascii="Palatino Linotype" w:hAnsi="Palatino Linotype" w:cs="Times New Roman"/>
          <w:sz w:val="20"/>
          <w:szCs w:val="20"/>
        </w:rPr>
        <w:t>Creating local knowledge through learning in community: A case study.</w:t>
      </w:r>
      <w:proofErr w:type="gram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New Directions for Adult and Continuing Education</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2002</w:t>
      </w:r>
      <w:r w:rsidRPr="003E7862">
        <w:rPr>
          <w:rFonts w:ascii="Palatino Linotype" w:hAnsi="Palatino Linotype" w:cs="Times New Roman"/>
          <w:sz w:val="20"/>
          <w:szCs w:val="20"/>
        </w:rPr>
        <w:t>(95), 27–40. https://doi.org/10.1002/ace.66</w:t>
      </w:r>
    </w:p>
    <w:p w14:paraId="3835A020" w14:textId="77777777" w:rsidR="003E7862" w:rsidRPr="003E7862" w:rsidRDefault="003E7862" w:rsidP="00CD0C4C">
      <w:pPr>
        <w:pStyle w:val="Bibliography"/>
        <w:spacing w:line="240" w:lineRule="auto"/>
        <w:ind w:left="0" w:firstLine="0"/>
        <w:jc w:val="both"/>
        <w:rPr>
          <w:rFonts w:ascii="Palatino Linotype" w:hAnsi="Palatino Linotype"/>
          <w:sz w:val="20"/>
          <w:szCs w:val="20"/>
        </w:rPr>
      </w:pPr>
    </w:p>
    <w:p w14:paraId="26FBEC34" w14:textId="0B278EE7" w:rsidR="00A24F94" w:rsidRPr="003E7862" w:rsidRDefault="00A24F94" w:rsidP="00CD0C4C">
      <w:pPr>
        <w:pStyle w:val="Bibliography"/>
        <w:spacing w:line="240" w:lineRule="auto"/>
        <w:ind w:left="0" w:firstLine="0"/>
        <w:jc w:val="both"/>
        <w:rPr>
          <w:rFonts w:ascii="Palatino Linotype" w:hAnsi="Palatino Linotype" w:cs="Calibri"/>
          <w:sz w:val="20"/>
          <w:szCs w:val="20"/>
        </w:rPr>
      </w:pPr>
      <w:proofErr w:type="gramStart"/>
      <w:r w:rsidRPr="003E7862">
        <w:rPr>
          <w:rFonts w:ascii="Palatino Linotype" w:hAnsi="Palatino Linotype" w:cs="Calibri"/>
          <w:sz w:val="20"/>
          <w:szCs w:val="20"/>
        </w:rPr>
        <w:t>Stephen, A., Charles, M., Mugenyi, D. K., Muhamadi, K., Robert, T., Christopher, I., &amp; Kagoire, O. M. T. (2022).</w:t>
      </w:r>
      <w:proofErr w:type="gramEnd"/>
      <w:r w:rsidRPr="003E7862">
        <w:rPr>
          <w:rFonts w:ascii="Palatino Linotype" w:hAnsi="Palatino Linotype" w:cs="Calibri"/>
          <w:sz w:val="20"/>
          <w:szCs w:val="20"/>
        </w:rPr>
        <w:t xml:space="preserve"> Students as Agents of Change in Curriculum Designing and Implementation: Involvement and Participation Drives. </w:t>
      </w:r>
      <w:r w:rsidRPr="003E7862">
        <w:rPr>
          <w:rFonts w:ascii="Palatino Linotype" w:hAnsi="Palatino Linotype" w:cs="Calibri"/>
          <w:i/>
          <w:iCs/>
          <w:sz w:val="20"/>
          <w:szCs w:val="20"/>
        </w:rPr>
        <w:t>Research and Advances in Education</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1</w:t>
      </w:r>
      <w:r w:rsidRPr="003E7862">
        <w:rPr>
          <w:rFonts w:ascii="Palatino Linotype" w:hAnsi="Palatino Linotype" w:cs="Calibri"/>
          <w:sz w:val="20"/>
          <w:szCs w:val="20"/>
        </w:rPr>
        <w:t>(5), 1–10. https://doi.org/10.56397/RAE.2022.11.01</w:t>
      </w:r>
      <w:r w:rsidR="00B75F92" w:rsidRPr="003E7862">
        <w:rPr>
          <w:rFonts w:ascii="Palatino Linotype" w:hAnsi="Palatino Linotype" w:cs="Calibri"/>
          <w:sz w:val="20"/>
          <w:szCs w:val="20"/>
        </w:rPr>
        <w:t>.</w:t>
      </w:r>
    </w:p>
    <w:p w14:paraId="5E4DB51B" w14:textId="77777777" w:rsidR="00CD0C4C" w:rsidRPr="003E7862" w:rsidRDefault="00CD0C4C" w:rsidP="00CD0C4C">
      <w:pPr>
        <w:jc w:val="both"/>
        <w:rPr>
          <w:rFonts w:ascii="Palatino Linotype" w:hAnsi="Palatino Linotype"/>
          <w:sz w:val="20"/>
          <w:szCs w:val="20"/>
        </w:rPr>
      </w:pPr>
    </w:p>
    <w:p w14:paraId="28D8910D" w14:textId="77777777" w:rsidR="003E7862"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gramStart"/>
      <w:r w:rsidRPr="003E7862">
        <w:rPr>
          <w:rFonts w:ascii="Palatino Linotype" w:hAnsi="Palatino Linotype" w:cs="Times New Roman"/>
          <w:sz w:val="20"/>
          <w:szCs w:val="20"/>
        </w:rPr>
        <w:lastRenderedPageBreak/>
        <w:t xml:space="preserve">Stone-MacDonald, A., </w:t>
      </w:r>
      <w:proofErr w:type="spellStart"/>
      <w:r w:rsidRPr="003E7862">
        <w:rPr>
          <w:rFonts w:ascii="Palatino Linotype" w:hAnsi="Palatino Linotype" w:cs="Times New Roman"/>
          <w:sz w:val="20"/>
          <w:szCs w:val="20"/>
        </w:rPr>
        <w:t>Pizzo</w:t>
      </w:r>
      <w:proofErr w:type="spellEnd"/>
      <w:r w:rsidRPr="003E7862">
        <w:rPr>
          <w:rFonts w:ascii="Palatino Linotype" w:hAnsi="Palatino Linotype" w:cs="Times New Roman"/>
          <w:sz w:val="20"/>
          <w:szCs w:val="20"/>
        </w:rPr>
        <w:t>, L., &amp; Feldman, N. (2018).</w:t>
      </w:r>
      <w:proofErr w:type="gramEnd"/>
      <w:r w:rsidRPr="003E7862">
        <w:rPr>
          <w:rFonts w:ascii="Palatino Linotype" w:hAnsi="Palatino Linotype" w:cs="Times New Roman"/>
          <w:sz w:val="20"/>
          <w:szCs w:val="20"/>
        </w:rPr>
        <w:t xml:space="preserve"> </w:t>
      </w:r>
      <w:proofErr w:type="gramStart"/>
      <w:r w:rsidRPr="003E7862">
        <w:rPr>
          <w:rFonts w:ascii="Palatino Linotype" w:hAnsi="Palatino Linotype" w:cs="Times New Roman"/>
          <w:sz w:val="20"/>
          <w:szCs w:val="20"/>
        </w:rPr>
        <w:t>Using Checklists to Improve the Fidelity of Implementation of Standardized Tests.</w:t>
      </w:r>
      <w:proofErr w:type="gramEnd"/>
      <w:r w:rsidRPr="003E7862">
        <w:rPr>
          <w:rFonts w:ascii="Palatino Linotype" w:hAnsi="Palatino Linotype" w:cs="Times New Roman"/>
          <w:sz w:val="20"/>
          <w:szCs w:val="20"/>
        </w:rPr>
        <w:t xml:space="preserve"> In A. Stone-MacDonald, L. </w:t>
      </w:r>
      <w:proofErr w:type="spellStart"/>
      <w:r w:rsidRPr="003E7862">
        <w:rPr>
          <w:rFonts w:ascii="Palatino Linotype" w:hAnsi="Palatino Linotype" w:cs="Times New Roman"/>
          <w:sz w:val="20"/>
          <w:szCs w:val="20"/>
        </w:rPr>
        <w:t>Pizzo</w:t>
      </w:r>
      <w:proofErr w:type="spellEnd"/>
      <w:r w:rsidRPr="003E7862">
        <w:rPr>
          <w:rFonts w:ascii="Palatino Linotype" w:hAnsi="Palatino Linotype" w:cs="Times New Roman"/>
          <w:sz w:val="20"/>
          <w:szCs w:val="20"/>
        </w:rPr>
        <w:t xml:space="preserve">, &amp; N. Feldman, </w:t>
      </w:r>
      <w:r w:rsidRPr="003E7862">
        <w:rPr>
          <w:rFonts w:ascii="Palatino Linotype" w:hAnsi="Palatino Linotype" w:cs="Times New Roman"/>
          <w:i/>
          <w:iCs/>
          <w:sz w:val="20"/>
          <w:szCs w:val="20"/>
        </w:rPr>
        <w:t>Fidelity of Implementation in Assessment of Infants and Toddlers</w:t>
      </w:r>
      <w:r w:rsidRPr="003E7862">
        <w:rPr>
          <w:rFonts w:ascii="Palatino Linotype" w:hAnsi="Palatino Linotype" w:cs="Times New Roman"/>
          <w:sz w:val="20"/>
          <w:szCs w:val="20"/>
        </w:rPr>
        <w:t xml:space="preserve"> (pp. 63–86). </w:t>
      </w:r>
      <w:proofErr w:type="gramStart"/>
      <w:r w:rsidRPr="003E7862">
        <w:rPr>
          <w:rFonts w:ascii="Palatino Linotype" w:hAnsi="Palatino Linotype" w:cs="Times New Roman"/>
          <w:sz w:val="20"/>
          <w:szCs w:val="20"/>
        </w:rPr>
        <w:t>Springer International Publishing.</w:t>
      </w:r>
      <w:proofErr w:type="gramEnd"/>
      <w:r w:rsidRPr="003E7862">
        <w:rPr>
          <w:rFonts w:ascii="Palatino Linotype" w:hAnsi="Palatino Linotype" w:cs="Times New Roman"/>
          <w:sz w:val="20"/>
          <w:szCs w:val="20"/>
        </w:rPr>
        <w:t xml:space="preserve"> https://doi.org/10.1007/978-3-319-74618-0_5</w:t>
      </w:r>
      <w:r w:rsidR="003E7862" w:rsidRPr="003E7862">
        <w:rPr>
          <w:rFonts w:ascii="Palatino Linotype" w:hAnsi="Palatino Linotype" w:cs="Times New Roman"/>
          <w:sz w:val="20"/>
          <w:szCs w:val="20"/>
        </w:rPr>
        <w:t>.</w:t>
      </w:r>
    </w:p>
    <w:p w14:paraId="41D6898B"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3FCC526B" w14:textId="77777777" w:rsidR="003E7862"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proofErr w:type="gramStart"/>
      <w:r w:rsidRPr="003E7862">
        <w:rPr>
          <w:rFonts w:ascii="Palatino Linotype" w:hAnsi="Palatino Linotype" w:cs="Times New Roman"/>
          <w:sz w:val="20"/>
          <w:szCs w:val="20"/>
        </w:rPr>
        <w:t>Sukirman</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Zaenuri</w:t>
      </w:r>
      <w:proofErr w:type="spellEnd"/>
      <w:r w:rsidRPr="003E7862">
        <w:rPr>
          <w:rFonts w:ascii="Palatino Linotype" w:hAnsi="Palatino Linotype" w:cs="Times New Roman"/>
          <w:sz w:val="20"/>
          <w:szCs w:val="20"/>
        </w:rPr>
        <w:t xml:space="preserve">, M., &amp; </w:t>
      </w:r>
      <w:proofErr w:type="spellStart"/>
      <w:r w:rsidRPr="003E7862">
        <w:rPr>
          <w:rFonts w:ascii="Palatino Linotype" w:hAnsi="Palatino Linotype" w:cs="Times New Roman"/>
          <w:sz w:val="20"/>
          <w:szCs w:val="20"/>
        </w:rPr>
        <w:t>Hasanah</w:t>
      </w:r>
      <w:proofErr w:type="spellEnd"/>
      <w:r w:rsidRPr="003E7862">
        <w:rPr>
          <w:rFonts w:ascii="Palatino Linotype" w:hAnsi="Palatino Linotype" w:cs="Times New Roman"/>
          <w:sz w:val="20"/>
          <w:szCs w:val="20"/>
        </w:rPr>
        <w:t>, L. Q. (2023).</w:t>
      </w:r>
      <w:proofErr w:type="gram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Pengembangan</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Rencana</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Pembelajaran</w:t>
      </w:r>
      <w:proofErr w:type="spellEnd"/>
      <w:r w:rsidRPr="003E7862">
        <w:rPr>
          <w:rFonts w:ascii="Palatino Linotype" w:hAnsi="Palatino Linotype" w:cs="Times New Roman"/>
          <w:sz w:val="20"/>
          <w:szCs w:val="20"/>
        </w:rPr>
        <w:t xml:space="preserve"> Semester (RPS) Mata </w:t>
      </w:r>
      <w:proofErr w:type="spellStart"/>
      <w:r w:rsidRPr="003E7862">
        <w:rPr>
          <w:rFonts w:ascii="Palatino Linotype" w:hAnsi="Palatino Linotype" w:cs="Times New Roman"/>
          <w:sz w:val="20"/>
          <w:szCs w:val="20"/>
        </w:rPr>
        <w:t>Kuliah</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Mahārat</w:t>
      </w:r>
      <w:proofErr w:type="spellEnd"/>
      <w:r w:rsidRPr="003E7862">
        <w:rPr>
          <w:rFonts w:ascii="Palatino Linotype" w:hAnsi="Palatino Linotype" w:cs="Times New Roman"/>
          <w:sz w:val="20"/>
          <w:szCs w:val="20"/>
        </w:rPr>
        <w:t xml:space="preserve"> al-</w:t>
      </w:r>
      <w:proofErr w:type="spellStart"/>
      <w:proofErr w:type="gramStart"/>
      <w:r w:rsidRPr="003E7862">
        <w:rPr>
          <w:rFonts w:ascii="Palatino Linotype" w:hAnsi="Palatino Linotype" w:cs="Times New Roman"/>
          <w:sz w:val="20"/>
          <w:szCs w:val="20"/>
        </w:rPr>
        <w:t>Istimā</w:t>
      </w:r>
      <w:proofErr w:type="spell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Berbasis</w:t>
      </w:r>
      <w:proofErr w:type="spellEnd"/>
      <w:proofErr w:type="gramEnd"/>
      <w:r w:rsidRPr="003E7862">
        <w:rPr>
          <w:rFonts w:ascii="Palatino Linotype" w:hAnsi="Palatino Linotype" w:cs="Times New Roman"/>
          <w:sz w:val="20"/>
          <w:szCs w:val="20"/>
        </w:rPr>
        <w:t xml:space="preserve"> </w:t>
      </w:r>
      <w:proofErr w:type="spellStart"/>
      <w:r w:rsidRPr="003E7862">
        <w:rPr>
          <w:rFonts w:ascii="Palatino Linotype" w:hAnsi="Palatino Linotype" w:cs="Times New Roman"/>
          <w:sz w:val="20"/>
          <w:szCs w:val="20"/>
        </w:rPr>
        <w:t>Kecakapan</w:t>
      </w:r>
      <w:proofErr w:type="spellEnd"/>
      <w:r w:rsidRPr="003E7862">
        <w:rPr>
          <w:rFonts w:ascii="Palatino Linotype" w:hAnsi="Palatino Linotype" w:cs="Times New Roman"/>
          <w:sz w:val="20"/>
          <w:szCs w:val="20"/>
        </w:rPr>
        <w:t xml:space="preserve"> Abad 21. </w:t>
      </w:r>
      <w:proofErr w:type="gramStart"/>
      <w:r w:rsidRPr="003E7862">
        <w:rPr>
          <w:rFonts w:ascii="Palatino Linotype" w:hAnsi="Palatino Linotype" w:cs="Times New Roman"/>
          <w:i/>
          <w:iCs/>
          <w:sz w:val="20"/>
          <w:szCs w:val="20"/>
        </w:rPr>
        <w:t>Al-</w:t>
      </w:r>
      <w:proofErr w:type="spellStart"/>
      <w:r w:rsidRPr="003E7862">
        <w:rPr>
          <w:rFonts w:ascii="Palatino Linotype" w:hAnsi="Palatino Linotype" w:cs="Times New Roman"/>
          <w:i/>
          <w:iCs/>
          <w:sz w:val="20"/>
          <w:szCs w:val="20"/>
        </w:rPr>
        <w:t>Ma‘rifah</w:t>
      </w:r>
      <w:proofErr w:type="spell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20</w:t>
      </w:r>
      <w:r w:rsidRPr="003E7862">
        <w:rPr>
          <w:rFonts w:ascii="Palatino Linotype" w:hAnsi="Palatino Linotype" w:cs="Times New Roman"/>
          <w:sz w:val="20"/>
          <w:szCs w:val="20"/>
        </w:rPr>
        <w:t>(1).</w:t>
      </w:r>
      <w:proofErr w:type="gramEnd"/>
      <w:r w:rsidRPr="003E7862">
        <w:rPr>
          <w:rFonts w:ascii="Palatino Linotype" w:hAnsi="Palatino Linotype" w:cs="Times New Roman"/>
          <w:sz w:val="20"/>
          <w:szCs w:val="20"/>
        </w:rPr>
        <w:t xml:space="preserve"> https://doi.org/10.21009/almakrifah.20.01.01</w:t>
      </w:r>
    </w:p>
    <w:p w14:paraId="5A5128FF"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40C769E7" w14:textId="77777777" w:rsidR="003E7862"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r w:rsidRPr="003E7862">
        <w:rPr>
          <w:rFonts w:ascii="Palatino Linotype" w:hAnsi="Palatino Linotype" w:cs="Times New Roman"/>
          <w:sz w:val="20"/>
          <w:szCs w:val="20"/>
        </w:rPr>
        <w:t>Trede</w:t>
      </w:r>
      <w:proofErr w:type="spellEnd"/>
      <w:r w:rsidRPr="003E7862">
        <w:rPr>
          <w:rFonts w:ascii="Palatino Linotype" w:hAnsi="Palatino Linotype" w:cs="Times New Roman"/>
          <w:sz w:val="20"/>
          <w:szCs w:val="20"/>
        </w:rPr>
        <w:t xml:space="preserve">, F., </w:t>
      </w:r>
      <w:proofErr w:type="spellStart"/>
      <w:r w:rsidRPr="003E7862">
        <w:rPr>
          <w:rFonts w:ascii="Palatino Linotype" w:hAnsi="Palatino Linotype" w:cs="Times New Roman"/>
          <w:sz w:val="20"/>
          <w:szCs w:val="20"/>
        </w:rPr>
        <w:t>Markauskaite</w:t>
      </w:r>
      <w:proofErr w:type="spellEnd"/>
      <w:r w:rsidRPr="003E7862">
        <w:rPr>
          <w:rFonts w:ascii="Palatino Linotype" w:hAnsi="Palatino Linotype" w:cs="Times New Roman"/>
          <w:sz w:val="20"/>
          <w:szCs w:val="20"/>
        </w:rPr>
        <w:t xml:space="preserve">, L., McEwen, C., &amp; Macfarlane, S. (2019). </w:t>
      </w:r>
      <w:proofErr w:type="gramStart"/>
      <w:r w:rsidRPr="003E7862">
        <w:rPr>
          <w:rFonts w:ascii="Palatino Linotype" w:hAnsi="Palatino Linotype" w:cs="Times New Roman"/>
          <w:sz w:val="20"/>
          <w:szCs w:val="20"/>
        </w:rPr>
        <w:t>Planning Learning Activities.</w:t>
      </w:r>
      <w:proofErr w:type="gramEnd"/>
      <w:r w:rsidRPr="003E7862">
        <w:rPr>
          <w:rFonts w:ascii="Palatino Linotype" w:hAnsi="Palatino Linotype" w:cs="Times New Roman"/>
          <w:sz w:val="20"/>
          <w:szCs w:val="20"/>
        </w:rPr>
        <w:t xml:space="preserve"> In F. </w:t>
      </w:r>
      <w:proofErr w:type="spellStart"/>
      <w:r w:rsidRPr="003E7862">
        <w:rPr>
          <w:rFonts w:ascii="Palatino Linotype" w:hAnsi="Palatino Linotype" w:cs="Times New Roman"/>
          <w:sz w:val="20"/>
          <w:szCs w:val="20"/>
        </w:rPr>
        <w:t>Trede</w:t>
      </w:r>
      <w:proofErr w:type="spellEnd"/>
      <w:r w:rsidRPr="003E7862">
        <w:rPr>
          <w:rFonts w:ascii="Palatino Linotype" w:hAnsi="Palatino Linotype" w:cs="Times New Roman"/>
          <w:sz w:val="20"/>
          <w:szCs w:val="20"/>
        </w:rPr>
        <w:t xml:space="preserve">, L. </w:t>
      </w:r>
      <w:proofErr w:type="spellStart"/>
      <w:r w:rsidRPr="003E7862">
        <w:rPr>
          <w:rFonts w:ascii="Palatino Linotype" w:hAnsi="Palatino Linotype" w:cs="Times New Roman"/>
          <w:sz w:val="20"/>
          <w:szCs w:val="20"/>
        </w:rPr>
        <w:t>Markauskaite</w:t>
      </w:r>
      <w:proofErr w:type="spellEnd"/>
      <w:r w:rsidRPr="003E7862">
        <w:rPr>
          <w:rFonts w:ascii="Palatino Linotype" w:hAnsi="Palatino Linotype" w:cs="Times New Roman"/>
          <w:sz w:val="20"/>
          <w:szCs w:val="20"/>
        </w:rPr>
        <w:t xml:space="preserve">, C. McEwen, &amp; S. Macfarlane, </w:t>
      </w:r>
      <w:r w:rsidRPr="003E7862">
        <w:rPr>
          <w:rFonts w:ascii="Palatino Linotype" w:hAnsi="Palatino Linotype" w:cs="Times New Roman"/>
          <w:i/>
          <w:iCs/>
          <w:sz w:val="20"/>
          <w:szCs w:val="20"/>
        </w:rPr>
        <w:t>Education for Practice in a Hybrid Space</w:t>
      </w:r>
      <w:r w:rsidRPr="003E7862">
        <w:rPr>
          <w:rFonts w:ascii="Palatino Linotype" w:hAnsi="Palatino Linotype" w:cs="Times New Roman"/>
          <w:sz w:val="20"/>
          <w:szCs w:val="20"/>
        </w:rPr>
        <w:t xml:space="preserve"> (pp. 99–109). </w:t>
      </w:r>
      <w:proofErr w:type="gramStart"/>
      <w:r w:rsidRPr="003E7862">
        <w:rPr>
          <w:rFonts w:ascii="Palatino Linotype" w:hAnsi="Palatino Linotype" w:cs="Times New Roman"/>
          <w:sz w:val="20"/>
          <w:szCs w:val="20"/>
        </w:rPr>
        <w:t>Springer Singapore.</w:t>
      </w:r>
      <w:proofErr w:type="gramEnd"/>
      <w:r w:rsidRPr="003E7862">
        <w:rPr>
          <w:rFonts w:ascii="Palatino Linotype" w:hAnsi="Palatino Linotype" w:cs="Times New Roman"/>
          <w:sz w:val="20"/>
          <w:szCs w:val="20"/>
        </w:rPr>
        <w:t xml:space="preserve"> https://doi.org/10.1007/978-981-13-7410-4_7</w:t>
      </w:r>
      <w:r w:rsidR="003E7862" w:rsidRPr="003E7862">
        <w:rPr>
          <w:rFonts w:ascii="Palatino Linotype" w:hAnsi="Palatino Linotype" w:cs="Times New Roman"/>
          <w:sz w:val="20"/>
          <w:szCs w:val="20"/>
        </w:rPr>
        <w:t>.</w:t>
      </w:r>
    </w:p>
    <w:p w14:paraId="715CA4D6"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6EE9BB05" w14:textId="77777777" w:rsidR="003E7862" w:rsidRPr="003E7862" w:rsidRDefault="000F3189" w:rsidP="00CD0C4C">
      <w:pPr>
        <w:pStyle w:val="Bibliography"/>
        <w:spacing w:line="240" w:lineRule="auto"/>
        <w:ind w:left="0" w:firstLine="0"/>
        <w:jc w:val="both"/>
        <w:rPr>
          <w:rFonts w:ascii="Palatino Linotype" w:hAnsi="Palatino Linotype" w:cs="Times New Roman"/>
          <w:sz w:val="20"/>
          <w:szCs w:val="20"/>
        </w:rPr>
      </w:pPr>
      <w:proofErr w:type="spellStart"/>
      <w:proofErr w:type="gramStart"/>
      <w:r w:rsidRPr="00773C5E">
        <w:rPr>
          <w:rFonts w:ascii="Palatino Linotype" w:eastAsia="Times New Roman" w:hAnsi="Palatino Linotype" w:cs="Arial"/>
          <w:sz w:val="20"/>
          <w:szCs w:val="20"/>
        </w:rPr>
        <w:t>Urtalina</w:t>
      </w:r>
      <w:proofErr w:type="spellEnd"/>
      <w:r w:rsidRPr="00773C5E">
        <w:rPr>
          <w:rFonts w:ascii="Palatino Linotype" w:eastAsia="Times New Roman" w:hAnsi="Palatino Linotype" w:cs="Arial"/>
          <w:sz w:val="20"/>
          <w:szCs w:val="20"/>
        </w:rPr>
        <w:t xml:space="preserve">, A. F., &amp; </w:t>
      </w:r>
      <w:proofErr w:type="spellStart"/>
      <w:r w:rsidRPr="00773C5E">
        <w:rPr>
          <w:rFonts w:ascii="Palatino Linotype" w:eastAsia="Times New Roman" w:hAnsi="Palatino Linotype" w:cs="Arial"/>
          <w:sz w:val="20"/>
          <w:szCs w:val="20"/>
        </w:rPr>
        <w:t>Sudibia</w:t>
      </w:r>
      <w:proofErr w:type="spellEnd"/>
      <w:r w:rsidRPr="00773C5E">
        <w:rPr>
          <w:rFonts w:ascii="Palatino Linotype" w:eastAsia="Times New Roman" w:hAnsi="Palatino Linotype" w:cs="Arial"/>
          <w:sz w:val="20"/>
          <w:szCs w:val="20"/>
        </w:rPr>
        <w:t>, I. K. (2018).</w:t>
      </w:r>
      <w:proofErr w:type="gramEnd"/>
      <w:r w:rsidRPr="00773C5E">
        <w:rPr>
          <w:rFonts w:ascii="Palatino Linotype" w:eastAsia="Times New Roman" w:hAnsi="Palatino Linotype" w:cs="Arial"/>
          <w:sz w:val="20"/>
          <w:szCs w:val="20"/>
        </w:rPr>
        <w:t xml:space="preserve"> </w:t>
      </w:r>
      <w:proofErr w:type="spellStart"/>
      <w:proofErr w:type="gramStart"/>
      <w:r w:rsidRPr="00773C5E">
        <w:rPr>
          <w:rFonts w:ascii="Palatino Linotype" w:eastAsia="Times New Roman" w:hAnsi="Palatino Linotype" w:cs="Arial"/>
          <w:sz w:val="20"/>
          <w:szCs w:val="20"/>
        </w:rPr>
        <w:t>Faktor-faktor</w:t>
      </w:r>
      <w:proofErr w:type="spellEnd"/>
      <w:r w:rsidRPr="00773C5E">
        <w:rPr>
          <w:rFonts w:ascii="Palatino Linotype" w:eastAsia="Times New Roman" w:hAnsi="Palatino Linotype" w:cs="Arial"/>
          <w:sz w:val="20"/>
          <w:szCs w:val="20"/>
        </w:rPr>
        <w:t xml:space="preserve"> yang </w:t>
      </w:r>
      <w:proofErr w:type="spellStart"/>
      <w:r w:rsidRPr="00773C5E">
        <w:rPr>
          <w:rFonts w:ascii="Palatino Linotype" w:eastAsia="Times New Roman" w:hAnsi="Palatino Linotype" w:cs="Arial"/>
          <w:sz w:val="20"/>
          <w:szCs w:val="20"/>
        </w:rPr>
        <w:t>Mempengaruhi</w:t>
      </w:r>
      <w:proofErr w:type="spellEnd"/>
      <w:r w:rsidRPr="00773C5E">
        <w:rPr>
          <w:rFonts w:ascii="Palatino Linotype" w:eastAsia="Times New Roman" w:hAnsi="Palatino Linotype" w:cs="Arial"/>
          <w:sz w:val="20"/>
          <w:szCs w:val="20"/>
        </w:rPr>
        <w:t xml:space="preserve"> Tingkat </w:t>
      </w:r>
      <w:proofErr w:type="spellStart"/>
      <w:r w:rsidRPr="00773C5E">
        <w:rPr>
          <w:rFonts w:ascii="Palatino Linotype" w:eastAsia="Times New Roman" w:hAnsi="Palatino Linotype" w:cs="Arial"/>
          <w:sz w:val="20"/>
          <w:szCs w:val="20"/>
        </w:rPr>
        <w:t>Pengangguran</w:t>
      </w:r>
      <w:proofErr w:type="spellEnd"/>
      <w:r w:rsidRPr="00773C5E">
        <w:rPr>
          <w:rFonts w:ascii="Palatino Linotype" w:eastAsia="Times New Roman" w:hAnsi="Palatino Linotype" w:cs="Arial"/>
          <w:sz w:val="20"/>
          <w:szCs w:val="20"/>
        </w:rPr>
        <w:t xml:space="preserve"> </w:t>
      </w:r>
      <w:proofErr w:type="spellStart"/>
      <w:r w:rsidRPr="00773C5E">
        <w:rPr>
          <w:rFonts w:ascii="Palatino Linotype" w:eastAsia="Times New Roman" w:hAnsi="Palatino Linotype" w:cs="Arial"/>
          <w:sz w:val="20"/>
          <w:szCs w:val="20"/>
        </w:rPr>
        <w:t>Terdidik</w:t>
      </w:r>
      <w:proofErr w:type="spellEnd"/>
      <w:r w:rsidRPr="00773C5E">
        <w:rPr>
          <w:rFonts w:ascii="Palatino Linotype" w:eastAsia="Times New Roman" w:hAnsi="Palatino Linotype" w:cs="Arial"/>
          <w:sz w:val="20"/>
          <w:szCs w:val="20"/>
        </w:rPr>
        <w:t xml:space="preserve"> </w:t>
      </w:r>
      <w:proofErr w:type="spellStart"/>
      <w:r w:rsidRPr="00773C5E">
        <w:rPr>
          <w:rFonts w:ascii="Palatino Linotype" w:eastAsia="Times New Roman" w:hAnsi="Palatino Linotype" w:cs="Arial"/>
          <w:sz w:val="20"/>
          <w:szCs w:val="20"/>
        </w:rPr>
        <w:t>Kabupaten</w:t>
      </w:r>
      <w:proofErr w:type="spellEnd"/>
      <w:r w:rsidRPr="00773C5E">
        <w:rPr>
          <w:rFonts w:ascii="Palatino Linotype" w:eastAsia="Times New Roman" w:hAnsi="Palatino Linotype" w:cs="Arial"/>
          <w:sz w:val="20"/>
          <w:szCs w:val="20"/>
        </w:rPr>
        <w:t>/Kota di Bali.</w:t>
      </w:r>
      <w:proofErr w:type="gramEnd"/>
      <w:r w:rsidRPr="00773C5E">
        <w:rPr>
          <w:rFonts w:ascii="Palatino Linotype" w:eastAsia="Times New Roman" w:hAnsi="Palatino Linotype" w:cs="Arial"/>
          <w:sz w:val="20"/>
          <w:szCs w:val="20"/>
        </w:rPr>
        <w:t xml:space="preserve"> </w:t>
      </w:r>
      <w:proofErr w:type="gramStart"/>
      <w:r w:rsidRPr="00773C5E">
        <w:rPr>
          <w:rFonts w:ascii="Palatino Linotype" w:eastAsia="Times New Roman" w:hAnsi="Palatino Linotype" w:cs="Arial"/>
          <w:sz w:val="20"/>
          <w:szCs w:val="20"/>
        </w:rPr>
        <w:t>E-</w:t>
      </w:r>
      <w:proofErr w:type="spellStart"/>
      <w:r w:rsidRPr="00773C5E">
        <w:rPr>
          <w:rFonts w:ascii="Palatino Linotype" w:eastAsia="Times New Roman" w:hAnsi="Palatino Linotype" w:cs="Arial"/>
          <w:sz w:val="20"/>
          <w:szCs w:val="20"/>
        </w:rPr>
        <w:t>Jurnal</w:t>
      </w:r>
      <w:proofErr w:type="spellEnd"/>
      <w:r w:rsidRPr="00773C5E">
        <w:rPr>
          <w:rFonts w:ascii="Palatino Linotype" w:eastAsia="Times New Roman" w:hAnsi="Palatino Linotype" w:cs="Arial"/>
          <w:sz w:val="20"/>
          <w:szCs w:val="20"/>
        </w:rPr>
        <w:t xml:space="preserve"> EP </w:t>
      </w:r>
      <w:proofErr w:type="spellStart"/>
      <w:r w:rsidRPr="00773C5E">
        <w:rPr>
          <w:rFonts w:ascii="Palatino Linotype" w:eastAsia="Times New Roman" w:hAnsi="Palatino Linotype" w:cs="Arial"/>
          <w:sz w:val="20"/>
          <w:szCs w:val="20"/>
        </w:rPr>
        <w:t>Unud</w:t>
      </w:r>
      <w:proofErr w:type="spellEnd"/>
      <w:r w:rsidRPr="00773C5E">
        <w:rPr>
          <w:rFonts w:ascii="Palatino Linotype" w:eastAsia="Times New Roman" w:hAnsi="Palatino Linotype" w:cs="Arial"/>
          <w:sz w:val="20"/>
          <w:szCs w:val="20"/>
        </w:rPr>
        <w:t>, 2190-2218.</w:t>
      </w:r>
      <w:proofErr w:type="gramEnd"/>
    </w:p>
    <w:p w14:paraId="20422578" w14:textId="77777777" w:rsidR="003E7862" w:rsidRPr="003E7862" w:rsidRDefault="003E7862" w:rsidP="00CD0C4C">
      <w:pPr>
        <w:pStyle w:val="Bibliography"/>
        <w:spacing w:line="240" w:lineRule="auto"/>
        <w:ind w:left="0" w:firstLine="0"/>
        <w:jc w:val="both"/>
        <w:rPr>
          <w:rFonts w:ascii="Palatino Linotype" w:hAnsi="Palatino Linotype" w:cs="Times New Roman"/>
          <w:sz w:val="20"/>
          <w:szCs w:val="20"/>
        </w:rPr>
      </w:pPr>
    </w:p>
    <w:p w14:paraId="499FAAFE" w14:textId="77777777" w:rsidR="003E7862" w:rsidRPr="003E7862" w:rsidRDefault="00A24F94" w:rsidP="003E7862">
      <w:pPr>
        <w:pStyle w:val="Bibliography"/>
        <w:spacing w:line="240" w:lineRule="auto"/>
        <w:ind w:left="0" w:firstLine="0"/>
        <w:jc w:val="both"/>
        <w:rPr>
          <w:rFonts w:ascii="Palatino Linotype" w:hAnsi="Palatino Linotype" w:cs="Times New Roman"/>
          <w:sz w:val="20"/>
          <w:szCs w:val="20"/>
        </w:rPr>
      </w:pPr>
      <w:proofErr w:type="spellStart"/>
      <w:proofErr w:type="gramStart"/>
      <w:r w:rsidRPr="003E7862">
        <w:rPr>
          <w:rFonts w:ascii="Palatino Linotype" w:hAnsi="Palatino Linotype" w:cs="Calibri"/>
          <w:sz w:val="20"/>
          <w:szCs w:val="20"/>
        </w:rPr>
        <w:t>Yalyn</w:t>
      </w:r>
      <w:proofErr w:type="spellEnd"/>
      <w:r w:rsidRPr="003E7862">
        <w:rPr>
          <w:rFonts w:ascii="Palatino Linotype" w:hAnsi="Palatino Linotype" w:cs="Calibri"/>
          <w:sz w:val="20"/>
          <w:szCs w:val="20"/>
        </w:rPr>
        <w:t>, D., Sari, D. A. P., &amp; Widodo, W. (2022).</w:t>
      </w:r>
      <w:proofErr w:type="gramEnd"/>
      <w:r w:rsidRPr="003E7862">
        <w:rPr>
          <w:rFonts w:ascii="Palatino Linotype" w:hAnsi="Palatino Linotype" w:cs="Calibri"/>
          <w:sz w:val="20"/>
          <w:szCs w:val="20"/>
        </w:rPr>
        <w:t xml:space="preserve"> The implementation of student worksheets based on problem-based learning to improve </w:t>
      </w:r>
      <w:proofErr w:type="gramStart"/>
      <w:r w:rsidRPr="003E7862">
        <w:rPr>
          <w:rFonts w:ascii="Palatino Linotype" w:hAnsi="Palatino Linotype" w:cs="Calibri"/>
          <w:sz w:val="20"/>
          <w:szCs w:val="20"/>
        </w:rPr>
        <w:t>students</w:t>
      </w:r>
      <w:proofErr w:type="gramEnd"/>
      <w:r w:rsidRPr="003E7862">
        <w:rPr>
          <w:rFonts w:ascii="Palatino Linotype" w:hAnsi="Palatino Linotype" w:cs="Calibri"/>
          <w:sz w:val="20"/>
          <w:szCs w:val="20"/>
        </w:rPr>
        <w:t xml:space="preserve"> science process skill. </w:t>
      </w:r>
      <w:r w:rsidRPr="003E7862">
        <w:rPr>
          <w:rFonts w:ascii="Palatino Linotype" w:hAnsi="Palatino Linotype" w:cs="Calibri"/>
          <w:i/>
          <w:iCs/>
          <w:sz w:val="20"/>
          <w:szCs w:val="20"/>
        </w:rPr>
        <w:t>Jurnal Pijar Mipa</w:t>
      </w:r>
      <w:r w:rsidRPr="003E7862">
        <w:rPr>
          <w:rFonts w:ascii="Palatino Linotype" w:hAnsi="Palatino Linotype" w:cs="Calibri"/>
          <w:sz w:val="20"/>
          <w:szCs w:val="20"/>
        </w:rPr>
        <w:t xml:space="preserve">, </w:t>
      </w:r>
      <w:r w:rsidRPr="003E7862">
        <w:rPr>
          <w:rFonts w:ascii="Palatino Linotype" w:hAnsi="Palatino Linotype" w:cs="Calibri"/>
          <w:i/>
          <w:iCs/>
          <w:sz w:val="20"/>
          <w:szCs w:val="20"/>
        </w:rPr>
        <w:t>17</w:t>
      </w:r>
      <w:r w:rsidRPr="003E7862">
        <w:rPr>
          <w:rFonts w:ascii="Palatino Linotype" w:hAnsi="Palatino Linotype" w:cs="Calibri"/>
          <w:sz w:val="20"/>
          <w:szCs w:val="20"/>
        </w:rPr>
        <w:t>(5), 569–576. https://doi.org/10.29303/jpm.v17i5.3710</w:t>
      </w:r>
      <w:r w:rsidR="003E7862" w:rsidRPr="003E7862">
        <w:rPr>
          <w:rFonts w:ascii="Palatino Linotype" w:hAnsi="Palatino Linotype" w:cs="Times New Roman"/>
          <w:sz w:val="20"/>
          <w:szCs w:val="20"/>
        </w:rPr>
        <w:t>.</w:t>
      </w:r>
    </w:p>
    <w:p w14:paraId="1067037F"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54FBD46C" w14:textId="77777777" w:rsidR="003E7862"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gramStart"/>
      <w:r w:rsidRPr="003E7862">
        <w:rPr>
          <w:rFonts w:ascii="Palatino Linotype" w:hAnsi="Palatino Linotype" w:cs="Times New Roman"/>
          <w:sz w:val="20"/>
          <w:szCs w:val="20"/>
        </w:rPr>
        <w:t>Yang, F., &amp; Fan, J. (2022).</w:t>
      </w:r>
      <w:proofErr w:type="gramEnd"/>
      <w:r w:rsidRPr="003E7862">
        <w:rPr>
          <w:rFonts w:ascii="Palatino Linotype" w:hAnsi="Palatino Linotype" w:cs="Times New Roman"/>
          <w:sz w:val="20"/>
          <w:szCs w:val="20"/>
        </w:rPr>
        <w:t xml:space="preserve"> Construction of OBE Concept Autonomous Learning Mode in University Teaching Based on the Internet: </w:t>
      </w:r>
      <w:r w:rsidRPr="003E7862">
        <w:rPr>
          <w:rFonts w:ascii="Palatino Linotype" w:hAnsi="Palatino Linotype" w:cs="Times New Roman"/>
          <w:i/>
          <w:iCs/>
          <w:sz w:val="20"/>
          <w:szCs w:val="20"/>
        </w:rPr>
        <w:t>Journal of Cases on Information Technology</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24</w:t>
      </w:r>
      <w:r w:rsidRPr="003E7862">
        <w:rPr>
          <w:rFonts w:ascii="Palatino Linotype" w:hAnsi="Palatino Linotype" w:cs="Times New Roman"/>
          <w:sz w:val="20"/>
          <w:szCs w:val="20"/>
        </w:rPr>
        <w:t>(5), 1–20. https://doi.org/10.4018/JCIT.295250</w:t>
      </w:r>
      <w:r w:rsidR="003E7862" w:rsidRPr="003E7862">
        <w:rPr>
          <w:rFonts w:ascii="Palatino Linotype" w:hAnsi="Palatino Linotype" w:cs="Times New Roman"/>
          <w:sz w:val="20"/>
          <w:szCs w:val="20"/>
        </w:rPr>
        <w:t>.</w:t>
      </w:r>
    </w:p>
    <w:p w14:paraId="193D14E4" w14:textId="77777777" w:rsidR="003E7862" w:rsidRPr="003E7862" w:rsidRDefault="003E7862" w:rsidP="003E7862">
      <w:pPr>
        <w:pStyle w:val="Bibliography"/>
        <w:spacing w:line="240" w:lineRule="auto"/>
        <w:ind w:left="0" w:firstLine="0"/>
        <w:jc w:val="both"/>
        <w:rPr>
          <w:rFonts w:ascii="Palatino Linotype" w:hAnsi="Palatino Linotype" w:cs="Times New Roman"/>
          <w:sz w:val="20"/>
          <w:szCs w:val="20"/>
        </w:rPr>
      </w:pPr>
    </w:p>
    <w:p w14:paraId="35CB8BCA" w14:textId="5C11281F" w:rsidR="00CD0C4C" w:rsidRPr="003E7862" w:rsidRDefault="00CD0C4C" w:rsidP="003E7862">
      <w:pPr>
        <w:pStyle w:val="Bibliography"/>
        <w:spacing w:line="240" w:lineRule="auto"/>
        <w:ind w:left="0" w:firstLine="0"/>
        <w:jc w:val="both"/>
        <w:rPr>
          <w:rFonts w:ascii="Palatino Linotype" w:hAnsi="Palatino Linotype" w:cs="Times New Roman"/>
          <w:sz w:val="20"/>
          <w:szCs w:val="20"/>
        </w:rPr>
      </w:pPr>
      <w:proofErr w:type="spellStart"/>
      <w:r w:rsidRPr="003E7862">
        <w:rPr>
          <w:rFonts w:ascii="Palatino Linotype" w:hAnsi="Palatino Linotype" w:cs="Times New Roman"/>
          <w:sz w:val="20"/>
          <w:szCs w:val="20"/>
        </w:rPr>
        <w:t>Winstanley</w:t>
      </w:r>
      <w:proofErr w:type="spellEnd"/>
      <w:r w:rsidRPr="003E7862">
        <w:rPr>
          <w:rFonts w:ascii="Palatino Linotype" w:hAnsi="Palatino Linotype" w:cs="Times New Roman"/>
          <w:sz w:val="20"/>
          <w:szCs w:val="20"/>
        </w:rPr>
        <w:t xml:space="preserve">, M. A. (2023). </w:t>
      </w:r>
      <w:proofErr w:type="gramStart"/>
      <w:r w:rsidRPr="003E7862">
        <w:rPr>
          <w:rFonts w:ascii="Palatino Linotype" w:hAnsi="Palatino Linotype" w:cs="Times New Roman"/>
          <w:sz w:val="20"/>
          <w:szCs w:val="20"/>
        </w:rPr>
        <w:t>Stages in Theory and Experiment.</w:t>
      </w:r>
      <w:proofErr w:type="gramEnd"/>
      <w:r w:rsidRPr="003E7862">
        <w:rPr>
          <w:rFonts w:ascii="Palatino Linotype" w:hAnsi="Palatino Linotype" w:cs="Times New Roman"/>
          <w:sz w:val="20"/>
          <w:szCs w:val="20"/>
        </w:rPr>
        <w:t xml:space="preserve"> </w:t>
      </w:r>
      <w:proofErr w:type="gramStart"/>
      <w:r w:rsidRPr="003E7862">
        <w:rPr>
          <w:rFonts w:ascii="Palatino Linotype" w:hAnsi="Palatino Linotype" w:cs="Times New Roman"/>
          <w:sz w:val="20"/>
          <w:szCs w:val="20"/>
        </w:rPr>
        <w:t>Fuzzy-Structuralism and Piagetian Stages.</w:t>
      </w:r>
      <w:proofErr w:type="gramEnd"/>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 xml:space="preserve">Integrative Psychological and </w:t>
      </w:r>
      <w:proofErr w:type="spellStart"/>
      <w:r w:rsidRPr="003E7862">
        <w:rPr>
          <w:rFonts w:ascii="Palatino Linotype" w:hAnsi="Palatino Linotype" w:cs="Times New Roman"/>
          <w:i/>
          <w:iCs/>
          <w:sz w:val="20"/>
          <w:szCs w:val="20"/>
        </w:rPr>
        <w:t>Behavioral</w:t>
      </w:r>
      <w:proofErr w:type="spellEnd"/>
      <w:r w:rsidRPr="003E7862">
        <w:rPr>
          <w:rFonts w:ascii="Palatino Linotype" w:hAnsi="Palatino Linotype" w:cs="Times New Roman"/>
          <w:i/>
          <w:iCs/>
          <w:sz w:val="20"/>
          <w:szCs w:val="20"/>
        </w:rPr>
        <w:t xml:space="preserve"> Science</w:t>
      </w:r>
      <w:r w:rsidRPr="003E7862">
        <w:rPr>
          <w:rFonts w:ascii="Palatino Linotype" w:hAnsi="Palatino Linotype" w:cs="Times New Roman"/>
          <w:sz w:val="20"/>
          <w:szCs w:val="20"/>
        </w:rPr>
        <w:t xml:space="preserve">, </w:t>
      </w:r>
      <w:r w:rsidRPr="003E7862">
        <w:rPr>
          <w:rFonts w:ascii="Palatino Linotype" w:hAnsi="Palatino Linotype" w:cs="Times New Roman"/>
          <w:i/>
          <w:iCs/>
          <w:sz w:val="20"/>
          <w:szCs w:val="20"/>
        </w:rPr>
        <w:t>57</w:t>
      </w:r>
      <w:r w:rsidRPr="003E7862">
        <w:rPr>
          <w:rFonts w:ascii="Palatino Linotype" w:hAnsi="Palatino Linotype" w:cs="Times New Roman"/>
          <w:sz w:val="20"/>
          <w:szCs w:val="20"/>
        </w:rPr>
        <w:t>(1), 151–173. https://doi.org/10.1007/s12124-022-09702-7</w:t>
      </w:r>
    </w:p>
    <w:p w14:paraId="40D337CF" w14:textId="77777777" w:rsidR="00CD0C4C" w:rsidRPr="003E7862" w:rsidRDefault="00CD0C4C" w:rsidP="00CD0C4C">
      <w:pPr>
        <w:jc w:val="both"/>
        <w:rPr>
          <w:rFonts w:ascii="Palatino Linotype" w:hAnsi="Palatino Linotype"/>
          <w:sz w:val="20"/>
          <w:szCs w:val="20"/>
        </w:rPr>
      </w:pPr>
    </w:p>
    <w:p w14:paraId="2126C046" w14:textId="6CBE7BBD" w:rsidR="00143989" w:rsidRPr="00723B12" w:rsidRDefault="002B31FD" w:rsidP="00CD0C4C">
      <w:pPr>
        <w:pStyle w:val="NormalWeb"/>
        <w:pBdr>
          <w:top w:val="single" w:sz="2" w:space="0" w:color="E3E3E3"/>
          <w:left w:val="single" w:sz="2" w:space="0" w:color="E3E3E3"/>
          <w:bottom w:val="single" w:sz="2" w:space="0" w:color="E3E3E3"/>
          <w:right w:val="single" w:sz="2" w:space="0" w:color="E3E3E3"/>
        </w:pBdr>
        <w:shd w:val="clear" w:color="auto" w:fill="FFFFFF"/>
        <w:spacing w:before="300" w:after="300" w:line="240" w:lineRule="auto"/>
        <w:jc w:val="both"/>
      </w:pPr>
      <w:r w:rsidRPr="003E7862">
        <w:rPr>
          <w:rFonts w:ascii="Palatino Linotype" w:hAnsi="Palatino Linotype"/>
          <w:sz w:val="20"/>
          <w:szCs w:val="20"/>
        </w:rPr>
        <w:fldChar w:fldCharType="end"/>
      </w:r>
    </w:p>
    <w:sectPr w:rsidR="00143989" w:rsidRPr="00723B12"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42485" w14:textId="77777777" w:rsidR="00D7183C" w:rsidRDefault="00D7183C" w:rsidP="008E64A2">
      <w:pPr>
        <w:spacing w:after="0" w:line="240" w:lineRule="auto"/>
      </w:pPr>
      <w:r>
        <w:separator/>
      </w:r>
    </w:p>
    <w:p w14:paraId="42CA0897" w14:textId="77777777" w:rsidR="00D7183C" w:rsidRDefault="00D7183C"/>
  </w:endnote>
  <w:endnote w:type="continuationSeparator" w:id="0">
    <w:p w14:paraId="4AF7209D" w14:textId="77777777" w:rsidR="00D7183C" w:rsidRDefault="00D7183C" w:rsidP="008E64A2">
      <w:pPr>
        <w:spacing w:after="0" w:line="240" w:lineRule="auto"/>
      </w:pPr>
      <w:r>
        <w:continuationSeparator/>
      </w:r>
    </w:p>
    <w:p w14:paraId="05AAFBA2" w14:textId="77777777" w:rsidR="00D7183C" w:rsidRDefault="00D71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861C1"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7236B"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234FA" w14:textId="77777777" w:rsidR="00D7183C" w:rsidRDefault="00D7183C" w:rsidP="008E64A2">
      <w:pPr>
        <w:spacing w:after="0" w:line="240" w:lineRule="auto"/>
      </w:pPr>
      <w:r>
        <w:separator/>
      </w:r>
    </w:p>
    <w:p w14:paraId="15E75974" w14:textId="77777777" w:rsidR="00D7183C" w:rsidRDefault="00D7183C"/>
  </w:footnote>
  <w:footnote w:type="continuationSeparator" w:id="0">
    <w:p w14:paraId="5261C2E1" w14:textId="77777777" w:rsidR="00D7183C" w:rsidRDefault="00D7183C" w:rsidP="008E64A2">
      <w:pPr>
        <w:spacing w:after="0" w:line="240" w:lineRule="auto"/>
      </w:pPr>
      <w:r>
        <w:continuationSeparator/>
      </w:r>
    </w:p>
    <w:p w14:paraId="0B7E1E76" w14:textId="77777777" w:rsidR="00D7183C" w:rsidRDefault="00D718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136D"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3A35F218" wp14:editId="4295549E">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BBC42D5"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proofErr w:type="spellStart"/>
    <w:r w:rsidR="00727D5A">
      <w:rPr>
        <w:rFonts w:ascii="Palatino Linotype" w:hAnsi="Palatino Linotype"/>
        <w:i/>
        <w:sz w:val="16"/>
      </w:rPr>
      <w:t>pp</w:t>
    </w:r>
    <w:proofErr w:type="spellEnd"/>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3E7862">
      <w:rPr>
        <w:rFonts w:ascii="Palatino Linotype" w:hAnsi="Palatino Linotype"/>
        <w:noProof/>
        <w:sz w:val="16"/>
      </w:rPr>
      <w:t>62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1C312221" w14:textId="77777777" w:rsidR="0048476B" w:rsidRDefault="004847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EDB2"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14:paraId="51B8C02C"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37B1313A"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75DBF954" wp14:editId="12F8F3BE">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158A1D0"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306538"/>
    <w:multiLevelType w:val="multilevel"/>
    <w:tmpl w:val="D9E0E80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6"/>
  </w:num>
  <w:num w:numId="5">
    <w:abstractNumId w:val="14"/>
  </w:num>
  <w:num w:numId="6">
    <w:abstractNumId w:val="17"/>
  </w:num>
  <w:num w:numId="7">
    <w:abstractNumId w:val="1"/>
  </w:num>
  <w:num w:numId="8">
    <w:abstractNumId w:val="16"/>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12"/>
  </w:num>
  <w:num w:numId="15">
    <w:abstractNumId w:val="13"/>
  </w:num>
  <w:num w:numId="16">
    <w:abstractNumId w:val="0"/>
  </w:num>
  <w:num w:numId="17">
    <w:abstractNumId w:val="4"/>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605193"/>
    <w:rsid w:val="000061CE"/>
    <w:rsid w:val="000073D7"/>
    <w:rsid w:val="00023F5D"/>
    <w:rsid w:val="00031DD5"/>
    <w:rsid w:val="000333AC"/>
    <w:rsid w:val="000355EA"/>
    <w:rsid w:val="00035C67"/>
    <w:rsid w:val="00042182"/>
    <w:rsid w:val="00056E9C"/>
    <w:rsid w:val="00063CE6"/>
    <w:rsid w:val="000735BB"/>
    <w:rsid w:val="00075197"/>
    <w:rsid w:val="000831BD"/>
    <w:rsid w:val="00094607"/>
    <w:rsid w:val="00097E08"/>
    <w:rsid w:val="000A13A3"/>
    <w:rsid w:val="000A36F0"/>
    <w:rsid w:val="000D00D0"/>
    <w:rsid w:val="000D5EE8"/>
    <w:rsid w:val="000E2588"/>
    <w:rsid w:val="000E2C60"/>
    <w:rsid w:val="000E7A05"/>
    <w:rsid w:val="000F1812"/>
    <w:rsid w:val="000F3189"/>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3174"/>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2C5F7C"/>
    <w:rsid w:val="002D3BCD"/>
    <w:rsid w:val="002D6F2F"/>
    <w:rsid w:val="002F0AA8"/>
    <w:rsid w:val="002F1FC3"/>
    <w:rsid w:val="003037AA"/>
    <w:rsid w:val="00307DF5"/>
    <w:rsid w:val="00312FBF"/>
    <w:rsid w:val="0032467B"/>
    <w:rsid w:val="00325B99"/>
    <w:rsid w:val="00330C12"/>
    <w:rsid w:val="00330C66"/>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0E7"/>
    <w:rsid w:val="003C3B3B"/>
    <w:rsid w:val="003C74BC"/>
    <w:rsid w:val="003D061C"/>
    <w:rsid w:val="003D0D50"/>
    <w:rsid w:val="003D3E34"/>
    <w:rsid w:val="003D7E04"/>
    <w:rsid w:val="003E5BB6"/>
    <w:rsid w:val="003E7862"/>
    <w:rsid w:val="003F3A9E"/>
    <w:rsid w:val="004258A8"/>
    <w:rsid w:val="00432323"/>
    <w:rsid w:val="004333C2"/>
    <w:rsid w:val="00434F97"/>
    <w:rsid w:val="00435996"/>
    <w:rsid w:val="00444B72"/>
    <w:rsid w:val="004521BE"/>
    <w:rsid w:val="00457015"/>
    <w:rsid w:val="00461028"/>
    <w:rsid w:val="004642B9"/>
    <w:rsid w:val="004763B3"/>
    <w:rsid w:val="0048254D"/>
    <w:rsid w:val="0048476B"/>
    <w:rsid w:val="004A39B9"/>
    <w:rsid w:val="004A4086"/>
    <w:rsid w:val="004C1FE0"/>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05193"/>
    <w:rsid w:val="00605B0E"/>
    <w:rsid w:val="0061136D"/>
    <w:rsid w:val="006148DF"/>
    <w:rsid w:val="00617741"/>
    <w:rsid w:val="00626D7A"/>
    <w:rsid w:val="00630559"/>
    <w:rsid w:val="006405DC"/>
    <w:rsid w:val="00642A67"/>
    <w:rsid w:val="00642FE6"/>
    <w:rsid w:val="00655540"/>
    <w:rsid w:val="006659EC"/>
    <w:rsid w:val="0067164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6F4E5F"/>
    <w:rsid w:val="00701A0F"/>
    <w:rsid w:val="0071335B"/>
    <w:rsid w:val="00716FCB"/>
    <w:rsid w:val="00717FE7"/>
    <w:rsid w:val="00721B39"/>
    <w:rsid w:val="00723972"/>
    <w:rsid w:val="00727D5A"/>
    <w:rsid w:val="0073613A"/>
    <w:rsid w:val="0074579B"/>
    <w:rsid w:val="007458EE"/>
    <w:rsid w:val="00750180"/>
    <w:rsid w:val="00751F6C"/>
    <w:rsid w:val="007549C7"/>
    <w:rsid w:val="00763D48"/>
    <w:rsid w:val="007706D1"/>
    <w:rsid w:val="00776DFE"/>
    <w:rsid w:val="00784B9B"/>
    <w:rsid w:val="00787398"/>
    <w:rsid w:val="007A2C38"/>
    <w:rsid w:val="007B2B7A"/>
    <w:rsid w:val="007B716C"/>
    <w:rsid w:val="007E0F04"/>
    <w:rsid w:val="007E5CEF"/>
    <w:rsid w:val="007E63E5"/>
    <w:rsid w:val="007E6AA6"/>
    <w:rsid w:val="007E6E1C"/>
    <w:rsid w:val="007F0542"/>
    <w:rsid w:val="007F2733"/>
    <w:rsid w:val="00802C6D"/>
    <w:rsid w:val="008036D9"/>
    <w:rsid w:val="0084406E"/>
    <w:rsid w:val="008477FA"/>
    <w:rsid w:val="00863036"/>
    <w:rsid w:val="00873823"/>
    <w:rsid w:val="00874DBD"/>
    <w:rsid w:val="00883EAA"/>
    <w:rsid w:val="008841DF"/>
    <w:rsid w:val="008858AA"/>
    <w:rsid w:val="00887B61"/>
    <w:rsid w:val="0089730B"/>
    <w:rsid w:val="008B0C56"/>
    <w:rsid w:val="008D0E8E"/>
    <w:rsid w:val="008D272B"/>
    <w:rsid w:val="008D6030"/>
    <w:rsid w:val="008E27C5"/>
    <w:rsid w:val="008E64A2"/>
    <w:rsid w:val="008F618A"/>
    <w:rsid w:val="00917C32"/>
    <w:rsid w:val="00921BF0"/>
    <w:rsid w:val="00922701"/>
    <w:rsid w:val="00926A4F"/>
    <w:rsid w:val="00935589"/>
    <w:rsid w:val="00935B9F"/>
    <w:rsid w:val="0093774D"/>
    <w:rsid w:val="0093781E"/>
    <w:rsid w:val="00941210"/>
    <w:rsid w:val="009466DD"/>
    <w:rsid w:val="00961E09"/>
    <w:rsid w:val="00961F83"/>
    <w:rsid w:val="009636A4"/>
    <w:rsid w:val="00964447"/>
    <w:rsid w:val="00966B3D"/>
    <w:rsid w:val="00971961"/>
    <w:rsid w:val="00981736"/>
    <w:rsid w:val="0098303C"/>
    <w:rsid w:val="00984D8C"/>
    <w:rsid w:val="009B07D9"/>
    <w:rsid w:val="009C1B55"/>
    <w:rsid w:val="009C1DAF"/>
    <w:rsid w:val="009C7544"/>
    <w:rsid w:val="009D09F2"/>
    <w:rsid w:val="009D3532"/>
    <w:rsid w:val="009E21EA"/>
    <w:rsid w:val="009E52F0"/>
    <w:rsid w:val="009F0C88"/>
    <w:rsid w:val="009F350D"/>
    <w:rsid w:val="009F4CD2"/>
    <w:rsid w:val="009F71B3"/>
    <w:rsid w:val="00A00078"/>
    <w:rsid w:val="00A02BB2"/>
    <w:rsid w:val="00A10817"/>
    <w:rsid w:val="00A10E86"/>
    <w:rsid w:val="00A234A4"/>
    <w:rsid w:val="00A24F94"/>
    <w:rsid w:val="00A36F58"/>
    <w:rsid w:val="00A414CC"/>
    <w:rsid w:val="00A4359F"/>
    <w:rsid w:val="00A448B5"/>
    <w:rsid w:val="00A50968"/>
    <w:rsid w:val="00A54BE9"/>
    <w:rsid w:val="00A66748"/>
    <w:rsid w:val="00A75CB1"/>
    <w:rsid w:val="00A80097"/>
    <w:rsid w:val="00A90123"/>
    <w:rsid w:val="00A91453"/>
    <w:rsid w:val="00A96285"/>
    <w:rsid w:val="00A9708A"/>
    <w:rsid w:val="00A97F4A"/>
    <w:rsid w:val="00AA580B"/>
    <w:rsid w:val="00AB2854"/>
    <w:rsid w:val="00AB4892"/>
    <w:rsid w:val="00AB6B7A"/>
    <w:rsid w:val="00AC475D"/>
    <w:rsid w:val="00AC5858"/>
    <w:rsid w:val="00AD26B9"/>
    <w:rsid w:val="00AD49B2"/>
    <w:rsid w:val="00AD7FAB"/>
    <w:rsid w:val="00AE2A82"/>
    <w:rsid w:val="00AE7180"/>
    <w:rsid w:val="00AF2F8D"/>
    <w:rsid w:val="00AF6218"/>
    <w:rsid w:val="00B00874"/>
    <w:rsid w:val="00B029BB"/>
    <w:rsid w:val="00B03D8F"/>
    <w:rsid w:val="00B04201"/>
    <w:rsid w:val="00B147E8"/>
    <w:rsid w:val="00B1769F"/>
    <w:rsid w:val="00B232F3"/>
    <w:rsid w:val="00B23D62"/>
    <w:rsid w:val="00B26E74"/>
    <w:rsid w:val="00B30D46"/>
    <w:rsid w:val="00B35AB9"/>
    <w:rsid w:val="00B43071"/>
    <w:rsid w:val="00B449B4"/>
    <w:rsid w:val="00B5764F"/>
    <w:rsid w:val="00B6167D"/>
    <w:rsid w:val="00B67ED6"/>
    <w:rsid w:val="00B7027E"/>
    <w:rsid w:val="00B72F3D"/>
    <w:rsid w:val="00B74337"/>
    <w:rsid w:val="00B75F92"/>
    <w:rsid w:val="00B84303"/>
    <w:rsid w:val="00BA14D2"/>
    <w:rsid w:val="00BA707F"/>
    <w:rsid w:val="00BB25C2"/>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0C4C"/>
    <w:rsid w:val="00CD3AE9"/>
    <w:rsid w:val="00CE131B"/>
    <w:rsid w:val="00CE242C"/>
    <w:rsid w:val="00CF5425"/>
    <w:rsid w:val="00D04944"/>
    <w:rsid w:val="00D13D39"/>
    <w:rsid w:val="00D2296B"/>
    <w:rsid w:val="00D31547"/>
    <w:rsid w:val="00D37209"/>
    <w:rsid w:val="00D4134B"/>
    <w:rsid w:val="00D51A98"/>
    <w:rsid w:val="00D7183C"/>
    <w:rsid w:val="00D74358"/>
    <w:rsid w:val="00D75604"/>
    <w:rsid w:val="00D77FAD"/>
    <w:rsid w:val="00D81206"/>
    <w:rsid w:val="00D90DB0"/>
    <w:rsid w:val="00DA0836"/>
    <w:rsid w:val="00DA2631"/>
    <w:rsid w:val="00DD295B"/>
    <w:rsid w:val="00DE2B7D"/>
    <w:rsid w:val="00DF215F"/>
    <w:rsid w:val="00E00922"/>
    <w:rsid w:val="00E05855"/>
    <w:rsid w:val="00E0705D"/>
    <w:rsid w:val="00E1438C"/>
    <w:rsid w:val="00E22B8E"/>
    <w:rsid w:val="00E247E4"/>
    <w:rsid w:val="00E45249"/>
    <w:rsid w:val="00E517C5"/>
    <w:rsid w:val="00E56B59"/>
    <w:rsid w:val="00E85AC8"/>
    <w:rsid w:val="00E95C0B"/>
    <w:rsid w:val="00EA7D37"/>
    <w:rsid w:val="00EB71A3"/>
    <w:rsid w:val="00EE35A7"/>
    <w:rsid w:val="00EF47B8"/>
    <w:rsid w:val="00F03710"/>
    <w:rsid w:val="00F05579"/>
    <w:rsid w:val="00F15294"/>
    <w:rsid w:val="00F30CBA"/>
    <w:rsid w:val="00F30EA6"/>
    <w:rsid w:val="00F36C4F"/>
    <w:rsid w:val="00F40982"/>
    <w:rsid w:val="00F4453E"/>
    <w:rsid w:val="00F67706"/>
    <w:rsid w:val="00F6777E"/>
    <w:rsid w:val="00F83B6F"/>
    <w:rsid w:val="00F8776C"/>
    <w:rsid w:val="00F941E4"/>
    <w:rsid w:val="00FA3411"/>
    <w:rsid w:val="00FA43FF"/>
    <w:rsid w:val="00FA57C1"/>
    <w:rsid w:val="00FB1F36"/>
    <w:rsid w:val="00FB3BE1"/>
    <w:rsid w:val="00FC00CE"/>
    <w:rsid w:val="00FD3643"/>
    <w:rsid w:val="00FD612C"/>
    <w:rsid w:val="00FE1BD7"/>
    <w:rsid w:val="00FE2A5A"/>
    <w:rsid w:val="00FE2EDE"/>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C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sub-section,Header Char1,list paragraph,Body Text Char1,Char Char2,List Paragraph2,kepala,Recommendation,List Paragraph11,Heading 10,kepala 1,Colorful List - Accent 11,Body of text1,Body of text2"/>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TabelBiasa21">
    <w:name w:val="Tabel Biasa 21"/>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SebutanYangBelumTerselesaikan1">
    <w:name w:val="Sebutan Yang Belum Terselesaikan1"/>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sub-section Char,Header Char1 Char,list paragraph Char,Body Text Char1 Char,Char Char2 Char,List Paragraph2 Char,kepala Char,Recommendation Char,List Paragraph11 Char,Heading 10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TabelBiasa41">
    <w:name w:val="Tabel Biasa 41"/>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642FE6"/>
    <w:rPr>
      <w:i/>
      <w:iCs/>
    </w:rPr>
  </w:style>
  <w:style w:type="paragraph" w:styleId="Bibliography">
    <w:name w:val="Bibliography"/>
    <w:basedOn w:val="Normal"/>
    <w:next w:val="Normal"/>
    <w:uiPriority w:val="37"/>
    <w:unhideWhenUsed/>
    <w:rsid w:val="000D00D0"/>
    <w:pPr>
      <w:spacing w:after="0" w:line="480" w:lineRule="auto"/>
      <w:ind w:left="720" w:hanging="720"/>
    </w:pPr>
  </w:style>
  <w:style w:type="character" w:customStyle="1" w:styleId="y2iqfc">
    <w:name w:val="y2iqfc"/>
    <w:basedOn w:val="DefaultParagraphFont"/>
    <w:rsid w:val="0084406E"/>
  </w:style>
  <w:style w:type="paragraph" w:customStyle="1" w:styleId="Default">
    <w:name w:val="Default"/>
    <w:rsid w:val="000F3189"/>
    <w:pPr>
      <w:autoSpaceDE w:val="0"/>
      <w:autoSpaceDN w:val="0"/>
      <w:adjustRightInd w:val="0"/>
      <w:spacing w:after="0" w:line="240" w:lineRule="auto"/>
    </w:pPr>
    <w:rPr>
      <w:rFonts w:ascii="Palatino Linotype" w:eastAsiaTheme="minorHAnsi" w:hAnsi="Palatino Linotype" w:cs="Palatino Linotype"/>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sub-section,Header Char1,list paragraph,Body Text Char1,Char Char2,List Paragraph2,kepala,Recommendation,List Paragraph11,Heading 10,kepala 1,Colorful List - Accent 11,Body of text1,Body of text2"/>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TabelBiasa21">
    <w:name w:val="Tabel Biasa 21"/>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SebutanYangBelumTerselesaikan1">
    <w:name w:val="Sebutan Yang Belum Terselesaikan1"/>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sub-section Char,Header Char1 Char,list paragraph Char,Body Text Char1 Char,Char Char2 Char,List Paragraph2 Char,kepala Char,Recommendation Char,List Paragraph11 Char,Heading 10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TabelBiasa41">
    <w:name w:val="Tabel Biasa 41"/>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642FE6"/>
    <w:rPr>
      <w:i/>
      <w:iCs/>
    </w:rPr>
  </w:style>
  <w:style w:type="paragraph" w:styleId="Bibliography">
    <w:name w:val="Bibliography"/>
    <w:basedOn w:val="Normal"/>
    <w:next w:val="Normal"/>
    <w:uiPriority w:val="37"/>
    <w:unhideWhenUsed/>
    <w:rsid w:val="000D00D0"/>
    <w:pPr>
      <w:spacing w:after="0" w:line="480" w:lineRule="auto"/>
      <w:ind w:left="720" w:hanging="720"/>
    </w:pPr>
  </w:style>
  <w:style w:type="character" w:customStyle="1" w:styleId="y2iqfc">
    <w:name w:val="y2iqfc"/>
    <w:basedOn w:val="DefaultParagraphFont"/>
    <w:rsid w:val="0084406E"/>
  </w:style>
  <w:style w:type="paragraph" w:customStyle="1" w:styleId="Default">
    <w:name w:val="Default"/>
    <w:rsid w:val="000F3189"/>
    <w:pPr>
      <w:autoSpaceDE w:val="0"/>
      <w:autoSpaceDN w:val="0"/>
      <w:adjustRightInd w:val="0"/>
      <w:spacing w:after="0" w:line="240" w:lineRule="auto"/>
    </w:pPr>
    <w:rPr>
      <w:rFonts w:ascii="Palatino Linotype" w:eastAsiaTheme="minorHAnsi" w:hAnsi="Palatino Linotype" w:cs="Palatino Linotyp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382">
      <w:bodyDiv w:val="1"/>
      <w:marLeft w:val="0"/>
      <w:marRight w:val="0"/>
      <w:marTop w:val="0"/>
      <w:marBottom w:val="0"/>
      <w:divBdr>
        <w:top w:val="none" w:sz="0" w:space="0" w:color="auto"/>
        <w:left w:val="none" w:sz="0" w:space="0" w:color="auto"/>
        <w:bottom w:val="none" w:sz="0" w:space="0" w:color="auto"/>
        <w:right w:val="none" w:sz="0" w:space="0" w:color="auto"/>
      </w:divBdr>
    </w:div>
    <w:div w:id="73668155">
      <w:bodyDiv w:val="1"/>
      <w:marLeft w:val="0"/>
      <w:marRight w:val="0"/>
      <w:marTop w:val="0"/>
      <w:marBottom w:val="0"/>
      <w:divBdr>
        <w:top w:val="none" w:sz="0" w:space="0" w:color="auto"/>
        <w:left w:val="none" w:sz="0" w:space="0" w:color="auto"/>
        <w:bottom w:val="none" w:sz="0" w:space="0" w:color="auto"/>
        <w:right w:val="none" w:sz="0" w:space="0" w:color="auto"/>
      </w:divBdr>
    </w:div>
    <w:div w:id="122238437">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34767328">
      <w:bodyDiv w:val="1"/>
      <w:marLeft w:val="0"/>
      <w:marRight w:val="0"/>
      <w:marTop w:val="0"/>
      <w:marBottom w:val="0"/>
      <w:divBdr>
        <w:top w:val="none" w:sz="0" w:space="0" w:color="auto"/>
        <w:left w:val="none" w:sz="0" w:space="0" w:color="auto"/>
        <w:bottom w:val="none" w:sz="0" w:space="0" w:color="auto"/>
        <w:right w:val="none" w:sz="0" w:space="0" w:color="auto"/>
      </w:divBdr>
    </w:div>
    <w:div w:id="345139368">
      <w:bodyDiv w:val="1"/>
      <w:marLeft w:val="0"/>
      <w:marRight w:val="0"/>
      <w:marTop w:val="0"/>
      <w:marBottom w:val="0"/>
      <w:divBdr>
        <w:top w:val="none" w:sz="0" w:space="0" w:color="auto"/>
        <w:left w:val="none" w:sz="0" w:space="0" w:color="auto"/>
        <w:bottom w:val="none" w:sz="0" w:space="0" w:color="auto"/>
        <w:right w:val="none" w:sz="0" w:space="0" w:color="auto"/>
      </w:divBdr>
      <w:divsChild>
        <w:div w:id="1466268691">
          <w:marLeft w:val="0"/>
          <w:marRight w:val="0"/>
          <w:marTop w:val="0"/>
          <w:marBottom w:val="0"/>
          <w:divBdr>
            <w:top w:val="none" w:sz="0" w:space="0" w:color="auto"/>
            <w:left w:val="none" w:sz="0" w:space="0" w:color="auto"/>
            <w:bottom w:val="none" w:sz="0" w:space="0" w:color="auto"/>
            <w:right w:val="none" w:sz="0" w:space="0" w:color="auto"/>
          </w:divBdr>
        </w:div>
      </w:divsChild>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96628465">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50586915">
      <w:bodyDiv w:val="1"/>
      <w:marLeft w:val="0"/>
      <w:marRight w:val="0"/>
      <w:marTop w:val="0"/>
      <w:marBottom w:val="0"/>
      <w:divBdr>
        <w:top w:val="none" w:sz="0" w:space="0" w:color="auto"/>
        <w:left w:val="none" w:sz="0" w:space="0" w:color="auto"/>
        <w:bottom w:val="none" w:sz="0" w:space="0" w:color="auto"/>
        <w:right w:val="none" w:sz="0" w:space="0" w:color="auto"/>
      </w:divBdr>
    </w:div>
    <w:div w:id="467280638">
      <w:bodyDiv w:val="1"/>
      <w:marLeft w:val="0"/>
      <w:marRight w:val="0"/>
      <w:marTop w:val="0"/>
      <w:marBottom w:val="0"/>
      <w:divBdr>
        <w:top w:val="none" w:sz="0" w:space="0" w:color="auto"/>
        <w:left w:val="none" w:sz="0" w:space="0" w:color="auto"/>
        <w:bottom w:val="none" w:sz="0" w:space="0" w:color="auto"/>
        <w:right w:val="none" w:sz="0" w:space="0" w:color="auto"/>
      </w:divBdr>
      <w:divsChild>
        <w:div w:id="1584678033">
          <w:marLeft w:val="0"/>
          <w:marRight w:val="0"/>
          <w:marTop w:val="0"/>
          <w:marBottom w:val="0"/>
          <w:divBdr>
            <w:top w:val="none" w:sz="0" w:space="0" w:color="auto"/>
            <w:left w:val="none" w:sz="0" w:space="0" w:color="auto"/>
            <w:bottom w:val="none" w:sz="0" w:space="0" w:color="auto"/>
            <w:right w:val="none" w:sz="0" w:space="0" w:color="auto"/>
          </w:divBdr>
        </w:div>
      </w:divsChild>
    </w:div>
    <w:div w:id="477456688">
      <w:bodyDiv w:val="1"/>
      <w:marLeft w:val="0"/>
      <w:marRight w:val="0"/>
      <w:marTop w:val="0"/>
      <w:marBottom w:val="0"/>
      <w:divBdr>
        <w:top w:val="none" w:sz="0" w:space="0" w:color="auto"/>
        <w:left w:val="none" w:sz="0" w:space="0" w:color="auto"/>
        <w:bottom w:val="none" w:sz="0" w:space="0" w:color="auto"/>
        <w:right w:val="none" w:sz="0" w:space="0" w:color="auto"/>
      </w:divBdr>
    </w:div>
    <w:div w:id="493838003">
      <w:bodyDiv w:val="1"/>
      <w:marLeft w:val="0"/>
      <w:marRight w:val="0"/>
      <w:marTop w:val="0"/>
      <w:marBottom w:val="0"/>
      <w:divBdr>
        <w:top w:val="none" w:sz="0" w:space="0" w:color="auto"/>
        <w:left w:val="none" w:sz="0" w:space="0" w:color="auto"/>
        <w:bottom w:val="none" w:sz="0" w:space="0" w:color="auto"/>
        <w:right w:val="none" w:sz="0" w:space="0" w:color="auto"/>
      </w:divBdr>
    </w:div>
    <w:div w:id="514467131">
      <w:bodyDiv w:val="1"/>
      <w:marLeft w:val="0"/>
      <w:marRight w:val="0"/>
      <w:marTop w:val="0"/>
      <w:marBottom w:val="0"/>
      <w:divBdr>
        <w:top w:val="none" w:sz="0" w:space="0" w:color="auto"/>
        <w:left w:val="none" w:sz="0" w:space="0" w:color="auto"/>
        <w:bottom w:val="none" w:sz="0" w:space="0" w:color="auto"/>
        <w:right w:val="none" w:sz="0" w:space="0" w:color="auto"/>
      </w:divBdr>
      <w:divsChild>
        <w:div w:id="2108959754">
          <w:marLeft w:val="0"/>
          <w:marRight w:val="0"/>
          <w:marTop w:val="0"/>
          <w:marBottom w:val="0"/>
          <w:divBdr>
            <w:top w:val="none" w:sz="0" w:space="0" w:color="auto"/>
            <w:left w:val="none" w:sz="0" w:space="0" w:color="auto"/>
            <w:bottom w:val="none" w:sz="0" w:space="0" w:color="auto"/>
            <w:right w:val="none" w:sz="0" w:space="0" w:color="auto"/>
          </w:divBdr>
        </w:div>
      </w:divsChild>
    </w:div>
    <w:div w:id="522401618">
      <w:bodyDiv w:val="1"/>
      <w:marLeft w:val="0"/>
      <w:marRight w:val="0"/>
      <w:marTop w:val="0"/>
      <w:marBottom w:val="0"/>
      <w:divBdr>
        <w:top w:val="none" w:sz="0" w:space="0" w:color="auto"/>
        <w:left w:val="none" w:sz="0" w:space="0" w:color="auto"/>
        <w:bottom w:val="none" w:sz="0" w:space="0" w:color="auto"/>
        <w:right w:val="none" w:sz="0" w:space="0" w:color="auto"/>
      </w:divBdr>
      <w:divsChild>
        <w:div w:id="2112503523">
          <w:marLeft w:val="0"/>
          <w:marRight w:val="0"/>
          <w:marTop w:val="0"/>
          <w:marBottom w:val="0"/>
          <w:divBdr>
            <w:top w:val="none" w:sz="0" w:space="0" w:color="auto"/>
            <w:left w:val="none" w:sz="0" w:space="0" w:color="auto"/>
            <w:bottom w:val="none" w:sz="0" w:space="0" w:color="auto"/>
            <w:right w:val="none" w:sz="0" w:space="0" w:color="auto"/>
          </w:divBdr>
        </w:div>
      </w:divsChild>
    </w:div>
    <w:div w:id="535969951">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55498318">
      <w:bodyDiv w:val="1"/>
      <w:marLeft w:val="0"/>
      <w:marRight w:val="0"/>
      <w:marTop w:val="0"/>
      <w:marBottom w:val="0"/>
      <w:divBdr>
        <w:top w:val="none" w:sz="0" w:space="0" w:color="auto"/>
        <w:left w:val="none" w:sz="0" w:space="0" w:color="auto"/>
        <w:bottom w:val="none" w:sz="0" w:space="0" w:color="auto"/>
        <w:right w:val="none" w:sz="0" w:space="0" w:color="auto"/>
      </w:divBdr>
    </w:div>
    <w:div w:id="669067380">
      <w:bodyDiv w:val="1"/>
      <w:marLeft w:val="0"/>
      <w:marRight w:val="0"/>
      <w:marTop w:val="0"/>
      <w:marBottom w:val="0"/>
      <w:divBdr>
        <w:top w:val="none" w:sz="0" w:space="0" w:color="auto"/>
        <w:left w:val="none" w:sz="0" w:space="0" w:color="auto"/>
        <w:bottom w:val="none" w:sz="0" w:space="0" w:color="auto"/>
        <w:right w:val="none" w:sz="0" w:space="0" w:color="auto"/>
      </w:divBdr>
      <w:divsChild>
        <w:div w:id="501048488">
          <w:marLeft w:val="0"/>
          <w:marRight w:val="0"/>
          <w:marTop w:val="0"/>
          <w:marBottom w:val="0"/>
          <w:divBdr>
            <w:top w:val="none" w:sz="0" w:space="0" w:color="auto"/>
            <w:left w:val="none" w:sz="0" w:space="0" w:color="auto"/>
            <w:bottom w:val="none" w:sz="0" w:space="0" w:color="auto"/>
            <w:right w:val="none" w:sz="0" w:space="0" w:color="auto"/>
          </w:divBdr>
        </w:div>
      </w:divsChild>
    </w:div>
    <w:div w:id="694694770">
      <w:bodyDiv w:val="1"/>
      <w:marLeft w:val="0"/>
      <w:marRight w:val="0"/>
      <w:marTop w:val="0"/>
      <w:marBottom w:val="0"/>
      <w:divBdr>
        <w:top w:val="none" w:sz="0" w:space="0" w:color="auto"/>
        <w:left w:val="none" w:sz="0" w:space="0" w:color="auto"/>
        <w:bottom w:val="none" w:sz="0" w:space="0" w:color="auto"/>
        <w:right w:val="none" w:sz="0" w:space="0" w:color="auto"/>
      </w:divBdr>
    </w:div>
    <w:div w:id="704138488">
      <w:bodyDiv w:val="1"/>
      <w:marLeft w:val="0"/>
      <w:marRight w:val="0"/>
      <w:marTop w:val="0"/>
      <w:marBottom w:val="0"/>
      <w:divBdr>
        <w:top w:val="none" w:sz="0" w:space="0" w:color="auto"/>
        <w:left w:val="none" w:sz="0" w:space="0" w:color="auto"/>
        <w:bottom w:val="none" w:sz="0" w:space="0" w:color="auto"/>
        <w:right w:val="none" w:sz="0" w:space="0" w:color="auto"/>
      </w:divBdr>
    </w:div>
    <w:div w:id="828056917">
      <w:bodyDiv w:val="1"/>
      <w:marLeft w:val="0"/>
      <w:marRight w:val="0"/>
      <w:marTop w:val="0"/>
      <w:marBottom w:val="0"/>
      <w:divBdr>
        <w:top w:val="none" w:sz="0" w:space="0" w:color="auto"/>
        <w:left w:val="none" w:sz="0" w:space="0" w:color="auto"/>
        <w:bottom w:val="none" w:sz="0" w:space="0" w:color="auto"/>
        <w:right w:val="none" w:sz="0" w:space="0" w:color="auto"/>
      </w:divBdr>
      <w:divsChild>
        <w:div w:id="1269200545">
          <w:marLeft w:val="0"/>
          <w:marRight w:val="0"/>
          <w:marTop w:val="0"/>
          <w:marBottom w:val="0"/>
          <w:divBdr>
            <w:top w:val="none" w:sz="0" w:space="0" w:color="auto"/>
            <w:left w:val="none" w:sz="0" w:space="0" w:color="auto"/>
            <w:bottom w:val="none" w:sz="0" w:space="0" w:color="auto"/>
            <w:right w:val="none" w:sz="0" w:space="0" w:color="auto"/>
          </w:divBdr>
        </w:div>
      </w:divsChild>
    </w:div>
    <w:div w:id="862866802">
      <w:bodyDiv w:val="1"/>
      <w:marLeft w:val="0"/>
      <w:marRight w:val="0"/>
      <w:marTop w:val="0"/>
      <w:marBottom w:val="0"/>
      <w:divBdr>
        <w:top w:val="none" w:sz="0" w:space="0" w:color="auto"/>
        <w:left w:val="none" w:sz="0" w:space="0" w:color="auto"/>
        <w:bottom w:val="none" w:sz="0" w:space="0" w:color="auto"/>
        <w:right w:val="none" w:sz="0" w:space="0" w:color="auto"/>
      </w:divBdr>
    </w:div>
    <w:div w:id="1021128583">
      <w:bodyDiv w:val="1"/>
      <w:marLeft w:val="0"/>
      <w:marRight w:val="0"/>
      <w:marTop w:val="0"/>
      <w:marBottom w:val="0"/>
      <w:divBdr>
        <w:top w:val="none" w:sz="0" w:space="0" w:color="auto"/>
        <w:left w:val="none" w:sz="0" w:space="0" w:color="auto"/>
        <w:bottom w:val="none" w:sz="0" w:space="0" w:color="auto"/>
        <w:right w:val="none" w:sz="0" w:space="0" w:color="auto"/>
      </w:divBdr>
    </w:div>
    <w:div w:id="1053692957">
      <w:bodyDiv w:val="1"/>
      <w:marLeft w:val="0"/>
      <w:marRight w:val="0"/>
      <w:marTop w:val="0"/>
      <w:marBottom w:val="0"/>
      <w:divBdr>
        <w:top w:val="none" w:sz="0" w:space="0" w:color="auto"/>
        <w:left w:val="none" w:sz="0" w:space="0" w:color="auto"/>
        <w:bottom w:val="none" w:sz="0" w:space="0" w:color="auto"/>
        <w:right w:val="none" w:sz="0" w:space="0" w:color="auto"/>
      </w:divBdr>
    </w:div>
    <w:div w:id="1082139051">
      <w:bodyDiv w:val="1"/>
      <w:marLeft w:val="0"/>
      <w:marRight w:val="0"/>
      <w:marTop w:val="0"/>
      <w:marBottom w:val="0"/>
      <w:divBdr>
        <w:top w:val="none" w:sz="0" w:space="0" w:color="auto"/>
        <w:left w:val="none" w:sz="0" w:space="0" w:color="auto"/>
        <w:bottom w:val="none" w:sz="0" w:space="0" w:color="auto"/>
        <w:right w:val="none" w:sz="0" w:space="0" w:color="auto"/>
      </w:divBdr>
      <w:divsChild>
        <w:div w:id="510146212">
          <w:marLeft w:val="0"/>
          <w:marRight w:val="0"/>
          <w:marTop w:val="0"/>
          <w:marBottom w:val="0"/>
          <w:divBdr>
            <w:top w:val="none" w:sz="0" w:space="0" w:color="auto"/>
            <w:left w:val="none" w:sz="0" w:space="0" w:color="auto"/>
            <w:bottom w:val="none" w:sz="0" w:space="0" w:color="auto"/>
            <w:right w:val="none" w:sz="0" w:space="0" w:color="auto"/>
          </w:divBdr>
        </w:div>
      </w:divsChild>
    </w:div>
    <w:div w:id="1144618121">
      <w:bodyDiv w:val="1"/>
      <w:marLeft w:val="0"/>
      <w:marRight w:val="0"/>
      <w:marTop w:val="0"/>
      <w:marBottom w:val="0"/>
      <w:divBdr>
        <w:top w:val="none" w:sz="0" w:space="0" w:color="auto"/>
        <w:left w:val="none" w:sz="0" w:space="0" w:color="auto"/>
        <w:bottom w:val="none" w:sz="0" w:space="0" w:color="auto"/>
        <w:right w:val="none" w:sz="0" w:space="0" w:color="auto"/>
      </w:divBdr>
      <w:divsChild>
        <w:div w:id="906186209">
          <w:marLeft w:val="0"/>
          <w:marRight w:val="0"/>
          <w:marTop w:val="0"/>
          <w:marBottom w:val="0"/>
          <w:divBdr>
            <w:top w:val="none" w:sz="0" w:space="0" w:color="auto"/>
            <w:left w:val="none" w:sz="0" w:space="0" w:color="auto"/>
            <w:bottom w:val="none" w:sz="0" w:space="0" w:color="auto"/>
            <w:right w:val="none" w:sz="0" w:space="0" w:color="auto"/>
          </w:divBdr>
        </w:div>
      </w:divsChild>
    </w:div>
    <w:div w:id="1173301114">
      <w:bodyDiv w:val="1"/>
      <w:marLeft w:val="0"/>
      <w:marRight w:val="0"/>
      <w:marTop w:val="0"/>
      <w:marBottom w:val="0"/>
      <w:divBdr>
        <w:top w:val="none" w:sz="0" w:space="0" w:color="auto"/>
        <w:left w:val="none" w:sz="0" w:space="0" w:color="auto"/>
        <w:bottom w:val="none" w:sz="0" w:space="0" w:color="auto"/>
        <w:right w:val="none" w:sz="0" w:space="0" w:color="auto"/>
      </w:divBdr>
      <w:divsChild>
        <w:div w:id="1786192757">
          <w:marLeft w:val="0"/>
          <w:marRight w:val="0"/>
          <w:marTop w:val="0"/>
          <w:marBottom w:val="0"/>
          <w:divBdr>
            <w:top w:val="none" w:sz="0" w:space="0" w:color="auto"/>
            <w:left w:val="none" w:sz="0" w:space="0" w:color="auto"/>
            <w:bottom w:val="none" w:sz="0" w:space="0" w:color="auto"/>
            <w:right w:val="none" w:sz="0" w:space="0" w:color="auto"/>
          </w:divBdr>
        </w:div>
      </w:divsChild>
    </w:div>
    <w:div w:id="1377706706">
      <w:bodyDiv w:val="1"/>
      <w:marLeft w:val="0"/>
      <w:marRight w:val="0"/>
      <w:marTop w:val="0"/>
      <w:marBottom w:val="0"/>
      <w:divBdr>
        <w:top w:val="none" w:sz="0" w:space="0" w:color="auto"/>
        <w:left w:val="none" w:sz="0" w:space="0" w:color="auto"/>
        <w:bottom w:val="none" w:sz="0" w:space="0" w:color="auto"/>
        <w:right w:val="none" w:sz="0" w:space="0" w:color="auto"/>
      </w:divBdr>
    </w:div>
    <w:div w:id="1396276557">
      <w:bodyDiv w:val="1"/>
      <w:marLeft w:val="0"/>
      <w:marRight w:val="0"/>
      <w:marTop w:val="0"/>
      <w:marBottom w:val="0"/>
      <w:divBdr>
        <w:top w:val="none" w:sz="0" w:space="0" w:color="auto"/>
        <w:left w:val="none" w:sz="0" w:space="0" w:color="auto"/>
        <w:bottom w:val="none" w:sz="0" w:space="0" w:color="auto"/>
        <w:right w:val="none" w:sz="0" w:space="0" w:color="auto"/>
      </w:divBdr>
      <w:divsChild>
        <w:div w:id="559219114">
          <w:marLeft w:val="0"/>
          <w:marRight w:val="0"/>
          <w:marTop w:val="0"/>
          <w:marBottom w:val="0"/>
          <w:divBdr>
            <w:top w:val="none" w:sz="0" w:space="0" w:color="auto"/>
            <w:left w:val="none" w:sz="0" w:space="0" w:color="auto"/>
            <w:bottom w:val="none" w:sz="0" w:space="0" w:color="auto"/>
            <w:right w:val="none" w:sz="0" w:space="0" w:color="auto"/>
          </w:divBdr>
        </w:div>
      </w:divsChild>
    </w:div>
    <w:div w:id="1459834669">
      <w:bodyDiv w:val="1"/>
      <w:marLeft w:val="0"/>
      <w:marRight w:val="0"/>
      <w:marTop w:val="0"/>
      <w:marBottom w:val="0"/>
      <w:divBdr>
        <w:top w:val="none" w:sz="0" w:space="0" w:color="auto"/>
        <w:left w:val="none" w:sz="0" w:space="0" w:color="auto"/>
        <w:bottom w:val="none" w:sz="0" w:space="0" w:color="auto"/>
        <w:right w:val="none" w:sz="0" w:space="0" w:color="auto"/>
      </w:divBdr>
    </w:div>
    <w:div w:id="1468553111">
      <w:bodyDiv w:val="1"/>
      <w:marLeft w:val="0"/>
      <w:marRight w:val="0"/>
      <w:marTop w:val="0"/>
      <w:marBottom w:val="0"/>
      <w:divBdr>
        <w:top w:val="none" w:sz="0" w:space="0" w:color="auto"/>
        <w:left w:val="none" w:sz="0" w:space="0" w:color="auto"/>
        <w:bottom w:val="none" w:sz="0" w:space="0" w:color="auto"/>
        <w:right w:val="none" w:sz="0" w:space="0" w:color="auto"/>
      </w:divBdr>
    </w:div>
    <w:div w:id="1534340953">
      <w:bodyDiv w:val="1"/>
      <w:marLeft w:val="0"/>
      <w:marRight w:val="0"/>
      <w:marTop w:val="0"/>
      <w:marBottom w:val="0"/>
      <w:divBdr>
        <w:top w:val="none" w:sz="0" w:space="0" w:color="auto"/>
        <w:left w:val="none" w:sz="0" w:space="0" w:color="auto"/>
        <w:bottom w:val="none" w:sz="0" w:space="0" w:color="auto"/>
        <w:right w:val="none" w:sz="0" w:space="0" w:color="auto"/>
      </w:divBdr>
      <w:divsChild>
        <w:div w:id="140730854">
          <w:marLeft w:val="0"/>
          <w:marRight w:val="0"/>
          <w:marTop w:val="0"/>
          <w:marBottom w:val="0"/>
          <w:divBdr>
            <w:top w:val="none" w:sz="0" w:space="0" w:color="auto"/>
            <w:left w:val="none" w:sz="0" w:space="0" w:color="auto"/>
            <w:bottom w:val="none" w:sz="0" w:space="0" w:color="auto"/>
            <w:right w:val="none" w:sz="0" w:space="0" w:color="auto"/>
          </w:divBdr>
        </w:div>
      </w:divsChild>
    </w:div>
    <w:div w:id="1540825348">
      <w:bodyDiv w:val="1"/>
      <w:marLeft w:val="0"/>
      <w:marRight w:val="0"/>
      <w:marTop w:val="0"/>
      <w:marBottom w:val="0"/>
      <w:divBdr>
        <w:top w:val="none" w:sz="0" w:space="0" w:color="auto"/>
        <w:left w:val="none" w:sz="0" w:space="0" w:color="auto"/>
        <w:bottom w:val="none" w:sz="0" w:space="0" w:color="auto"/>
        <w:right w:val="none" w:sz="0" w:space="0" w:color="auto"/>
      </w:divBdr>
      <w:divsChild>
        <w:div w:id="500047459">
          <w:marLeft w:val="0"/>
          <w:marRight w:val="0"/>
          <w:marTop w:val="0"/>
          <w:marBottom w:val="0"/>
          <w:divBdr>
            <w:top w:val="none" w:sz="0" w:space="0" w:color="auto"/>
            <w:left w:val="none" w:sz="0" w:space="0" w:color="auto"/>
            <w:bottom w:val="none" w:sz="0" w:space="0" w:color="auto"/>
            <w:right w:val="none" w:sz="0" w:space="0" w:color="auto"/>
          </w:divBdr>
        </w:div>
      </w:divsChild>
    </w:div>
    <w:div w:id="1544555432">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72688787">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10042043">
      <w:bodyDiv w:val="1"/>
      <w:marLeft w:val="0"/>
      <w:marRight w:val="0"/>
      <w:marTop w:val="0"/>
      <w:marBottom w:val="0"/>
      <w:divBdr>
        <w:top w:val="none" w:sz="0" w:space="0" w:color="auto"/>
        <w:left w:val="none" w:sz="0" w:space="0" w:color="auto"/>
        <w:bottom w:val="none" w:sz="0" w:space="0" w:color="auto"/>
        <w:right w:val="none" w:sz="0" w:space="0" w:color="auto"/>
      </w:divBdr>
    </w:div>
    <w:div w:id="1610775780">
      <w:bodyDiv w:val="1"/>
      <w:marLeft w:val="0"/>
      <w:marRight w:val="0"/>
      <w:marTop w:val="0"/>
      <w:marBottom w:val="0"/>
      <w:divBdr>
        <w:top w:val="none" w:sz="0" w:space="0" w:color="auto"/>
        <w:left w:val="none" w:sz="0" w:space="0" w:color="auto"/>
        <w:bottom w:val="none" w:sz="0" w:space="0" w:color="auto"/>
        <w:right w:val="none" w:sz="0" w:space="0" w:color="auto"/>
      </w:divBdr>
      <w:divsChild>
        <w:div w:id="1957636141">
          <w:marLeft w:val="0"/>
          <w:marRight w:val="0"/>
          <w:marTop w:val="0"/>
          <w:marBottom w:val="0"/>
          <w:divBdr>
            <w:top w:val="none" w:sz="0" w:space="0" w:color="auto"/>
            <w:left w:val="none" w:sz="0" w:space="0" w:color="auto"/>
            <w:bottom w:val="none" w:sz="0" w:space="0" w:color="auto"/>
            <w:right w:val="none" w:sz="0" w:space="0" w:color="auto"/>
          </w:divBdr>
        </w:div>
      </w:divsChild>
    </w:div>
    <w:div w:id="1694453669">
      <w:bodyDiv w:val="1"/>
      <w:marLeft w:val="0"/>
      <w:marRight w:val="0"/>
      <w:marTop w:val="0"/>
      <w:marBottom w:val="0"/>
      <w:divBdr>
        <w:top w:val="none" w:sz="0" w:space="0" w:color="auto"/>
        <w:left w:val="none" w:sz="0" w:space="0" w:color="auto"/>
        <w:bottom w:val="none" w:sz="0" w:space="0" w:color="auto"/>
        <w:right w:val="none" w:sz="0" w:space="0" w:color="auto"/>
      </w:divBdr>
    </w:div>
    <w:div w:id="1783572153">
      <w:bodyDiv w:val="1"/>
      <w:marLeft w:val="0"/>
      <w:marRight w:val="0"/>
      <w:marTop w:val="0"/>
      <w:marBottom w:val="0"/>
      <w:divBdr>
        <w:top w:val="none" w:sz="0" w:space="0" w:color="auto"/>
        <w:left w:val="none" w:sz="0" w:space="0" w:color="auto"/>
        <w:bottom w:val="none" w:sz="0" w:space="0" w:color="auto"/>
        <w:right w:val="none" w:sz="0" w:space="0" w:color="auto"/>
      </w:divBdr>
      <w:divsChild>
        <w:div w:id="525605946">
          <w:marLeft w:val="0"/>
          <w:marRight w:val="0"/>
          <w:marTop w:val="0"/>
          <w:marBottom w:val="0"/>
          <w:divBdr>
            <w:top w:val="none" w:sz="0" w:space="0" w:color="auto"/>
            <w:left w:val="none" w:sz="0" w:space="0" w:color="auto"/>
            <w:bottom w:val="none" w:sz="0" w:space="0" w:color="auto"/>
            <w:right w:val="none" w:sz="0" w:space="0" w:color="auto"/>
          </w:divBdr>
        </w:div>
      </w:divsChild>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56574986">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81375321">
      <w:bodyDiv w:val="1"/>
      <w:marLeft w:val="0"/>
      <w:marRight w:val="0"/>
      <w:marTop w:val="0"/>
      <w:marBottom w:val="0"/>
      <w:divBdr>
        <w:top w:val="none" w:sz="0" w:space="0" w:color="auto"/>
        <w:left w:val="none" w:sz="0" w:space="0" w:color="auto"/>
        <w:bottom w:val="none" w:sz="0" w:space="0" w:color="auto"/>
        <w:right w:val="none" w:sz="0" w:space="0" w:color="auto"/>
      </w:divBdr>
    </w:div>
    <w:div w:id="1987737725">
      <w:bodyDiv w:val="1"/>
      <w:marLeft w:val="0"/>
      <w:marRight w:val="0"/>
      <w:marTop w:val="0"/>
      <w:marBottom w:val="0"/>
      <w:divBdr>
        <w:top w:val="none" w:sz="0" w:space="0" w:color="auto"/>
        <w:left w:val="none" w:sz="0" w:space="0" w:color="auto"/>
        <w:bottom w:val="none" w:sz="0" w:space="0" w:color="auto"/>
        <w:right w:val="none" w:sz="0" w:space="0" w:color="auto"/>
      </w:divBdr>
      <w:divsChild>
        <w:div w:id="1592199362">
          <w:marLeft w:val="0"/>
          <w:marRight w:val="0"/>
          <w:marTop w:val="0"/>
          <w:marBottom w:val="0"/>
          <w:divBdr>
            <w:top w:val="none" w:sz="0" w:space="0" w:color="auto"/>
            <w:left w:val="none" w:sz="0" w:space="0" w:color="auto"/>
            <w:bottom w:val="none" w:sz="0" w:space="0" w:color="auto"/>
            <w:right w:val="none" w:sz="0" w:space="0" w:color="auto"/>
          </w:divBdr>
        </w:div>
      </w:divsChild>
    </w:div>
    <w:div w:id="2002193188">
      <w:bodyDiv w:val="1"/>
      <w:marLeft w:val="0"/>
      <w:marRight w:val="0"/>
      <w:marTop w:val="0"/>
      <w:marBottom w:val="0"/>
      <w:divBdr>
        <w:top w:val="none" w:sz="0" w:space="0" w:color="auto"/>
        <w:left w:val="none" w:sz="0" w:space="0" w:color="auto"/>
        <w:bottom w:val="none" w:sz="0" w:space="0" w:color="auto"/>
        <w:right w:val="none" w:sz="0" w:space="0" w:color="auto"/>
      </w:divBdr>
    </w:div>
    <w:div w:id="2046564826">
      <w:bodyDiv w:val="1"/>
      <w:marLeft w:val="0"/>
      <w:marRight w:val="0"/>
      <w:marTop w:val="0"/>
      <w:marBottom w:val="0"/>
      <w:divBdr>
        <w:top w:val="none" w:sz="0" w:space="0" w:color="auto"/>
        <w:left w:val="none" w:sz="0" w:space="0" w:color="auto"/>
        <w:bottom w:val="none" w:sz="0" w:space="0" w:color="auto"/>
        <w:right w:val="none" w:sz="0" w:space="0" w:color="auto"/>
      </w:divBdr>
    </w:div>
    <w:div w:id="2047174549">
      <w:bodyDiv w:val="1"/>
      <w:marLeft w:val="0"/>
      <w:marRight w:val="0"/>
      <w:marTop w:val="0"/>
      <w:marBottom w:val="0"/>
      <w:divBdr>
        <w:top w:val="none" w:sz="0" w:space="0" w:color="auto"/>
        <w:left w:val="none" w:sz="0" w:space="0" w:color="auto"/>
        <w:bottom w:val="none" w:sz="0" w:space="0" w:color="auto"/>
        <w:right w:val="none" w:sz="0" w:space="0" w:color="auto"/>
      </w:divBdr>
    </w:div>
    <w:div w:id="2109422803">
      <w:bodyDiv w:val="1"/>
      <w:marLeft w:val="0"/>
      <w:marRight w:val="0"/>
      <w:marTop w:val="0"/>
      <w:marBottom w:val="0"/>
      <w:divBdr>
        <w:top w:val="none" w:sz="0" w:space="0" w:color="auto"/>
        <w:left w:val="none" w:sz="0" w:space="0" w:color="auto"/>
        <w:bottom w:val="none" w:sz="0" w:space="0" w:color="auto"/>
        <w:right w:val="none" w:sz="0" w:space="0" w:color="auto"/>
      </w:divBdr>
    </w:div>
    <w:div w:id="211304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303/CET197706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reativecommons.org/licenses/by-nc-sa/4.0/" TargetMode="External"/><Relationship Id="rId4" Type="http://schemas.microsoft.com/office/2007/relationships/stylesWithEffects" Target="stylesWithEffects.xml"/><Relationship Id="rId9" Type="http://schemas.openxmlformats.org/officeDocument/2006/relationships/hyperlink" Target="mailto:friskaharahap@unimed.ac.i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2813\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415EC-805F-4687-AB30-1ABF081B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93</TotalTime>
  <Pages>11</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frischa indria Harahap</dc:creator>
  <cp:keywords/>
  <dc:description/>
  <cp:lastModifiedBy>User</cp:lastModifiedBy>
  <cp:revision>9</cp:revision>
  <cp:lastPrinted>2022-03-12T14:54:00Z</cp:lastPrinted>
  <dcterms:created xsi:type="dcterms:W3CDTF">2024-05-15T09:42:00Z</dcterms:created>
  <dcterms:modified xsi:type="dcterms:W3CDTF">2024-05-22T21:40:00Z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ZOTERO_PREF_1">
    <vt:lpwstr>&lt;data data-version="3" zotero-version="6.0.36"&gt;&lt;session id="cHt62I3l"/&gt;&lt;style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