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27FD" w14:textId="1E95A1B8" w:rsidR="008E64A2" w:rsidRPr="00A75CB1" w:rsidRDefault="003B6377" w:rsidP="00727D5A">
      <w:pPr>
        <w:pStyle w:val="Alishlah12title"/>
      </w:pPr>
      <w:r>
        <w:t>Constructive Alig</w:t>
      </w:r>
      <w:r w:rsidR="00FB210D">
        <w:t>n</w:t>
      </w:r>
      <w:r>
        <w:t xml:space="preserve">ment of  Islamic Education  Curriculum in Doctoral Program </w:t>
      </w:r>
      <w:r w:rsidR="005027AD">
        <w:t xml:space="preserve">at </w:t>
      </w:r>
      <w:r>
        <w:t>Sunan Kalijaga Yogyakarta</w:t>
      </w:r>
    </w:p>
    <w:p w14:paraId="2B58D9D9" w14:textId="50313198" w:rsidR="00BE398A" w:rsidRPr="007E6AA6" w:rsidRDefault="003B6377" w:rsidP="002C57D4">
      <w:pPr>
        <w:pStyle w:val="Alishlah13authornames"/>
        <w:rPr>
          <w:vertAlign w:val="superscript"/>
          <w:lang w:val="en-GB"/>
        </w:rPr>
      </w:pPr>
      <w:r>
        <w:rPr>
          <w:lang w:val="en-GB"/>
        </w:rPr>
        <w:t>Aida Hayani</w:t>
      </w:r>
      <w:r w:rsidR="007E6AA6">
        <w:rPr>
          <w:vertAlign w:val="superscript"/>
          <w:lang w:val="en-GB"/>
        </w:rPr>
        <w:t>1</w:t>
      </w:r>
      <w:r w:rsidR="007E6AA6" w:rsidRPr="007E6AA6">
        <w:rPr>
          <w:lang w:val="en-GB"/>
        </w:rPr>
        <w:t xml:space="preserve">, </w:t>
      </w:r>
      <w:r>
        <w:rPr>
          <w:lang w:val="en-GB"/>
        </w:rPr>
        <w:t>Sutrisno</w:t>
      </w:r>
      <w:r w:rsidR="007E6AA6">
        <w:rPr>
          <w:vertAlign w:val="superscript"/>
          <w:lang w:val="en-GB"/>
        </w:rPr>
        <w:t>2</w:t>
      </w:r>
      <w:r>
        <w:rPr>
          <w:vertAlign w:val="superscript"/>
          <w:lang w:val="en-GB"/>
        </w:rPr>
        <w:t xml:space="preserve">  , </w:t>
      </w:r>
      <w:r>
        <w:rPr>
          <w:lang w:val="en-GB"/>
        </w:rPr>
        <w:t>Sukiman</w:t>
      </w:r>
      <w:r>
        <w:rPr>
          <w:vertAlign w:val="superscript"/>
          <w:lang w:val="en-GB"/>
        </w:rPr>
        <w:t>2</w:t>
      </w:r>
    </w:p>
    <w:p w14:paraId="6835667C" w14:textId="616A8255" w:rsidR="00FB210D" w:rsidRDefault="00BE398A" w:rsidP="00FB210D">
      <w:pPr>
        <w:pStyle w:val="Alishlah16affiliation"/>
        <w:rPr>
          <w:color w:val="auto"/>
          <w:lang w:val="en-GB"/>
        </w:rPr>
      </w:pPr>
      <w:r w:rsidRPr="00A75CB1">
        <w:rPr>
          <w:color w:val="auto"/>
          <w:vertAlign w:val="superscript"/>
          <w:lang w:val="en-GB"/>
        </w:rPr>
        <w:t>1</w:t>
      </w:r>
      <w:r w:rsidRPr="00A75CB1">
        <w:rPr>
          <w:color w:val="auto"/>
          <w:lang w:val="en-GB"/>
        </w:rPr>
        <w:tab/>
      </w:r>
      <w:r w:rsidR="00FB210D">
        <w:rPr>
          <w:color w:val="auto"/>
          <w:lang w:val="en-GB"/>
        </w:rPr>
        <w:t>Universitas Alma Ata Yogyakarta</w:t>
      </w:r>
      <w:r w:rsidR="002B31FD" w:rsidRPr="002B31FD">
        <w:rPr>
          <w:color w:val="auto"/>
          <w:lang w:val="en-GB"/>
        </w:rPr>
        <w:t xml:space="preserve">; </w:t>
      </w:r>
      <w:hyperlink r:id="rId8" w:history="1">
        <w:r w:rsidR="00FB210D" w:rsidRPr="00FA2AF3">
          <w:rPr>
            <w:rStyle w:val="Hyperlink"/>
            <w:lang w:val="en-GB"/>
          </w:rPr>
          <w:t>aidaalmahira@yahoo.com</w:t>
        </w:r>
      </w:hyperlink>
      <w:r w:rsidR="00FB210D">
        <w:rPr>
          <w:color w:val="auto"/>
          <w:lang w:val="en-GB"/>
        </w:rPr>
        <w:t xml:space="preserve">  </w:t>
      </w:r>
    </w:p>
    <w:p w14:paraId="396E5A21" w14:textId="43D68652"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3B6377">
        <w:rPr>
          <w:color w:val="auto"/>
          <w:lang w:val="en-GB"/>
        </w:rPr>
        <w:t xml:space="preserve">UIN Sunan Kalijaga Yogyakarta </w:t>
      </w:r>
      <w:r w:rsidR="002B31FD" w:rsidRPr="002B31FD">
        <w:rPr>
          <w:color w:val="auto"/>
          <w:lang w:val="en-GB"/>
        </w:rPr>
        <w:t xml:space="preserve">; </w:t>
      </w:r>
      <w:hyperlink r:id="rId9" w:history="1">
        <w:r w:rsidR="003B6377" w:rsidRPr="00FA2AF3">
          <w:rPr>
            <w:rStyle w:val="Hyperlink"/>
            <w:lang w:val="en-GB"/>
          </w:rPr>
          <w:t>trisno63@yahoo.com</w:t>
        </w:r>
      </w:hyperlink>
    </w:p>
    <w:p w14:paraId="4C7143B0" w14:textId="2F998534" w:rsidR="00FB210D" w:rsidRDefault="00FB210D" w:rsidP="00FB210D">
      <w:pPr>
        <w:pStyle w:val="Alishlah16affiliation"/>
        <w:rPr>
          <w:color w:val="auto"/>
          <w:lang w:val="en-GB"/>
        </w:rPr>
      </w:pPr>
      <w:r>
        <w:rPr>
          <w:color w:val="auto"/>
          <w:vertAlign w:val="superscript"/>
          <w:lang w:val="en-GB"/>
        </w:rPr>
        <w:t>3</w:t>
      </w:r>
      <w:r w:rsidRPr="00A75CB1">
        <w:rPr>
          <w:color w:val="auto"/>
          <w:lang w:val="en-GB"/>
        </w:rPr>
        <w:tab/>
      </w:r>
      <w:r>
        <w:rPr>
          <w:color w:val="auto"/>
          <w:lang w:val="en-GB"/>
        </w:rPr>
        <w:t xml:space="preserve">UIN Sunan Kalijaga Yogyakarta </w:t>
      </w:r>
      <w:r w:rsidRPr="002B31FD">
        <w:rPr>
          <w:color w:val="auto"/>
          <w:lang w:val="en-GB"/>
        </w:rPr>
        <w:t xml:space="preserve">; </w:t>
      </w:r>
      <w:hyperlink r:id="rId10" w:history="1">
        <w:r w:rsidRPr="00FA2AF3">
          <w:rPr>
            <w:rStyle w:val="Hyperlink"/>
            <w:lang w:val="en-GB"/>
          </w:rPr>
          <w:t>Sukiman@uin-suka.ac.id</w:t>
        </w:r>
      </w:hyperlink>
    </w:p>
    <w:p w14:paraId="03DFF937" w14:textId="77777777" w:rsidR="00FB210D" w:rsidRDefault="00FB210D" w:rsidP="00FB210D">
      <w:pPr>
        <w:pStyle w:val="Alishlah16affiliation"/>
        <w:rPr>
          <w:color w:val="auto"/>
          <w:lang w:val="en-GB"/>
        </w:rPr>
      </w:pPr>
    </w:p>
    <w:p w14:paraId="17EBCF02" w14:textId="77777777" w:rsidR="00FB210D" w:rsidRDefault="00FB210D" w:rsidP="00784B9B">
      <w:pPr>
        <w:pStyle w:val="Alishlah16affiliation"/>
        <w:rPr>
          <w:color w:val="auto"/>
          <w:lang w:val="en-GB"/>
        </w:rPr>
      </w:pPr>
    </w:p>
    <w:p w14:paraId="7638755A" w14:textId="77777777" w:rsidR="003B6377" w:rsidRDefault="003B6377" w:rsidP="00784B9B">
      <w:pPr>
        <w:pStyle w:val="Alishlah16affiliation"/>
        <w:rPr>
          <w:color w:val="auto"/>
          <w:lang w:val="en-GB"/>
        </w:rPr>
      </w:pPr>
    </w:p>
    <w:p w14:paraId="59847CC7"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BD38DC3" w14:textId="77777777" w:rsidTr="0048254D">
        <w:trPr>
          <w:jc w:val="center"/>
        </w:trPr>
        <w:tc>
          <w:tcPr>
            <w:tcW w:w="2787" w:type="dxa"/>
            <w:tcBorders>
              <w:top w:val="double" w:sz="4" w:space="0" w:color="auto"/>
              <w:left w:val="nil"/>
              <w:bottom w:val="single" w:sz="4" w:space="0" w:color="auto"/>
              <w:right w:val="nil"/>
            </w:tcBorders>
          </w:tcPr>
          <w:p w14:paraId="4AB3C17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D1311DB"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0FA0EDE8"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6B6658E" w14:textId="77777777" w:rsidTr="0048254D">
        <w:trPr>
          <w:trHeight w:val="1268"/>
          <w:jc w:val="center"/>
        </w:trPr>
        <w:tc>
          <w:tcPr>
            <w:tcW w:w="2787" w:type="dxa"/>
            <w:tcBorders>
              <w:top w:val="single" w:sz="4" w:space="0" w:color="auto"/>
              <w:left w:val="nil"/>
              <w:bottom w:val="single" w:sz="4" w:space="0" w:color="auto"/>
              <w:right w:val="nil"/>
            </w:tcBorders>
          </w:tcPr>
          <w:p w14:paraId="6DF23952"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008DE392" w14:textId="3CDA8019" w:rsidR="002B31FD" w:rsidRDefault="00DC4733" w:rsidP="00290481">
            <w:pPr>
              <w:pStyle w:val="Alishlah18keywords"/>
            </w:pPr>
            <w:r>
              <w:t>Curriculum</w:t>
            </w:r>
            <w:r w:rsidR="002B31FD" w:rsidRPr="002B31FD">
              <w:t xml:space="preserve">; </w:t>
            </w:r>
          </w:p>
          <w:p w14:paraId="5E60175A" w14:textId="188CC73D" w:rsidR="002B31FD" w:rsidRDefault="00DC4733" w:rsidP="00290481">
            <w:pPr>
              <w:pStyle w:val="Alishlah18keywords"/>
            </w:pPr>
            <w:r>
              <w:t>Islamic Education</w:t>
            </w:r>
            <w:r w:rsidR="002B31FD" w:rsidRPr="002B31FD">
              <w:t xml:space="preserve">; </w:t>
            </w:r>
          </w:p>
          <w:p w14:paraId="276CC432" w14:textId="6ABE957D" w:rsidR="002B31FD" w:rsidRDefault="00DC4733" w:rsidP="00290481">
            <w:pPr>
              <w:pStyle w:val="Alishlah18keywords"/>
            </w:pPr>
            <w:r>
              <w:t>Learning Outcome</w:t>
            </w:r>
          </w:p>
          <w:p w14:paraId="12AF71B5" w14:textId="77777777" w:rsidR="002B31FD" w:rsidRDefault="002B31FD" w:rsidP="00290481">
            <w:pPr>
              <w:pStyle w:val="Alishlah18keywords"/>
            </w:pPr>
          </w:p>
          <w:p w14:paraId="042ACD58" w14:textId="77777777" w:rsidR="0048254D" w:rsidRDefault="0048254D" w:rsidP="00DC4733">
            <w:pPr>
              <w:pStyle w:val="Alishlah18keywords"/>
            </w:pPr>
          </w:p>
          <w:p w14:paraId="1C53BCCA" w14:textId="77777777" w:rsidR="00DC4733" w:rsidRDefault="00DC4733" w:rsidP="00DC4733">
            <w:pPr>
              <w:rPr>
                <w:lang w:eastAsia="de-DE" w:bidi="en-US"/>
              </w:rPr>
            </w:pPr>
          </w:p>
          <w:p w14:paraId="633A0709" w14:textId="791456D2" w:rsidR="00DC4733" w:rsidRPr="00DC4733" w:rsidRDefault="00DC4733" w:rsidP="00DC4733">
            <w:pPr>
              <w:rPr>
                <w:lang w:eastAsia="de-DE" w:bidi="en-US"/>
              </w:rPr>
            </w:pPr>
          </w:p>
        </w:tc>
        <w:tc>
          <w:tcPr>
            <w:tcW w:w="282" w:type="dxa"/>
            <w:vMerge w:val="restart"/>
            <w:tcBorders>
              <w:top w:val="nil"/>
              <w:left w:val="nil"/>
              <w:bottom w:val="nil"/>
              <w:right w:val="nil"/>
            </w:tcBorders>
          </w:tcPr>
          <w:p w14:paraId="442CC899"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051877BE" w14:textId="657753F7" w:rsidR="00DC4733" w:rsidRPr="00DC4733" w:rsidRDefault="00DC4733" w:rsidP="00DC4733">
            <w:pPr>
              <w:pStyle w:val="Alishlah17abstract"/>
              <w:rPr>
                <w:rFonts w:asciiTheme="minorHAnsi" w:hAnsiTheme="minorHAnsi" w:cstheme="minorHAnsi"/>
              </w:rPr>
            </w:pPr>
            <w:r w:rsidRPr="00DC4733">
              <w:rPr>
                <w:rFonts w:asciiTheme="minorHAnsi" w:hAnsiTheme="minorHAnsi" w:cstheme="minorHAnsi"/>
              </w:rPr>
              <w:t xml:space="preserve">One of the problems faced by the Islamic Religious Education Doctoral Program (PAI) at UIN Sunan Kalijaga is curriculum issues. Where the curriculum must be designed to be research-oriented with an inter, multi and transdisciplinary approach to find solutions to various PAI problems, so as to gain recognition both nationally and internationally. </w:t>
            </w:r>
            <w:r w:rsidRPr="00DC4733">
              <w:rPr>
                <w:rFonts w:asciiTheme="minorHAnsi" w:hAnsiTheme="minorHAnsi" w:cstheme="minorHAnsi"/>
                <w:shd w:val="clear" w:color="auto" w:fill="FFFFFF"/>
              </w:rPr>
              <w:t xml:space="preserve">The purpose of this research is to increase knowledge and understanding regarding the Curriculum Design of the PAI Doctoral Program to anticipate </w:t>
            </w:r>
            <w:r w:rsidRPr="00DC4733">
              <w:rPr>
                <w:rFonts w:asciiTheme="minorHAnsi" w:hAnsiTheme="minorHAnsi" w:cstheme="minorHAnsi"/>
              </w:rPr>
              <w:t>various PAI problems. The method used is a field study, this study aims to reveal the curriculum design of the PAI doctoral study program at UIN Sunan Kalijaga. Data collection was carried out by in-depth interviews with Head of Study Program, Head of LPM, Dean and Students. Results The researchers found that the curriculum design in the PAI Doctoral Program was in accordance with the procedures and mechanisms of curriculum design referring to the KKNI. That is, starting from the formulation of learning outcomes, the substance of the study materials to courses, learning designs and assessment designs but the construction aligment of the profile of Doctrol Programe, the description of level 9 in the KKNI, Study Materials and the determination of courses is still not appropriate, That will be affect to the quality of Doctoral Student’s in UIN Sunan Kalijaga</w:t>
            </w:r>
          </w:p>
        </w:tc>
      </w:tr>
      <w:tr w:rsidR="0048254D" w:rsidRPr="0048254D" w14:paraId="27E07247"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6E62AE88"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5ACE8F37" w14:textId="1C27958F" w:rsidR="0048254D" w:rsidRPr="006A6719" w:rsidRDefault="0048254D" w:rsidP="00E45249">
            <w:pPr>
              <w:pStyle w:val="Alishlah14history"/>
            </w:pPr>
            <w:r w:rsidRPr="006A6719">
              <w:t xml:space="preserve">Received </w:t>
            </w:r>
          </w:p>
          <w:p w14:paraId="41591BE7" w14:textId="1652773D" w:rsidR="0048254D" w:rsidRPr="006A6719" w:rsidRDefault="0048254D" w:rsidP="00E45249">
            <w:pPr>
              <w:pStyle w:val="Alishlah14history"/>
            </w:pPr>
            <w:r w:rsidRPr="006A6719">
              <w:t xml:space="preserve">Revised </w:t>
            </w:r>
            <w:r w:rsidR="00675603" w:rsidRPr="006A6719">
              <w:tab/>
            </w:r>
          </w:p>
          <w:p w14:paraId="12904E7A" w14:textId="52BE3213" w:rsidR="0048254D" w:rsidRPr="004A39B9" w:rsidRDefault="0048254D" w:rsidP="004A39B9">
            <w:pPr>
              <w:pStyle w:val="Alishlah14history"/>
              <w:rPr>
                <w:lang w:val="en-AU"/>
              </w:rPr>
            </w:pPr>
            <w:r w:rsidRPr="006A6719">
              <w:t xml:space="preserve">Accepted </w:t>
            </w:r>
          </w:p>
        </w:tc>
        <w:tc>
          <w:tcPr>
            <w:tcW w:w="282" w:type="dxa"/>
            <w:vMerge/>
            <w:tcBorders>
              <w:top w:val="nil"/>
              <w:left w:val="nil"/>
              <w:bottom w:val="nil"/>
              <w:right w:val="nil"/>
            </w:tcBorders>
          </w:tcPr>
          <w:p w14:paraId="451F64D4"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06BEFEE"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B4D699C" w14:textId="77777777" w:rsidTr="0048254D">
        <w:trPr>
          <w:trHeight w:val="70"/>
          <w:jc w:val="center"/>
        </w:trPr>
        <w:tc>
          <w:tcPr>
            <w:tcW w:w="2787" w:type="dxa"/>
            <w:vMerge/>
            <w:tcBorders>
              <w:top w:val="single" w:sz="4" w:space="0" w:color="auto"/>
              <w:left w:val="nil"/>
              <w:bottom w:val="single" w:sz="4" w:space="0" w:color="auto"/>
              <w:right w:val="nil"/>
            </w:tcBorders>
          </w:tcPr>
          <w:p w14:paraId="688CC816"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BE4D9F7"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58AE11A"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0BEA6C6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43433420" wp14:editId="04337A08">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6A5386C" w14:textId="77777777" w:rsidTr="0048254D">
        <w:trPr>
          <w:jc w:val="center"/>
        </w:trPr>
        <w:tc>
          <w:tcPr>
            <w:tcW w:w="8845" w:type="dxa"/>
            <w:gridSpan w:val="3"/>
            <w:tcBorders>
              <w:top w:val="nil"/>
              <w:left w:val="nil"/>
              <w:bottom w:val="double" w:sz="4" w:space="0" w:color="auto"/>
              <w:right w:val="nil"/>
            </w:tcBorders>
          </w:tcPr>
          <w:p w14:paraId="23D9565F"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3D3460A" w14:textId="000320E1" w:rsidR="00457015" w:rsidRDefault="003D1450" w:rsidP="00E45249">
            <w:pPr>
              <w:pStyle w:val="Alishlah2authorcorrespondence"/>
            </w:pPr>
            <w:r>
              <w:t>Aida Hayani</w:t>
            </w:r>
          </w:p>
          <w:p w14:paraId="3B32CB12" w14:textId="02FCAAB8" w:rsidR="0048254D" w:rsidRPr="0048254D" w:rsidRDefault="003D1450" w:rsidP="00E45249">
            <w:pPr>
              <w:pStyle w:val="Alishlah2authorcorrespondence"/>
            </w:pPr>
            <w:r>
              <w:rPr>
                <w:color w:val="auto"/>
                <w:lang w:val="en-GB"/>
              </w:rPr>
              <w:t>Universitas Alma Ata</w:t>
            </w:r>
            <w:r w:rsidR="002B31FD" w:rsidRPr="002B31FD">
              <w:rPr>
                <w:color w:val="auto"/>
                <w:lang w:val="en-GB"/>
              </w:rPr>
              <w:t xml:space="preserve">; </w:t>
            </w:r>
            <w:hyperlink r:id="rId13" w:history="1">
              <w:r w:rsidRPr="00FA2AF3">
                <w:rPr>
                  <w:rStyle w:val="Hyperlink"/>
                  <w:lang w:val="en-GB"/>
                </w:rPr>
                <w:t>a</w:t>
              </w:r>
              <w:r w:rsidRPr="00FA2AF3">
                <w:rPr>
                  <w:rStyle w:val="Hyperlink"/>
                </w:rPr>
                <w:t>idaalmahira@yahoo</w:t>
              </w:r>
              <w:r w:rsidRPr="00FA2AF3">
                <w:rPr>
                  <w:rStyle w:val="Hyperlink"/>
                  <w:lang w:val="en-GB"/>
                </w:rPr>
                <w:t>.com</w:t>
              </w:r>
            </w:hyperlink>
          </w:p>
        </w:tc>
      </w:tr>
    </w:tbl>
    <w:p w14:paraId="5E787C6A" w14:textId="65AEE7BC" w:rsidR="004C24AE" w:rsidRPr="00CC74BB" w:rsidRDefault="0048254D" w:rsidP="00CC74BB">
      <w:pPr>
        <w:pStyle w:val="Alishlah21heading1"/>
        <w:rPr>
          <w:lang w:val="en-GB"/>
        </w:rPr>
      </w:pPr>
      <w:r w:rsidRPr="00A75CB1">
        <w:rPr>
          <w:lang w:val="en-GB"/>
        </w:rPr>
        <w:t>INTRODUCTION</w:t>
      </w:r>
    </w:p>
    <w:p w14:paraId="20911509" w14:textId="77777777" w:rsidR="004C24AE" w:rsidRPr="00CC74BB" w:rsidRDefault="004C24AE" w:rsidP="004C24AE">
      <w:pPr>
        <w:pStyle w:val="Alishlah31text"/>
        <w:rPr>
          <w:szCs w:val="20"/>
        </w:rPr>
      </w:pPr>
      <w:r w:rsidRPr="00CC74BB">
        <w:rPr>
          <w:szCs w:val="20"/>
        </w:rPr>
        <w:t xml:space="preserve">The curriculum has an important position in the education system, including the Islamic Religious Education Doctoral Study Program (PAI). The curriculum determines what, when, where and how education should be implemented (Setiawan, 2017, p. 66). </w:t>
      </w:r>
      <w:r w:rsidRPr="00CC74BB">
        <w:rPr>
          <w:szCs w:val="20"/>
          <w:lang w:val="id-ID"/>
        </w:rPr>
        <w:t>This is in line with what was expressed by Sukmadinata that the curriculum directs all forms of educational activity in order to achieve</w:t>
      </w:r>
      <w:r w:rsidRPr="00CC74BB">
        <w:rPr>
          <w:szCs w:val="20"/>
        </w:rPr>
        <w:t xml:space="preserve"> </w:t>
      </w:r>
      <w:r w:rsidRPr="00CC74BB">
        <w:rPr>
          <w:szCs w:val="20"/>
          <w:lang w:val="id-ID"/>
        </w:rPr>
        <w:t>educational goals</w:t>
      </w:r>
      <w:r w:rsidRPr="00CC74BB">
        <w:rPr>
          <w:szCs w:val="20"/>
        </w:rPr>
        <w:t xml:space="preserve"> (</w:t>
      </w:r>
      <w:r w:rsidRPr="00CC74BB">
        <w:rPr>
          <w:rFonts w:cstheme="majorBidi"/>
          <w:szCs w:val="20"/>
        </w:rPr>
        <w:t>Sukmadinata, 1988, p.4).</w:t>
      </w:r>
      <w:r w:rsidRPr="00CC74BB">
        <w:rPr>
          <w:szCs w:val="20"/>
        </w:rPr>
        <w:t xml:space="preserve">Thus, the curriculum is the core of education and has a strategic influence on all educational activities. </w:t>
      </w:r>
    </w:p>
    <w:p w14:paraId="04EC443B" w14:textId="443E7298" w:rsidR="004C24AE" w:rsidRPr="00CC74BB" w:rsidRDefault="004C24AE" w:rsidP="004C24AE">
      <w:pPr>
        <w:pStyle w:val="Alishlah31text"/>
        <w:rPr>
          <w:szCs w:val="20"/>
        </w:rPr>
      </w:pPr>
      <w:r w:rsidRPr="00CC74BB">
        <w:rPr>
          <w:szCs w:val="20"/>
        </w:rPr>
        <w:lastRenderedPageBreak/>
        <w:t>This is in line with the role of the curriculum, especially in the PAI Doctoral Study Program at UIN Sunan Kalijaga, namely responding to the development and progress of science and technology, the curriculum is required to constantly change. Curriculum changes made can be a complete change or only a partial change (Cycle, 2005, p. 17). Curriculum changes are made with the aim that the results achieved by the education system are relevant to the needs and demands of the times, one of which is the demands of job and professional qualifications.</w:t>
      </w:r>
      <w:r w:rsidRPr="00CC74BB">
        <w:rPr>
          <w:rFonts w:eastAsia="Calibri"/>
          <w:szCs w:val="20"/>
          <w:lang w:val="en-ID" w:eastAsia="en-ID"/>
        </w:rPr>
        <w:t xml:space="preserve">  (Mainsah, 2012, p.2</w:t>
      </w:r>
      <w:r w:rsidRPr="00CC74BB">
        <w:rPr>
          <w:szCs w:val="20"/>
        </w:rPr>
        <w:t>).</w:t>
      </w:r>
    </w:p>
    <w:p w14:paraId="3A48DA0F" w14:textId="1E15A091" w:rsidR="004C24AE" w:rsidRPr="00CC74BB" w:rsidRDefault="004C24AE" w:rsidP="004C24AE">
      <w:pPr>
        <w:pStyle w:val="Alishlah31text"/>
        <w:rPr>
          <w:rFonts w:cstheme="majorBidi"/>
          <w:szCs w:val="20"/>
        </w:rPr>
      </w:pPr>
      <w:r w:rsidRPr="00CC74BB">
        <w:rPr>
          <w:szCs w:val="20"/>
        </w:rPr>
        <w:t>In 2012, the Government issued Presidential Regulation Number 8 of 2012 concerning the Indonesian National Qualifications Framework (KKNI). In Article 1 paragraph (1) of the Prepres it is stated that "KKNI is a competency qualification tiering framework that can juxtapose, equalize and integrate the fields of education and the field of job training and work experience in order to provide recognition of work competencies in accordance with the structure of work in various sectors, thus determining graduate quality. ( Presidential Regulation</w:t>
      </w:r>
      <w:r w:rsidR="00CC74BB" w:rsidRPr="00CC74BB">
        <w:rPr>
          <w:szCs w:val="20"/>
        </w:rPr>
        <w:t>, 2012, p. 1</w:t>
      </w:r>
      <w:r w:rsidRPr="00CC74BB">
        <w:rPr>
          <w:szCs w:val="20"/>
        </w:rPr>
        <w:t>)</w:t>
      </w:r>
      <w:r w:rsidR="00CC74BB" w:rsidRPr="00CC74BB">
        <w:rPr>
          <w:szCs w:val="20"/>
        </w:rPr>
        <w:t>.</w:t>
      </w:r>
    </w:p>
    <w:p w14:paraId="0408E81D" w14:textId="29A2FA4C" w:rsidR="00CC74BB" w:rsidRPr="00CC74BB" w:rsidRDefault="004C24AE" w:rsidP="00CC74BB">
      <w:pPr>
        <w:spacing w:after="0"/>
        <w:ind w:firstLine="426"/>
        <w:jc w:val="both"/>
        <w:rPr>
          <w:rFonts w:ascii="Palatino Linotype" w:hAnsi="Palatino Linotype"/>
          <w:sz w:val="20"/>
          <w:szCs w:val="20"/>
        </w:rPr>
      </w:pPr>
      <w:r w:rsidRPr="00CC74BB">
        <w:rPr>
          <w:rFonts w:ascii="Palatino Linotype" w:hAnsi="Palatino Linotype"/>
          <w:sz w:val="20"/>
          <w:szCs w:val="20"/>
        </w:rPr>
        <w:t>Thus, overall, one of the keys to determining the quality of graduates of the PAI Doctoral Study Program at UIN Sunan Kalijaga Yogyakarta is a quality curriculum. A quality curriculum is a research-oriented curriculum with an inter, multi and transdisciplinary approach to find solutions to various PAI problems, thereby gaining recognition both nationally and internationally</w:t>
      </w:r>
      <w:r w:rsidR="00CC74BB" w:rsidRPr="00CC74BB">
        <w:rPr>
          <w:rFonts w:ascii="Palatino Linotype" w:hAnsi="Palatino Linotype"/>
          <w:sz w:val="20"/>
          <w:szCs w:val="20"/>
        </w:rPr>
        <w:t>.</w:t>
      </w:r>
      <w:r w:rsidR="00CC74BB">
        <w:rPr>
          <w:rFonts w:ascii="Palatino Linotype" w:hAnsi="Palatino Linotype"/>
          <w:sz w:val="20"/>
          <w:szCs w:val="20"/>
        </w:rPr>
        <w:t xml:space="preserve"> </w:t>
      </w:r>
      <w:r w:rsidRPr="00CC74BB">
        <w:rPr>
          <w:rFonts w:ascii="Palatino Linotype" w:eastAsiaTheme="minorEastAsia" w:hAnsi="Palatino Linotype"/>
          <w:kern w:val="24"/>
          <w:sz w:val="20"/>
          <w:szCs w:val="20"/>
          <w:lang w:eastAsia="id-ID"/>
        </w:rPr>
        <w:t>When referring to the KKNI, the curriculum design of the PAI Doctoral Study Program must:</w:t>
      </w:r>
      <w:r w:rsidRPr="00CC74BB">
        <w:rPr>
          <w:rFonts w:ascii="Palatino Linotype" w:hAnsi="Palatino Linotype"/>
          <w:sz w:val="20"/>
          <w:szCs w:val="20"/>
          <w:lang w:val="id-ID"/>
        </w:rPr>
        <w:t>There are several things to consider: First, developing new knowledge, technology, and or art in the field of science or professional practice through research, to produce creative, original, and tested works. Second, being able to solve problems of science, technology, and or art in their scientific field through an inter, multi or transdisciplinary approach. Third, being able to manage, lead, and develop research that is beneficial to scienc</w:t>
      </w:r>
      <w:r w:rsidR="00CC74BB" w:rsidRPr="00CC74BB">
        <w:rPr>
          <w:rFonts w:ascii="Palatino Linotype" w:hAnsi="Palatino Linotype"/>
          <w:sz w:val="20"/>
          <w:szCs w:val="20"/>
          <w:lang w:val="en-US"/>
        </w:rPr>
        <w:t xml:space="preserve">e </w:t>
      </w:r>
      <w:r w:rsidR="00CC74BB" w:rsidRPr="00CC74BB">
        <w:rPr>
          <w:rFonts w:ascii="Palatino Linotype" w:hAnsi="Palatino Linotype"/>
          <w:sz w:val="20"/>
          <w:szCs w:val="20"/>
          <w:lang w:val="id-ID"/>
        </w:rPr>
        <w:t>and the benefit of mankind, and is able to gain national and international recognition</w:t>
      </w:r>
      <w:r w:rsidR="00CC74BB" w:rsidRPr="00CC74BB">
        <w:rPr>
          <w:rFonts w:ascii="Palatino Linotype" w:hAnsi="Palatino Linotype"/>
          <w:sz w:val="20"/>
          <w:szCs w:val="20"/>
          <w:lang w:val="en-US"/>
        </w:rPr>
        <w:t xml:space="preserve"> (Sutrsino &amp; Suyadi, 2015, p.31).</w:t>
      </w:r>
    </w:p>
    <w:p w14:paraId="274606B1" w14:textId="4A13C785" w:rsidR="00CC74BB" w:rsidRPr="00CC74BB" w:rsidRDefault="00CC74BB" w:rsidP="00284A48">
      <w:pPr>
        <w:spacing w:after="0"/>
        <w:ind w:firstLine="426"/>
        <w:jc w:val="both"/>
        <w:rPr>
          <w:rFonts w:ascii="Palatino Linotype" w:eastAsia="Calibri" w:hAnsi="Palatino Linotype"/>
          <w:sz w:val="20"/>
          <w:szCs w:val="20"/>
          <w:lang w:eastAsia="en-ID"/>
        </w:rPr>
      </w:pPr>
      <w:r>
        <w:rPr>
          <w:rFonts w:ascii="Palatino Linotype" w:hAnsi="Palatino Linotype"/>
          <w:sz w:val="20"/>
          <w:szCs w:val="20"/>
        </w:rPr>
        <w:t>In fact</w:t>
      </w:r>
      <w:r w:rsidRPr="00CC74BB">
        <w:rPr>
          <w:rFonts w:ascii="Palatino Linotype" w:hAnsi="Palatino Linotype"/>
          <w:sz w:val="20"/>
          <w:szCs w:val="20"/>
        </w:rPr>
        <w:t xml:space="preserve">, the curriculum for the PAI Doctoral Study program is to realize the profile of graduates of the PAI Doctoral Program. Thus, there are several things that need to be considered at the IQF level including the profile of graduates, formulation of learning outcomes, study materials as a context for achieving CP, learning strategies to achieve and assessments to measure achievement. The formulation of learning outcomes is included in one of the National Higher Education Standards, namely the Graduate Competency Standards (SKL). </w:t>
      </w:r>
      <w:r w:rsidRPr="00CC74BB">
        <w:rPr>
          <w:rFonts w:ascii="Palatino Linotype" w:hAnsi="Palatino Linotype"/>
          <w:sz w:val="20"/>
          <w:szCs w:val="20"/>
          <w:lang w:val="en-US"/>
        </w:rPr>
        <w:t>(Sutrsino &amp; Suyadi, 2015, p.31).</w:t>
      </w:r>
      <w:r w:rsidRPr="00CC74BB">
        <w:rPr>
          <w:rFonts w:ascii="Palatino Linotype" w:hAnsi="Palatino Linotype"/>
          <w:sz w:val="20"/>
          <w:szCs w:val="20"/>
        </w:rPr>
        <w:t xml:space="preserve"> In SN-Dikti, learning outcomes consist of elements of attitude, general skills, special skills and knowledge. Elements of general attitudes and skills have been formulated in detail and listed in the SN appendix, while elements of special skills and knowledge must be formulated by a scientific association or consortium of UIN Sunan Kalijaga study programs which are characteristic of graduates of the PAI Doctoral Study Program on the campus. Based on the formulation of 'learning outcomes', the curriculum of a study program can be drawn up</w:t>
      </w:r>
      <w:r w:rsidRPr="00CC74BB">
        <w:rPr>
          <w:rFonts w:ascii="Palatino Linotype" w:eastAsia="Calibri" w:hAnsi="Palatino Linotype"/>
          <w:sz w:val="20"/>
          <w:szCs w:val="20"/>
          <w:lang w:eastAsia="en-ID"/>
        </w:rPr>
        <w:t>.</w:t>
      </w:r>
    </w:p>
    <w:p w14:paraId="35116873" w14:textId="66827F1D" w:rsidR="00CC74BB" w:rsidRPr="00CC74BB" w:rsidRDefault="00CC74BB" w:rsidP="00284A48">
      <w:pPr>
        <w:spacing w:after="0"/>
        <w:ind w:firstLine="426"/>
        <w:jc w:val="both"/>
        <w:rPr>
          <w:rFonts w:ascii="Palatino Linotype" w:hAnsi="Palatino Linotype" w:cstheme="majorBidi"/>
          <w:sz w:val="20"/>
          <w:szCs w:val="20"/>
        </w:rPr>
      </w:pPr>
      <w:r w:rsidRPr="00CC74BB">
        <w:rPr>
          <w:rFonts w:ascii="Palatino Linotype" w:hAnsi="Palatino Linotype"/>
          <w:iCs/>
          <w:sz w:val="20"/>
          <w:szCs w:val="20"/>
        </w:rPr>
        <w:t xml:space="preserve">When examined in more depth, the average PAI Doctoral Study Program student at UIN Sunan Kalijaga already has scientific writings, both articles, scientific journals, books and other works. However, the percentage is very small in one year and there are still students of the PAI Doctoral Study Program who have journals that are not yet reputable. </w:t>
      </w:r>
    </w:p>
    <w:p w14:paraId="1BB4E895" w14:textId="29CD7939" w:rsidR="004C24AE" w:rsidRPr="0061196F" w:rsidRDefault="00CC74BB" w:rsidP="0061196F">
      <w:pPr>
        <w:spacing w:after="0"/>
        <w:ind w:firstLine="426"/>
        <w:jc w:val="both"/>
        <w:rPr>
          <w:rFonts w:ascii="Palatino Linotype" w:hAnsi="Palatino Linotype"/>
          <w:iCs/>
          <w:sz w:val="20"/>
          <w:szCs w:val="20"/>
        </w:rPr>
      </w:pPr>
      <w:r w:rsidRPr="00CC74BB">
        <w:rPr>
          <w:rFonts w:ascii="Palatino Linotype" w:hAnsi="Palatino Linotype"/>
          <w:iCs/>
          <w:sz w:val="20"/>
          <w:szCs w:val="20"/>
        </w:rPr>
        <w:t>Why does this happen? The percentage of research by the PAI Doctoral Study Program students at UIN Sunan Kalijaga should be much higher, both at the national and international levels.</w:t>
      </w:r>
      <w:r w:rsidRPr="00CC74BB">
        <w:rPr>
          <w:rFonts w:ascii="Palatino Linotype" w:hAnsi="Palatino Linotype"/>
          <w:sz w:val="20"/>
          <w:szCs w:val="20"/>
        </w:rPr>
        <w:t xml:space="preserve">through inter, trans and multidisciplinary approaches. In addition, the determination of the constructive alignment (construct compatibility) of the profile of the study program graduates, the description of level 9 in the KKNI, CPL, study materials and course determination are still not appropriate and the constructive alignment (construct compatibility) of CPL, CPMK, study materials/materials, methods , and the assessment is still not in accordance with the demands of the KKNI (The 2020 UIN Sunan Kalijaga Yogyakarta Accreditation Form has been documented). </w:t>
      </w:r>
      <w:r w:rsidRPr="00CC74BB">
        <w:rPr>
          <w:rFonts w:ascii="Palatino Linotype" w:hAnsi="Palatino Linotype"/>
          <w:iCs/>
          <w:sz w:val="20"/>
          <w:szCs w:val="20"/>
        </w:rPr>
        <w:t xml:space="preserve">So this paper aims to analyze the </w:t>
      </w:r>
      <w:r w:rsidRPr="00CC74BB">
        <w:rPr>
          <w:rFonts w:ascii="Palatino Linotype" w:hAnsi="Palatino Linotype"/>
          <w:iCs/>
          <w:sz w:val="20"/>
          <w:szCs w:val="20"/>
        </w:rPr>
        <w:lastRenderedPageBreak/>
        <w:t>curriculum at the PAI Doctoral Program at UIN Sunan Kalijaga, starting from the formulation</w:t>
      </w:r>
      <w:r w:rsidRPr="00CC74BB">
        <w:rPr>
          <w:rFonts w:ascii="Palatino Linotype" w:hAnsi="Palatino Linotype"/>
          <w:i/>
          <w:sz w:val="20"/>
          <w:szCs w:val="20"/>
        </w:rPr>
        <w:t>learning outcomes</w:t>
      </w:r>
      <w:r w:rsidRPr="00CC74BB">
        <w:rPr>
          <w:rFonts w:ascii="Palatino Linotype" w:hAnsi="Palatino Linotype"/>
          <w:iCs/>
          <w:sz w:val="20"/>
          <w:szCs w:val="20"/>
        </w:rPr>
        <w:t>, the substance of the study material to the course, learning design and assessment design. The initial argument from the researcher was that the curriculum design of the PAI Doctoral Study Program was in accordance with the procedures and mechanisms referring to the KKNI starting from the formulation of learning outcomes, the substance of study materials to courses, learning designs and assessment designs</w:t>
      </w:r>
    </w:p>
    <w:p w14:paraId="5D0BB2B2" w14:textId="397013D0" w:rsidR="005B5AEC" w:rsidRDefault="002B31FD" w:rsidP="0061196F">
      <w:pPr>
        <w:pStyle w:val="Alishlah31text"/>
        <w:rPr>
          <w:rFonts w:eastAsia="SimSun"/>
          <w:spacing w:val="-2"/>
          <w:lang w:val="en-ID" w:eastAsia="zh-CN"/>
        </w:rPr>
      </w:pPr>
      <w:r w:rsidRPr="004E55A7">
        <w:rPr>
          <w:spacing w:val="-2"/>
        </w:rPr>
        <w:t>The introduction should briefly place the study in a broad context and highlight why it is important. It should define the purpose of the work and its significance. The current state of the research field should be reviewed carefully</w:t>
      </w:r>
      <w:r>
        <w:rPr>
          <w:spacing w:val="-2"/>
        </w:rPr>
        <w:t>,</w:t>
      </w:r>
      <w:r w:rsidRPr="004E55A7">
        <w:rPr>
          <w:spacing w:val="-2"/>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cited as</w:t>
      </w:r>
      <w:r>
        <w:rPr>
          <w:spacing w:val="-2"/>
        </w:rPr>
        <w:t xml:space="preserve"> </w:t>
      </w:r>
      <w:r>
        <w:rPr>
          <w:spacing w:val="-2"/>
        </w:rPr>
        <w:fldChar w:fldCharType="begin" w:fldLock="1"/>
      </w:r>
      <w:r>
        <w:rPr>
          <w:spacing w:val="-2"/>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Pr>
          <w:spacing w:val="-2"/>
        </w:rPr>
        <w:fldChar w:fldCharType="separate"/>
      </w:r>
      <w:r w:rsidRPr="00056E9C">
        <w:rPr>
          <w:noProof/>
          <w:spacing w:val="-2"/>
        </w:rPr>
        <w:t>(Kamba, 2018)</w:t>
      </w:r>
      <w:r>
        <w:rPr>
          <w:spacing w:val="-2"/>
        </w:rPr>
        <w:fldChar w:fldCharType="end"/>
      </w:r>
      <w:r>
        <w:rPr>
          <w:spacing w:val="-2"/>
        </w:rPr>
        <w:t xml:space="preserve"> or </w:t>
      </w:r>
      <w:r>
        <w:rPr>
          <w:spacing w:val="-2"/>
        </w:rPr>
        <w:fldChar w:fldCharType="begin" w:fldLock="1"/>
      </w:r>
      <w:r>
        <w:rPr>
          <w:spacing w:val="-2"/>
        </w:rPr>
        <w:instrText>ADDIN CSL_CITATION {"citationItems":[{"id":"ITEM-1","itemData":{"ISSN":"0022-4545","author":[{"dropping-particle":"","family":"Marchlewska","given":"Marta","non-dropping-particle":"","parse-names":false,"suffix":""},{"dropping-particle":"","family":"Cichocka","given":"Aleksandra","non-dropping-particle":"","parse-names":false,"suffix":""},{"dropping-particle":"","family":"Łozowski","given":"Filip","non-dropping-particle":"","parse-names":false,"suffix":""},{"dropping-particle":"","family":"Górska","given":"Paulina","non-dropping-particle":"","parse-names":false,"suffix":""},{"dropping-particle":"","family":"Winiewski","given":"Mikołaj","non-dropping-particle":"","parse-names":false,"suffix":""}],"container-title":"The Journal of social psychology","id":"ITEM-1","issue":"6","issued":{"date-parts":[["2019"]]},"page":"766--779","publisher":"Taylor &amp; Francis","title":"In search of an imaginary enemy: Catholic collective narcissism and the endorsement of gender conspiracy beliefs","type":"article-journal","volume":"159"},"uris":["http://www.mendeley.com/documents/?uuid=8c3e5bef-3ca2-4289-bfab-ab4daf9d2165"]}],"mendeley":{"formattedCitation":"(Marchlewska et al., 2019)","plainTextFormattedCitation":"(Marchlewska et al., 2019)","previouslyFormattedCitation":"(Marchlewska et al., 2019)"},"properties":{"noteIndex":0},"schema":"https://github.com/citation-style-language/schema/raw/master/csl-citation.json"}</w:instrText>
      </w:r>
      <w:r>
        <w:rPr>
          <w:spacing w:val="-2"/>
        </w:rPr>
        <w:fldChar w:fldCharType="separate"/>
      </w:r>
      <w:r w:rsidRPr="00056E9C">
        <w:rPr>
          <w:noProof/>
          <w:spacing w:val="-2"/>
        </w:rPr>
        <w:t>(Marchlewska et al., 2019)</w:t>
      </w:r>
      <w:r>
        <w:rPr>
          <w:spacing w:val="-2"/>
        </w:rPr>
        <w:fldChar w:fldCharType="end"/>
      </w:r>
      <w:r>
        <w:rPr>
          <w:spacing w:val="-2"/>
        </w:rPr>
        <w:t xml:space="preserve"> or </w:t>
      </w:r>
      <w:r>
        <w:rPr>
          <w:spacing w:val="-2"/>
        </w:rPr>
        <w:fldChar w:fldCharType="begin" w:fldLock="1"/>
      </w:r>
      <w:r>
        <w:rPr>
          <w:spacing w:val="-2"/>
        </w:rPr>
        <w:instrText>ADDIN CSL_CITATION {"citationItems":[{"id":"ITEM-1","itemData":{"ISSN":"1046-3283","author":[{"dropping-particle":"","family":"Cichocka","given":"Aleksandra","non-dropping-particle":"","parse-names":false,"suffix":""}],"container-title":"European Review of Social Psychology","id":"ITEM-1","issue":"1","issued":{"date-parts":[["2016"]]},"page":"283-317","publisher":"Taylor &amp; Francis","title":"Understanding defensive and secure in-group positivity: The role of collective narcissism","type":"article-journal","volume":"27"},"uris":["http://www.mendeley.com/documents/?uuid=698481a9-bb89-4697-ada1-a5c608d69028"]},{"id":"ITEM-2","itemData":{"author":[{"dropping-particle":"","family":"Madjid","given":"Nurcholish","non-dropping-particle":"","parse-names":false,"suffix":""}],"id":"ITEM-2","issued":{"date-parts":[["2002"]]},"publisher":"IIMaN &amp; Hikmah","publisher-place":"Jakarta","title":"Manusia Modern Mendamba Allah: Renungan Tasawuf Positif","type":"chapter"},"uris":["http://www.mendeley.com/documents/?uuid=032e9062-02ff-4e44-aa14-ffa26ce304bb"]},{"id":"ITEM-3","itemData":{"URL":"https://tirto.id/bisnis-dan-kontroversi-gerakan-indonesia-tanpa-pacaran-cK25","accessed":{"date-parts":[["2019","11","7"]]},"author":[{"dropping-particle":"","family":"Hidayat","given":"Reja","non-dropping-particle":"","parse-names":false,"suffix":""},{"dropping-particle":"","family":"Khalika","given":"Nindias Nur","non-dropping-particle":"","parse-names":false,"suffix":""}],"container-title":"tirto.id","id":"ITEM-3","issued":{"date-parts":[["2019"]]},"title":"Bisnis dan Kontroversi Gerakan Indonesia Tanpa Pacaran","type":"webpage"},"uris":["http://www.mendeley.com/documents/?uuid=c79bb6cc-b7e8-4aa1-8c36-bd259c7b10c1"]},{"id":"ITEM-4","itemData":{"author":[{"dropping-particle":"","family":"Ikhwan","given":"Munirul","non-dropping-particle":"","parse-names":false,"suffix":""}],"container-title":"Ulama, Politik, dan Narasi Kebangsaan","editor":[{"dropping-particle":"","family":"Burdah","given":"Ibnu","non-dropping-particle":"","parse-names":false,"suffix":""},{"dropping-particle":"","family":"Kailani","given":"Najib","non-dropping-particle":"","parse-names":false,"suffix":""},{"dropping-particle":"","family":"Ikhwan","given":"Munirul","non-dropping-particle":"","parse-names":false,"suffix":""}],"id":"ITEM-4","issued":{"date-parts":[["2019"]]},"publisher":"PusPIDeP","publisher-place":"Yogyakarta","title":"Ulama dan Konservatisme Islam Publik di Bandung: Islam, Politik Identitas, dan Tantangan Relasi Horizontal,” in , ed. by , ), 35–63.","type":"chapter"},"uris":["http://www.mendeley.com/documents/?uuid=2f24d9ee-92f1-4d8e-9f85-78fd2bab82dd"]}],"mendeley":{"formattedCitation":"(Cichocka, 2016; Hidayat &amp; Khalika, 2019; Ikhwan, 2019; Madjid, 2002)","plainTextFormattedCitation":"(Cichocka, 2016; Hidayat &amp; Khalika, 2019; Ikhwan, 2019; Madjid, 2002)"},"properties":{"noteIndex":0},"schema":"https://github.com/citation-style-language/schema/raw/master/csl-citation.json"}</w:instrText>
      </w:r>
      <w:r>
        <w:rPr>
          <w:spacing w:val="-2"/>
        </w:rPr>
        <w:fldChar w:fldCharType="separate"/>
      </w:r>
      <w:r w:rsidRPr="00BF0A78">
        <w:rPr>
          <w:noProof/>
          <w:spacing w:val="-2"/>
        </w:rPr>
        <w:t>(Cichocka, 2016; Hidayat &amp; Khalika, 2019; Ikhwan, 2019; Madjid, 2002)</w:t>
      </w:r>
      <w:r>
        <w:rPr>
          <w:spacing w:val="-2"/>
        </w:rPr>
        <w:fldChar w:fldCharType="end"/>
      </w:r>
      <w:r>
        <w:rPr>
          <w:spacing w:val="-2"/>
        </w:rPr>
        <w:t xml:space="preserve"> or </w:t>
      </w:r>
      <w:r>
        <w:rPr>
          <w:spacing w:val="-2"/>
        </w:rPr>
        <w:fldChar w:fldCharType="begin" w:fldLock="1"/>
      </w:r>
      <w:r>
        <w:rPr>
          <w:spacing w:val="-2"/>
        </w:rPr>
        <w:instrText>ADDIN CSL_CITATION {"citationItems":[{"id":"ITEM-1","itemData":{"ISSN":"0010-7530","author":[{"dropping-particle":"","family":"Miller","given":"Arianne E","non-dropping-particle":"","parse-names":false,"suffix":""},{"dropping-particle":"","family":"Josephs","given":"Lawrence","non-dropping-particle":"","parse-names":false,"suffix":""}],"container-title":"Contemporary Psychoanalysis","id":"ITEM-1","issue":"1","issued":{"date-parts":[["2009"]]},"page":"93-119","publisher":"Taylor &amp; Francis","title":"Whiteness as pathological narcissism","type":"article-journal","volume":"45"},"locator":"12","uris":["http://www.mendeley.com/documents/?uuid=e8c6f39e-ab7c-4d9f-890b-51449361f416"]}],"mendeley":{"formattedCitation":"(Miller &amp; Josephs, 2009, p. 12)","plainTextFormattedCitation":"(Miller &amp; Josephs, 2009, p. 12)","previouslyFormattedCitation":"(Miller &amp; Josephs, 2009, p. 12)"},"properties":{"noteIndex":0},"schema":"https://github.com/citation-style-language/schema/raw/master/csl-citation.json"}</w:instrText>
      </w:r>
      <w:r>
        <w:rPr>
          <w:spacing w:val="-2"/>
        </w:rPr>
        <w:fldChar w:fldCharType="separate"/>
      </w:r>
      <w:r w:rsidRPr="00056E9C">
        <w:rPr>
          <w:noProof/>
          <w:spacing w:val="-2"/>
        </w:rPr>
        <w:t>(Miller &amp; Josephs, 2009, p. 12)</w:t>
      </w:r>
      <w:r>
        <w:rPr>
          <w:spacing w:val="-2"/>
        </w:rPr>
        <w:fldChar w:fldCharType="end"/>
      </w:r>
      <w:r>
        <w:rPr>
          <w:spacing w:val="-2"/>
        </w:rPr>
        <w:t xml:space="preserve"> or </w:t>
      </w:r>
      <w:r w:rsidRPr="00056E9C">
        <w:rPr>
          <w:spacing w:val="-2"/>
        </w:rPr>
        <w:t>Rakhmat</w:t>
      </w:r>
      <w:r>
        <w:rPr>
          <w:spacing w:val="-2"/>
        </w:rPr>
        <w:t xml:space="preserve"> </w:t>
      </w:r>
      <w:r>
        <w:rPr>
          <w:spacing w:val="-2"/>
        </w:rPr>
        <w:fldChar w:fldCharType="begin" w:fldLock="1"/>
      </w:r>
      <w:r>
        <w:rPr>
          <w:spacing w:val="-2"/>
        </w:rPr>
        <w:instrText>ADDIN CSL_CITATION {"citationItems":[{"id":"ITEM-1","itemData":{"author":[{"dropping-particle":"","family":"Rakhmat","given":"Jalaluddin","non-dropping-particle":"","parse-names":false,"suffix":""}],"id":"ITEM-1","issued":{"date-parts":[["1989"]]},"publisher":"Mizan","publisher-place":"Bandung","title":"Islam Alternatif","type":"book"},"suppress-author":1,"uris":["http://www.mendeley.com/documents/?uuid=aba20628-b649-4a3f-9728-f40432d10dba"]}],"mendeley":{"formattedCitation":"(1989)","plainTextFormattedCitation":"(1989)","previouslyFormattedCitation":"(1989)"},"properties":{"noteIndex":0},"schema":"https://github.com/citation-style-language/schema/raw/master/csl-citation.json"}</w:instrText>
      </w:r>
      <w:r>
        <w:rPr>
          <w:spacing w:val="-2"/>
        </w:rPr>
        <w:fldChar w:fldCharType="separate"/>
      </w:r>
      <w:r w:rsidRPr="00056E9C">
        <w:rPr>
          <w:noProof/>
          <w:spacing w:val="-2"/>
        </w:rPr>
        <w:t>(1989)</w:t>
      </w:r>
      <w:r>
        <w:rPr>
          <w:spacing w:val="-2"/>
        </w:rPr>
        <w:fldChar w:fldCharType="end"/>
      </w:r>
      <w:r w:rsidRPr="004E55A7">
        <w:rPr>
          <w:spacing w:val="-2"/>
        </w:rPr>
        <w:t>. See the end of the document for further details on references.</w:t>
      </w:r>
      <w:r>
        <w:rPr>
          <w:spacing w:val="-2"/>
        </w:rPr>
        <w:t xml:space="preserve"> </w:t>
      </w:r>
      <w:r w:rsidRPr="00FF03FB">
        <w:rPr>
          <w:rFonts w:eastAsia="SimSun"/>
          <w:spacing w:val="-2"/>
          <w:lang w:val="en-ID" w:eastAsia="zh-CN"/>
        </w:rPr>
        <w:t>Technical terms should be defined. Symbols, abbreviations, and acronyms should be defined the first time they are used. All tables and figures should be cited in numerical order.</w:t>
      </w:r>
    </w:p>
    <w:p w14:paraId="24D33932" w14:textId="77777777" w:rsidR="00727D5A" w:rsidRDefault="00727D5A" w:rsidP="005B5AEC">
      <w:pPr>
        <w:pStyle w:val="Alishlah31text"/>
        <w:rPr>
          <w:rFonts w:eastAsia="SimSun"/>
          <w:spacing w:val="-2"/>
          <w:lang w:val="en-ID" w:eastAsia="zh-CN"/>
        </w:rPr>
      </w:pPr>
    </w:p>
    <w:p w14:paraId="44A9FA70" w14:textId="23154B84" w:rsidR="00D264F2" w:rsidRPr="00EB687A" w:rsidRDefault="005B5AEC" w:rsidP="00502FC8">
      <w:pPr>
        <w:pStyle w:val="Alishlah21heading1"/>
        <w:spacing w:before="0" w:after="0"/>
        <w:rPr>
          <w:rFonts w:eastAsia="Arial"/>
        </w:rPr>
      </w:pPr>
      <w:r w:rsidRPr="00723B12">
        <w:rPr>
          <w:rFonts w:eastAsia="Arial"/>
        </w:rPr>
        <w:t xml:space="preserve">METHODS </w:t>
      </w:r>
    </w:p>
    <w:p w14:paraId="3D5153A1" w14:textId="53FAFD90" w:rsidR="00D264F2" w:rsidRPr="00EB687A" w:rsidRDefault="00D264F2" w:rsidP="00502FC8">
      <w:pPr>
        <w:pStyle w:val="Alishlah31text"/>
        <w:rPr>
          <w:szCs w:val="20"/>
        </w:rPr>
      </w:pPr>
      <w:r w:rsidRPr="00EB687A">
        <w:rPr>
          <w:szCs w:val="20"/>
          <w:lang w:val="en-ID"/>
        </w:rPr>
        <w:t xml:space="preserve">This study uses qualitative research with a Field Study approach, which aims to obtain information from policy makers regarding curriculum design at UIN Sunan Kalijaga Yogyakarta. During the data collection process, researchers conducted observations, interviews and documentation. The interviews that the researchers conducted were in-depth interviews with the head of the Study Program at UIN Sunan Kalijaga, lecturers and the head of LPM. Informants were selected based on several predetermined criteria. This technique is intended so that researchers get prospective informants who are in accordance with the research problem (M. Fadlillah, 2015, p.18 ; Dawson, 2002; </w:t>
      </w:r>
      <w:r w:rsidRPr="00EB687A">
        <w:rPr>
          <w:szCs w:val="20"/>
        </w:rPr>
        <w:t>CR Kothari, 1985; Ranjit Kumar, 2005).</w:t>
      </w:r>
    </w:p>
    <w:p w14:paraId="008C72C0" w14:textId="2849C98D" w:rsidR="00EB687A" w:rsidRPr="00EB687A" w:rsidRDefault="00EB687A" w:rsidP="00EB687A">
      <w:pPr>
        <w:pStyle w:val="Subhead1"/>
        <w:tabs>
          <w:tab w:val="clear" w:pos="720"/>
          <w:tab w:val="left" w:pos="426"/>
        </w:tabs>
        <w:spacing w:line="240" w:lineRule="auto"/>
        <w:jc w:val="both"/>
        <w:outlineLvl w:val="0"/>
        <w:rPr>
          <w:rFonts w:ascii="Palatino Linotype" w:hAnsi="Palatino Linotype"/>
          <w:b w:val="0"/>
          <w:bCs w:val="0"/>
          <w:caps w:val="0"/>
          <w:sz w:val="20"/>
          <w:szCs w:val="20"/>
        </w:rPr>
      </w:pPr>
      <w:r>
        <w:rPr>
          <w:rFonts w:ascii="Palatino Linotype" w:hAnsi="Palatino Linotype"/>
          <w:b w:val="0"/>
          <w:bCs w:val="0"/>
          <w:caps w:val="0"/>
          <w:sz w:val="20"/>
          <w:szCs w:val="20"/>
        </w:rPr>
        <w:tab/>
      </w:r>
      <w:r w:rsidRPr="00EB687A">
        <w:rPr>
          <w:rFonts w:ascii="Palatino Linotype" w:hAnsi="Palatino Linotype"/>
          <w:b w:val="0"/>
          <w:bCs w:val="0"/>
          <w:caps w:val="0"/>
          <w:sz w:val="20"/>
          <w:szCs w:val="20"/>
          <w:lang w:val="en-ID"/>
        </w:rPr>
        <w:t>The informants are the people who compose the curriculum at UIN Sunan Kalijaga, such as the head of the study program, the head of the LPM and students.</w:t>
      </w:r>
    </w:p>
    <w:p w14:paraId="271AEB65" w14:textId="77777777" w:rsidR="00EB687A" w:rsidRPr="00EB687A" w:rsidRDefault="00EB687A" w:rsidP="00EB687A">
      <w:pPr>
        <w:pStyle w:val="Subhead1"/>
        <w:spacing w:line="240" w:lineRule="auto"/>
        <w:ind w:firstLine="426"/>
        <w:jc w:val="both"/>
        <w:outlineLvl w:val="0"/>
        <w:rPr>
          <w:rFonts w:ascii="Palatino Linotype" w:hAnsi="Palatino Linotype"/>
          <w:b w:val="0"/>
          <w:bCs w:val="0"/>
          <w:caps w:val="0"/>
          <w:sz w:val="20"/>
          <w:szCs w:val="20"/>
        </w:rPr>
      </w:pPr>
      <w:r w:rsidRPr="00EB687A">
        <w:rPr>
          <w:rFonts w:ascii="Palatino Linotype" w:hAnsi="Palatino Linotype"/>
          <w:b w:val="0"/>
          <w:bCs w:val="0"/>
          <w:caps w:val="0"/>
          <w:sz w:val="20"/>
          <w:szCs w:val="20"/>
        </w:rPr>
        <w:t>First, all interviews were recorded and transcribed to obtain comprehensive data. Then, all the informants were asked to share about everything related to 1) their experience in designing the PAI Doctoral Study Program curriculum at UIN Sunan Kalijaga 2) what were the obstacles experienced so far?. Then the results of the interviews were processed by qualitative analysis through three stages, namely data reduction, data presentation and data conclusion.</w:t>
      </w:r>
    </w:p>
    <w:p w14:paraId="5EDE6E9A" w14:textId="1E0050A6" w:rsidR="00EB687A" w:rsidRPr="00EB687A" w:rsidRDefault="00EB687A" w:rsidP="00EB687A">
      <w:pPr>
        <w:pStyle w:val="Alishlah31text"/>
        <w:rPr>
          <w:szCs w:val="20"/>
        </w:rPr>
      </w:pPr>
      <w:r w:rsidRPr="00EB687A">
        <w:rPr>
          <w:szCs w:val="20"/>
          <w:lang w:val="id-ID"/>
        </w:rPr>
        <w:t>In order for the research conducted to be accurate, the researcher conducted several data credibility tests. The credibility test carried out in this</w:t>
      </w:r>
      <w:r w:rsidRPr="00EB687A">
        <w:rPr>
          <w:szCs w:val="20"/>
        </w:rPr>
        <w:t xml:space="preserve"> </w:t>
      </w:r>
      <w:r w:rsidRPr="00EB687A">
        <w:rPr>
          <w:szCs w:val="20"/>
          <w:lang w:val="id-ID"/>
        </w:rPr>
        <w:t>study is triangulation on data sources, methods and theories. Source triangulation is done by checking the data obtained from different data sources</w:t>
      </w:r>
    </w:p>
    <w:p w14:paraId="0BE35FE2" w14:textId="77777777" w:rsidR="00D264F2" w:rsidRPr="00EB687A" w:rsidRDefault="00D264F2" w:rsidP="002B31FD">
      <w:pPr>
        <w:pStyle w:val="Alishlah31text"/>
        <w:rPr>
          <w:szCs w:val="20"/>
          <w:lang w:val="en-ID"/>
        </w:rPr>
      </w:pPr>
    </w:p>
    <w:p w14:paraId="11194DA5"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12C465D2" w14:textId="6C93A1D0" w:rsidR="002B31FD" w:rsidRDefault="00EB687A" w:rsidP="002B31FD">
      <w:pPr>
        <w:pStyle w:val="Alishlah31text"/>
      </w:pPr>
      <w:r>
        <w:t>Currciulum Design of Doctoral Program UIN Sunan Kalijaga Yogyakarta</w:t>
      </w:r>
    </w:p>
    <w:p w14:paraId="76B397E7" w14:textId="77777777" w:rsidR="00AC6EF0" w:rsidRPr="004841C5" w:rsidRDefault="00AC6EF0" w:rsidP="002B31FD">
      <w:pPr>
        <w:pStyle w:val="Alishlah31text"/>
      </w:pPr>
    </w:p>
    <w:p w14:paraId="1382E995" w14:textId="4408C06A" w:rsidR="002B31FD" w:rsidRDefault="002B31FD" w:rsidP="00AC6EF0">
      <w:pPr>
        <w:pStyle w:val="Alishlah22heading2"/>
        <w:spacing w:before="0" w:after="0"/>
      </w:pPr>
      <w:r w:rsidRPr="004841C5">
        <w:t xml:space="preserve">2.1. </w:t>
      </w:r>
      <w:r w:rsidR="00EB687A">
        <w:t>Learning Outcome Doctoral Program</w:t>
      </w:r>
    </w:p>
    <w:p w14:paraId="1BC54499" w14:textId="77777777" w:rsidR="00AC6EF0" w:rsidRDefault="00EB687A" w:rsidP="00AC6EF0">
      <w:pPr>
        <w:pStyle w:val="Alishlah22heading2"/>
        <w:spacing w:before="0" w:after="0"/>
        <w:jc w:val="both"/>
        <w:rPr>
          <w:b w:val="0"/>
          <w:bCs w:val="0"/>
          <w:i w:val="0"/>
          <w:iCs/>
          <w:szCs w:val="20"/>
        </w:rPr>
      </w:pPr>
      <w:r>
        <w:tab/>
      </w:r>
      <w:r w:rsidRPr="00AC6EF0">
        <w:rPr>
          <w:b w:val="0"/>
          <w:bCs w:val="0"/>
          <w:i w:val="0"/>
          <w:iCs/>
          <w:szCs w:val="20"/>
        </w:rPr>
        <w:t>Learning Outcome(LO) or the learning achievement of the PAI Doctoral Study Program in the field of general knowledge referring to the KKNI is being able to solve science, technology and or art problems in the field of Islamic education through inter, multi and transdisciplinary research (Hayani, 2018, p. 147).</w:t>
      </w:r>
    </w:p>
    <w:p w14:paraId="281A5E97" w14:textId="312574CD" w:rsidR="00AC6EF0" w:rsidRPr="00502FC8" w:rsidRDefault="00AC6EF0" w:rsidP="00A8719F">
      <w:pPr>
        <w:pStyle w:val="Alishlah22heading2"/>
        <w:spacing w:before="0" w:after="0"/>
        <w:ind w:firstLine="720"/>
        <w:jc w:val="both"/>
        <w:rPr>
          <w:rFonts w:cstheme="majorBidi"/>
          <w:b w:val="0"/>
          <w:bCs w:val="0"/>
          <w:i w:val="0"/>
          <w:iCs/>
          <w:szCs w:val="20"/>
        </w:rPr>
      </w:pPr>
      <w:r w:rsidRPr="00AC6EF0">
        <w:rPr>
          <w:b w:val="0"/>
          <w:bCs w:val="0"/>
          <w:i w:val="0"/>
          <w:iCs/>
          <w:szCs w:val="20"/>
        </w:rPr>
        <w:t xml:space="preserve">While the LO or learning outcomes of special knowledge fields, namely, mastering the paradigm and philosophy of PAI science, mastering pedagogic philosophy in PAI, mastering the paradigm and philosophy of the PAI system and theories of PAI development. The Learning Outcome </w:t>
      </w:r>
      <w:r w:rsidRPr="00AC6EF0">
        <w:rPr>
          <w:b w:val="0"/>
          <w:bCs w:val="0"/>
          <w:i w:val="0"/>
          <w:iCs/>
          <w:szCs w:val="20"/>
        </w:rPr>
        <w:lastRenderedPageBreak/>
        <w:t xml:space="preserve">(LO) analysis in this study highlights the aspects of knowledge (cognitive domain) designed by each lecturer, both learning outcomes at the university level (university learning outcomes), learning </w:t>
      </w:r>
      <w:r w:rsidRPr="00502FC8">
        <w:rPr>
          <w:b w:val="0"/>
          <w:bCs w:val="0"/>
          <w:i w:val="0"/>
          <w:iCs/>
          <w:szCs w:val="20"/>
        </w:rPr>
        <w:t>outcomes at the study program level (study learning outcome programs) and learning outcomes. at the level of lectures or courses he holds (courses learning outcomes). (</w:t>
      </w:r>
      <w:r w:rsidRPr="00502FC8">
        <w:rPr>
          <w:rFonts w:cstheme="majorBidi"/>
          <w:b w:val="0"/>
          <w:bCs w:val="0"/>
          <w:i w:val="0"/>
          <w:iCs/>
          <w:szCs w:val="20"/>
        </w:rPr>
        <w:t>Sutrisno &amp; Suyadi, 2015, p , 86)</w:t>
      </w:r>
    </w:p>
    <w:p w14:paraId="7F177C42" w14:textId="77777777" w:rsidR="00AC6EF0" w:rsidRPr="00502FC8" w:rsidRDefault="00AC6EF0" w:rsidP="00AC6EF0">
      <w:pPr>
        <w:pStyle w:val="Alishlah22heading2"/>
        <w:spacing w:before="0" w:after="0"/>
        <w:ind w:firstLine="720"/>
        <w:jc w:val="both"/>
        <w:rPr>
          <w:b w:val="0"/>
          <w:bCs w:val="0"/>
          <w:i w:val="0"/>
          <w:iCs/>
          <w:szCs w:val="20"/>
        </w:rPr>
      </w:pPr>
      <w:r w:rsidRPr="00502FC8">
        <w:rPr>
          <w:b w:val="0"/>
          <w:bCs w:val="0"/>
          <w:i w:val="0"/>
          <w:iCs/>
          <w:szCs w:val="20"/>
        </w:rPr>
        <w:t>At the level of university-level learning outcomes, researchers see from the derivation of the university's vision and mission which contains a general profile of graduates of the PAI Doctoral Study Program at UIN Sunan Kalijaga as a competitive and comparative advantage. This means that learning outcomes at the university level show more soft skills than hard skills that must be possessed by graduates of the PAI Doctoral Study Program at UIN Sunan Kaliajaga. In addition, the PAI Doctoral Study Program at UIN Sunan Kalijaga adds other abilities to its graduates, which in the format as in the competency-based curriculum are included in the classification of "supporting competencies and other competencies" or into "special competencies" in the classification of BNSP content standards.</w:t>
      </w:r>
    </w:p>
    <w:p w14:paraId="28D6FC0C" w14:textId="02867FAF" w:rsidR="00AC6EF0" w:rsidRPr="00502FC8" w:rsidRDefault="00AC6EF0" w:rsidP="00AC6EF0">
      <w:pPr>
        <w:pStyle w:val="Alishlah22heading2"/>
        <w:spacing w:before="0" w:after="0"/>
        <w:ind w:firstLine="720"/>
        <w:jc w:val="both"/>
        <w:rPr>
          <w:b w:val="0"/>
          <w:bCs w:val="0"/>
          <w:i w:val="0"/>
          <w:iCs/>
          <w:szCs w:val="20"/>
        </w:rPr>
      </w:pPr>
      <w:r w:rsidRPr="00502FC8">
        <w:rPr>
          <w:b w:val="0"/>
          <w:bCs w:val="0"/>
          <w:i w:val="0"/>
          <w:iCs/>
          <w:szCs w:val="20"/>
        </w:rPr>
        <w:t>Furthermore, learning outcomes at the study program level are a complete description of the graduate profile relating to what competencies must be possessed by PAI Doctoral Study Program students after graduating from the Sunan Kalijaga UIN Doctoral Study Program, which are as follows</w:t>
      </w:r>
      <w:r w:rsidR="00A8719F" w:rsidRPr="00502FC8">
        <w:rPr>
          <w:b w:val="0"/>
          <w:bCs w:val="0"/>
          <w:i w:val="0"/>
          <w:iCs/>
          <w:szCs w:val="20"/>
        </w:rPr>
        <w:t xml:space="preserve"> (</w:t>
      </w:r>
      <w:r w:rsidR="00A8719F" w:rsidRPr="00502FC8">
        <w:t>Documents for Accreditation of the PAI Doctoral Study Program at Sunan Kalijaga State Islamic University in 2020)</w:t>
      </w:r>
      <w:r w:rsidR="00A8719F" w:rsidRPr="00502FC8">
        <w:rPr>
          <w:b w:val="0"/>
          <w:bCs w:val="0"/>
          <w:i w:val="0"/>
          <w:iCs/>
          <w:szCs w:val="20"/>
        </w:rPr>
        <w:t xml:space="preserve">: </w:t>
      </w:r>
    </w:p>
    <w:p w14:paraId="7158FC9B" w14:textId="7DDFC250" w:rsidR="00A8719F" w:rsidRDefault="00A8719F" w:rsidP="00AC6EF0">
      <w:pPr>
        <w:pStyle w:val="Alishlah22heading2"/>
        <w:spacing w:before="0" w:after="0"/>
        <w:ind w:firstLine="720"/>
        <w:jc w:val="both"/>
        <w:rPr>
          <w:rFonts w:ascii="Constantia" w:hAnsi="Constantia"/>
          <w:b w:val="0"/>
          <w:bCs w:val="0"/>
          <w:i w:val="0"/>
          <w:iCs/>
          <w:szCs w:val="20"/>
        </w:rPr>
      </w:pPr>
    </w:p>
    <w:p w14:paraId="4661C40C" w14:textId="61EF8DFF" w:rsidR="00A8719F" w:rsidRPr="00A8719F" w:rsidRDefault="00A8719F" w:rsidP="00A8719F">
      <w:pPr>
        <w:pStyle w:val="Alishlah22heading2"/>
        <w:spacing w:before="0" w:after="0"/>
        <w:ind w:firstLine="720"/>
        <w:jc w:val="both"/>
        <w:rPr>
          <w:b w:val="0"/>
          <w:bCs w:val="0"/>
          <w:i w:val="0"/>
          <w:iCs/>
          <w:szCs w:val="20"/>
        </w:rPr>
      </w:pPr>
      <w:r>
        <w:drawing>
          <wp:inline distT="0" distB="0" distL="0" distR="0" wp14:anchorId="46E3FBF3" wp14:editId="3345688D">
            <wp:extent cx="4446270" cy="2554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446270" cy="2554605"/>
                    </a:xfrm>
                    <a:prstGeom prst="rect">
                      <a:avLst/>
                    </a:prstGeom>
                  </pic:spPr>
                </pic:pic>
              </a:graphicData>
            </a:graphic>
          </wp:inline>
        </w:drawing>
      </w:r>
    </w:p>
    <w:p w14:paraId="2D5C5CF8" w14:textId="77777777" w:rsidR="008E6091" w:rsidRPr="008E6091" w:rsidRDefault="00A8719F" w:rsidP="008E6091">
      <w:pPr>
        <w:pStyle w:val="Alishlah21heading1"/>
        <w:numPr>
          <w:ilvl w:val="0"/>
          <w:numId w:val="0"/>
        </w:numPr>
        <w:spacing w:before="0" w:after="0"/>
        <w:ind w:firstLine="720"/>
        <w:jc w:val="both"/>
        <w:rPr>
          <w:b w:val="0"/>
          <w:bCs/>
          <w:szCs w:val="20"/>
        </w:rPr>
      </w:pPr>
      <w:r w:rsidRPr="00A8719F">
        <w:rPr>
          <w:b w:val="0"/>
          <w:bCs/>
          <w:szCs w:val="20"/>
        </w:rPr>
        <w:t xml:space="preserve">Learning outcomes The PAI Doctoral study program is formulated based on the results of a tracer study and analysis of the needs of the world of work related to the competencies developed and qualification levels referred to by the Indonesian National Qualifications Framework (KKNI). Learning outcomes of study programs as special competencies contain competencies that support and refer to the main </w:t>
      </w:r>
      <w:r w:rsidRPr="008E6091">
        <w:rPr>
          <w:b w:val="0"/>
          <w:bCs/>
          <w:szCs w:val="20"/>
        </w:rPr>
        <w:t>competencies and describe the knowledge, skills and attitudes that must be possessed in order to say that a graduate has a certain graduate profile (The University of Jordan Accreditation &amp; Quality Assurance Center, Curriculum for Doctorate Degree, AQAC-F-012-1, 2.)</w:t>
      </w:r>
    </w:p>
    <w:p w14:paraId="76DA9187" w14:textId="1592C364" w:rsidR="00457397" w:rsidRDefault="008E6091" w:rsidP="00B07DDB">
      <w:pPr>
        <w:pStyle w:val="Alishlah21heading1"/>
        <w:numPr>
          <w:ilvl w:val="0"/>
          <w:numId w:val="0"/>
        </w:numPr>
        <w:spacing w:before="0" w:after="0"/>
        <w:ind w:firstLine="720"/>
        <w:jc w:val="both"/>
        <w:rPr>
          <w:b w:val="0"/>
          <w:bCs/>
          <w:szCs w:val="20"/>
        </w:rPr>
      </w:pPr>
      <w:r w:rsidRPr="008E6091">
        <w:rPr>
          <w:b w:val="0"/>
          <w:bCs/>
          <w:i/>
          <w:iCs/>
          <w:szCs w:val="20"/>
        </w:rPr>
        <w:t>As for</w:t>
      </w:r>
      <w:r>
        <w:rPr>
          <w:b w:val="0"/>
          <w:bCs/>
          <w:i/>
          <w:iCs/>
          <w:szCs w:val="20"/>
        </w:rPr>
        <w:t xml:space="preserve"> </w:t>
      </w:r>
      <w:r>
        <w:rPr>
          <w:b w:val="0"/>
          <w:bCs/>
          <w:szCs w:val="20"/>
        </w:rPr>
        <w:t>t</w:t>
      </w:r>
      <w:r w:rsidRPr="008E6091">
        <w:rPr>
          <w:b w:val="0"/>
          <w:bCs/>
          <w:szCs w:val="20"/>
        </w:rPr>
        <w:t>he courses accepted by Doctoral Program students in the PAI Doctoral Study Program are 10 courses and 1 dissertation writing with a total of 52 credits. The RPS of the subjects analyzed were 9 courses outside of the research-related courses (</w:t>
      </w:r>
      <w:r w:rsidRPr="008E6091">
        <w:rPr>
          <w:rFonts w:cstheme="majorBidi"/>
          <w:b w:val="0"/>
          <w:bCs/>
          <w:szCs w:val="20"/>
        </w:rPr>
        <w:t>Results of the RPS Study of All Subjects of the PAI Doctoral Study Program at UIN Sunan Kalijaga Yogayakarta).</w:t>
      </w:r>
      <w:r w:rsidRPr="008E6091">
        <w:rPr>
          <w:b w:val="0"/>
          <w:bCs/>
          <w:szCs w:val="20"/>
        </w:rPr>
        <w:t>The formulation of Learning Outcomes in the curriculum and CPMK are as follows:</w:t>
      </w:r>
    </w:p>
    <w:p w14:paraId="3A5E9437" w14:textId="77777777" w:rsidR="00B07DDB" w:rsidRDefault="00B07DDB" w:rsidP="00B07DDB">
      <w:pPr>
        <w:pStyle w:val="Alishlah21heading1"/>
        <w:numPr>
          <w:ilvl w:val="0"/>
          <w:numId w:val="0"/>
        </w:numPr>
        <w:spacing w:before="0" w:after="0"/>
        <w:ind w:firstLine="720"/>
        <w:jc w:val="both"/>
        <w:rPr>
          <w:b w:val="0"/>
          <w:bCs/>
          <w:szCs w:val="20"/>
        </w:rPr>
      </w:pPr>
    </w:p>
    <w:tbl>
      <w:tblPr>
        <w:tblStyle w:val="TableGrid"/>
        <w:tblW w:w="0" w:type="auto"/>
        <w:tblInd w:w="1129" w:type="dxa"/>
        <w:tblLook w:val="04A0" w:firstRow="1" w:lastRow="0" w:firstColumn="1" w:lastColumn="0" w:noHBand="0" w:noVBand="1"/>
      </w:tblPr>
      <w:tblGrid>
        <w:gridCol w:w="562"/>
        <w:gridCol w:w="6582"/>
      </w:tblGrid>
      <w:tr w:rsidR="00457397" w14:paraId="3037DB1A" w14:textId="77777777" w:rsidTr="0060339C">
        <w:tc>
          <w:tcPr>
            <w:tcW w:w="7144" w:type="dxa"/>
            <w:gridSpan w:val="2"/>
          </w:tcPr>
          <w:p w14:paraId="005AA350" w14:textId="77777777" w:rsidR="00457397" w:rsidRPr="00B07DDB" w:rsidRDefault="00457397" w:rsidP="009B04E3">
            <w:pPr>
              <w:jc w:val="both"/>
              <w:rPr>
                <w:rFonts w:ascii="Palatino Linotype" w:hAnsi="Palatino Linotype"/>
              </w:rPr>
            </w:pPr>
            <w:r w:rsidRPr="00B07DDB">
              <w:rPr>
                <w:rFonts w:ascii="Palatino Linotype" w:hAnsi="Palatino Linotype"/>
              </w:rPr>
              <w:t>Knowledge Aspect</w:t>
            </w:r>
          </w:p>
        </w:tc>
      </w:tr>
      <w:tr w:rsidR="00457397" w14:paraId="219276CF" w14:textId="77777777" w:rsidTr="0060339C">
        <w:tc>
          <w:tcPr>
            <w:tcW w:w="562" w:type="dxa"/>
          </w:tcPr>
          <w:p w14:paraId="69DD4046" w14:textId="77777777" w:rsidR="00457397" w:rsidRPr="00B07DDB" w:rsidRDefault="00457397" w:rsidP="009B04E3">
            <w:pPr>
              <w:jc w:val="both"/>
              <w:rPr>
                <w:rFonts w:ascii="Palatino Linotype" w:hAnsi="Palatino Linotype"/>
              </w:rPr>
            </w:pPr>
            <w:r w:rsidRPr="00B07DDB">
              <w:rPr>
                <w:rFonts w:ascii="Palatino Linotype" w:hAnsi="Palatino Linotype"/>
              </w:rPr>
              <w:t>No</w:t>
            </w:r>
          </w:p>
        </w:tc>
        <w:tc>
          <w:tcPr>
            <w:tcW w:w="6582" w:type="dxa"/>
          </w:tcPr>
          <w:p w14:paraId="67F79EC2" w14:textId="77777777" w:rsidR="00457397" w:rsidRPr="00B07DDB" w:rsidRDefault="00457397" w:rsidP="009B04E3">
            <w:pPr>
              <w:jc w:val="both"/>
              <w:rPr>
                <w:rFonts w:ascii="Palatino Linotype" w:hAnsi="Palatino Linotype"/>
              </w:rPr>
            </w:pPr>
            <w:r w:rsidRPr="00B07DDB">
              <w:rPr>
                <w:rFonts w:ascii="Palatino Linotype" w:hAnsi="Palatino Linotype"/>
              </w:rPr>
              <w:t>Description</w:t>
            </w:r>
          </w:p>
        </w:tc>
      </w:tr>
      <w:tr w:rsidR="00457397" w14:paraId="0E81CE9B" w14:textId="77777777" w:rsidTr="0060339C">
        <w:tc>
          <w:tcPr>
            <w:tcW w:w="562" w:type="dxa"/>
          </w:tcPr>
          <w:p w14:paraId="0AE4A01F" w14:textId="77777777" w:rsidR="00457397" w:rsidRPr="00B07DDB" w:rsidRDefault="00457397" w:rsidP="009B04E3">
            <w:pPr>
              <w:jc w:val="both"/>
              <w:rPr>
                <w:rFonts w:ascii="Palatino Linotype" w:hAnsi="Palatino Linotype"/>
              </w:rPr>
            </w:pPr>
            <w:r w:rsidRPr="00B07DDB">
              <w:rPr>
                <w:rFonts w:ascii="Palatino Linotype" w:hAnsi="Palatino Linotype"/>
              </w:rPr>
              <w:t>1</w:t>
            </w:r>
          </w:p>
        </w:tc>
        <w:tc>
          <w:tcPr>
            <w:tcW w:w="6582" w:type="dxa"/>
          </w:tcPr>
          <w:p w14:paraId="7FDF6C39" w14:textId="77777777" w:rsidR="00457397" w:rsidRPr="00B07DDB" w:rsidRDefault="00457397" w:rsidP="009B04E3">
            <w:pPr>
              <w:jc w:val="both"/>
              <w:rPr>
                <w:rFonts w:ascii="Palatino Linotype" w:hAnsi="Palatino Linotype"/>
              </w:rPr>
            </w:pPr>
            <w:r w:rsidRPr="00B07DDB">
              <w:rPr>
                <w:rFonts w:ascii="Palatino Linotype" w:hAnsi="Palatino Linotype"/>
              </w:rPr>
              <w:t>Able to master and develop science, technology and art in the field of Islamic religious education in a multidisciplinary perspective.</w:t>
            </w:r>
          </w:p>
          <w:p w14:paraId="3947B1EE" w14:textId="77777777" w:rsidR="00457397" w:rsidRPr="00B07DDB" w:rsidRDefault="00457397" w:rsidP="009B04E3">
            <w:pPr>
              <w:jc w:val="both"/>
              <w:rPr>
                <w:rFonts w:ascii="Palatino Linotype" w:hAnsi="Palatino Linotype"/>
              </w:rPr>
            </w:pPr>
          </w:p>
        </w:tc>
      </w:tr>
      <w:tr w:rsidR="00457397" w14:paraId="4233DCA8" w14:textId="77777777" w:rsidTr="0060339C">
        <w:tc>
          <w:tcPr>
            <w:tcW w:w="562" w:type="dxa"/>
          </w:tcPr>
          <w:p w14:paraId="24DFCD4D" w14:textId="77777777" w:rsidR="00457397" w:rsidRPr="00B07DDB" w:rsidRDefault="00457397" w:rsidP="009B04E3">
            <w:pPr>
              <w:jc w:val="both"/>
              <w:rPr>
                <w:rFonts w:ascii="Palatino Linotype" w:hAnsi="Palatino Linotype"/>
              </w:rPr>
            </w:pPr>
            <w:r w:rsidRPr="00B07DDB">
              <w:rPr>
                <w:rFonts w:ascii="Palatino Linotype" w:hAnsi="Palatino Linotype"/>
              </w:rPr>
              <w:lastRenderedPageBreak/>
              <w:t>2</w:t>
            </w:r>
          </w:p>
        </w:tc>
        <w:tc>
          <w:tcPr>
            <w:tcW w:w="6582" w:type="dxa"/>
          </w:tcPr>
          <w:p w14:paraId="38D3D745" w14:textId="77777777" w:rsidR="00457397" w:rsidRPr="00B07DDB" w:rsidRDefault="00457397" w:rsidP="009B04E3">
            <w:pPr>
              <w:jc w:val="both"/>
              <w:rPr>
                <w:rFonts w:ascii="Palatino Linotype" w:hAnsi="Palatino Linotype"/>
              </w:rPr>
            </w:pPr>
            <w:r w:rsidRPr="00B07DDB">
              <w:rPr>
                <w:rFonts w:ascii="Palatino Linotype" w:hAnsi="Palatino Linotype"/>
              </w:rPr>
              <w:t>Have the ability to develop an integrative-interconnective thinking methodology and its development using various approaches in the field of Islamic religious education.</w:t>
            </w:r>
          </w:p>
          <w:p w14:paraId="31F632CE" w14:textId="77777777" w:rsidR="00457397" w:rsidRPr="00B07DDB" w:rsidRDefault="00457397" w:rsidP="009B04E3">
            <w:pPr>
              <w:jc w:val="both"/>
              <w:rPr>
                <w:rFonts w:ascii="Palatino Linotype" w:hAnsi="Palatino Linotype"/>
              </w:rPr>
            </w:pPr>
            <w:r w:rsidRPr="00B07DDB">
              <w:rPr>
                <w:rFonts w:ascii="Palatino Linotype" w:hAnsi="Palatino Linotype"/>
              </w:rPr>
              <w:t>able to develop philosophical and Islamic educational theories from the main sources (Qur'an and Hadith)</w:t>
            </w:r>
          </w:p>
          <w:p w14:paraId="4D07E047" w14:textId="77777777" w:rsidR="00457397" w:rsidRPr="00B07DDB" w:rsidRDefault="00457397" w:rsidP="009B04E3">
            <w:pPr>
              <w:ind w:left="284" w:firstLine="436"/>
              <w:jc w:val="both"/>
              <w:rPr>
                <w:rFonts w:ascii="Palatino Linotype" w:hAnsi="Palatino Linotype"/>
              </w:rPr>
            </w:pPr>
          </w:p>
        </w:tc>
      </w:tr>
      <w:tr w:rsidR="00457397" w14:paraId="3FFD0D21" w14:textId="77777777" w:rsidTr="0060339C">
        <w:tc>
          <w:tcPr>
            <w:tcW w:w="562" w:type="dxa"/>
          </w:tcPr>
          <w:p w14:paraId="5AA50334" w14:textId="77777777" w:rsidR="00457397" w:rsidRPr="00B07DDB" w:rsidRDefault="00457397" w:rsidP="009B04E3">
            <w:pPr>
              <w:jc w:val="both"/>
              <w:rPr>
                <w:rFonts w:ascii="Palatino Linotype" w:hAnsi="Palatino Linotype"/>
              </w:rPr>
            </w:pPr>
            <w:r w:rsidRPr="00B07DDB">
              <w:rPr>
                <w:rFonts w:ascii="Palatino Linotype" w:hAnsi="Palatino Linotype"/>
              </w:rPr>
              <w:t>4)</w:t>
            </w:r>
          </w:p>
        </w:tc>
        <w:tc>
          <w:tcPr>
            <w:tcW w:w="6582" w:type="dxa"/>
          </w:tcPr>
          <w:p w14:paraId="0778CA7F" w14:textId="77777777" w:rsidR="00457397" w:rsidRPr="00B07DDB" w:rsidRDefault="00457397" w:rsidP="009B04E3">
            <w:pPr>
              <w:jc w:val="both"/>
              <w:rPr>
                <w:rFonts w:ascii="Palatino Linotype" w:hAnsi="Palatino Linotype"/>
              </w:rPr>
            </w:pPr>
            <w:r w:rsidRPr="00B07DDB">
              <w:rPr>
                <w:rFonts w:ascii="Palatino Linotype" w:hAnsi="Palatino Linotype"/>
              </w:rPr>
              <w:t>Able to master in depth and develop various philosophical concepts of education with its various components.</w:t>
            </w:r>
          </w:p>
        </w:tc>
      </w:tr>
      <w:tr w:rsidR="00457397" w14:paraId="3CCA91B2" w14:textId="77777777" w:rsidTr="0060339C">
        <w:tc>
          <w:tcPr>
            <w:tcW w:w="562" w:type="dxa"/>
          </w:tcPr>
          <w:p w14:paraId="69ED7E28" w14:textId="77777777" w:rsidR="00457397" w:rsidRPr="00B07DDB" w:rsidRDefault="00457397" w:rsidP="009B04E3">
            <w:pPr>
              <w:jc w:val="both"/>
              <w:rPr>
                <w:rFonts w:ascii="Palatino Linotype" w:hAnsi="Palatino Linotype"/>
              </w:rPr>
            </w:pPr>
            <w:r w:rsidRPr="00B07DDB">
              <w:rPr>
                <w:rFonts w:ascii="Palatino Linotype" w:hAnsi="Palatino Linotype"/>
              </w:rPr>
              <w:t>5)</w:t>
            </w:r>
          </w:p>
        </w:tc>
        <w:tc>
          <w:tcPr>
            <w:tcW w:w="6582" w:type="dxa"/>
          </w:tcPr>
          <w:p w14:paraId="570DB632" w14:textId="77777777" w:rsidR="00457397" w:rsidRPr="00B07DDB" w:rsidRDefault="00457397" w:rsidP="009B04E3">
            <w:pPr>
              <w:jc w:val="both"/>
              <w:rPr>
                <w:rFonts w:ascii="Palatino Linotype" w:hAnsi="Palatino Linotype"/>
              </w:rPr>
            </w:pPr>
            <w:r w:rsidRPr="00B07DDB">
              <w:rPr>
                <w:rFonts w:ascii="Palatino Linotype" w:hAnsi="Palatino Linotype"/>
              </w:rPr>
              <w:t>Able to master in depth and develop learning theory and teaching principles of PAI learning</w:t>
            </w:r>
          </w:p>
          <w:p w14:paraId="44138B0F" w14:textId="77777777" w:rsidR="00457397" w:rsidRPr="00B07DDB" w:rsidRDefault="00457397" w:rsidP="009B04E3">
            <w:pPr>
              <w:ind w:left="284" w:firstLine="436"/>
              <w:jc w:val="both"/>
              <w:rPr>
                <w:rFonts w:ascii="Palatino Linotype" w:hAnsi="Palatino Linotype"/>
              </w:rPr>
            </w:pPr>
          </w:p>
        </w:tc>
      </w:tr>
      <w:tr w:rsidR="00457397" w14:paraId="1BF660A5" w14:textId="77777777" w:rsidTr="0060339C">
        <w:tc>
          <w:tcPr>
            <w:tcW w:w="562" w:type="dxa"/>
          </w:tcPr>
          <w:p w14:paraId="42442BEF" w14:textId="77777777" w:rsidR="00457397" w:rsidRPr="00B07DDB" w:rsidRDefault="00457397" w:rsidP="009B04E3">
            <w:pPr>
              <w:jc w:val="both"/>
              <w:rPr>
                <w:rFonts w:ascii="Palatino Linotype" w:hAnsi="Palatino Linotype"/>
              </w:rPr>
            </w:pPr>
            <w:r w:rsidRPr="00B07DDB">
              <w:rPr>
                <w:rFonts w:ascii="Palatino Linotype" w:hAnsi="Palatino Linotype"/>
              </w:rPr>
              <w:t>6)</w:t>
            </w:r>
          </w:p>
        </w:tc>
        <w:tc>
          <w:tcPr>
            <w:tcW w:w="6582" w:type="dxa"/>
          </w:tcPr>
          <w:p w14:paraId="4C565A99" w14:textId="77777777" w:rsidR="00457397" w:rsidRPr="00B07DDB" w:rsidRDefault="00457397" w:rsidP="009B04E3">
            <w:pPr>
              <w:jc w:val="both"/>
              <w:rPr>
                <w:rFonts w:ascii="Palatino Linotype" w:hAnsi="Palatino Linotype"/>
              </w:rPr>
            </w:pPr>
            <w:r w:rsidRPr="00B07DDB">
              <w:rPr>
                <w:rFonts w:ascii="Palatino Linotype" w:hAnsi="Palatino Linotype"/>
              </w:rPr>
              <w:t>Able to master in depth and develop the theory of PAI curriculum development in schools, Madrasas and tertiary institutions</w:t>
            </w:r>
          </w:p>
          <w:p w14:paraId="27DE7334" w14:textId="77777777" w:rsidR="00457397" w:rsidRPr="00B07DDB" w:rsidRDefault="00457397" w:rsidP="009B04E3">
            <w:pPr>
              <w:jc w:val="both"/>
              <w:rPr>
                <w:rFonts w:ascii="Palatino Linotype" w:hAnsi="Palatino Linotype"/>
              </w:rPr>
            </w:pPr>
          </w:p>
        </w:tc>
      </w:tr>
    </w:tbl>
    <w:p w14:paraId="09B79DCE" w14:textId="642D9CE2" w:rsidR="008E6091" w:rsidRDefault="008E6091" w:rsidP="00457397">
      <w:pPr>
        <w:pStyle w:val="Alishlah21heading1"/>
        <w:numPr>
          <w:ilvl w:val="0"/>
          <w:numId w:val="0"/>
        </w:numPr>
        <w:spacing w:before="0" w:after="0"/>
        <w:jc w:val="both"/>
        <w:rPr>
          <w:rFonts w:ascii="Constantia" w:hAnsi="Constantia" w:cstheme="majorBidi"/>
        </w:rPr>
      </w:pPr>
    </w:p>
    <w:p w14:paraId="0CEA85E7" w14:textId="77777777" w:rsidR="00457397" w:rsidRPr="00457397" w:rsidRDefault="00457397" w:rsidP="00457397">
      <w:pPr>
        <w:spacing w:after="0"/>
        <w:ind w:left="284" w:firstLine="436"/>
        <w:jc w:val="both"/>
        <w:rPr>
          <w:rFonts w:ascii="Palatino Linotype" w:hAnsi="Palatino Linotype"/>
          <w:sz w:val="20"/>
          <w:szCs w:val="20"/>
        </w:rPr>
      </w:pPr>
      <w:r w:rsidRPr="00457397">
        <w:rPr>
          <w:rFonts w:ascii="Palatino Linotype" w:hAnsi="Palatino Linotype"/>
          <w:sz w:val="20"/>
          <w:szCs w:val="20"/>
        </w:rPr>
        <w:t xml:space="preserve">Based on the results of a study of the Learning Outcome formulation in the curriculum and CPMK, the indicators in the RPS formulated by the lecturer at the PAI Doctoral Study Program at UIN Sunan Kalijaga Yogyakarta still use operational words that are general in nature resulting in difficulties in achieving the objectives of these operational words. Ideally the operational words formulated in the CPMK and indicators in the RPS are developed in simpler language. </w:t>
      </w:r>
    </w:p>
    <w:p w14:paraId="4D031BB7" w14:textId="291C4B6C" w:rsidR="00457397" w:rsidRPr="00457397" w:rsidRDefault="00457397" w:rsidP="00457397">
      <w:pPr>
        <w:spacing w:after="0"/>
        <w:ind w:left="284" w:firstLine="436"/>
        <w:jc w:val="both"/>
        <w:rPr>
          <w:rFonts w:ascii="Palatino Linotype" w:hAnsi="Palatino Linotype" w:cstheme="majorBidi"/>
          <w:sz w:val="20"/>
          <w:szCs w:val="20"/>
        </w:rPr>
      </w:pPr>
      <w:r w:rsidRPr="00457397">
        <w:rPr>
          <w:rFonts w:ascii="Palatino Linotype" w:hAnsi="Palatino Linotype"/>
          <w:sz w:val="20"/>
          <w:szCs w:val="20"/>
        </w:rPr>
        <w:t>The same thing was also expressed by Vaughan and Marisson: attempted to map out the key components of the pedagogies and research practices involved in doing a doctorate in design. They show the rich variations in structure, curriculum formats, teaching approaches, modes of publication, changing professional practices and modes of knowing that exist across different design schools and in different national contexts (</w:t>
      </w:r>
      <w:r w:rsidRPr="00457397">
        <w:rPr>
          <w:rFonts w:ascii="Palatino Linotype" w:hAnsi="Palatino Linotype" w:cstheme="majorBidi"/>
          <w:sz w:val="20"/>
          <w:szCs w:val="20"/>
        </w:rPr>
        <w:t>A Morrison, 2013, 182).</w:t>
      </w:r>
    </w:p>
    <w:p w14:paraId="3D8638DD" w14:textId="3D1EA626" w:rsidR="00457397" w:rsidRPr="00EF7714" w:rsidRDefault="00457397" w:rsidP="00457397">
      <w:pPr>
        <w:spacing w:after="0"/>
        <w:ind w:left="284" w:firstLine="436"/>
        <w:jc w:val="both"/>
        <w:rPr>
          <w:rFonts w:ascii="Palatino Linotype" w:hAnsi="Palatino Linotype"/>
          <w:sz w:val="20"/>
          <w:szCs w:val="20"/>
        </w:rPr>
      </w:pPr>
      <w:r w:rsidRPr="00457397">
        <w:rPr>
          <w:rFonts w:ascii="Palatino Linotype" w:hAnsi="Palatino Linotype"/>
          <w:sz w:val="20"/>
          <w:szCs w:val="20"/>
        </w:rPr>
        <w:t xml:space="preserve">James Keevy revealed that It has also been suggested that all qualifications frameworks are not the same, but that they do at least contain some form of each of the components. Furthermore, it was noted that qualifications frameworks can be established on different levels, ranging from those that cover entire regions, to countries, to those that focus only on specific sectors, such as TVET, but that can have a national and/or regional presence . In reporting on recent developments related to the SADC regional </w:t>
      </w:r>
      <w:r w:rsidRPr="00EF7714">
        <w:rPr>
          <w:rFonts w:ascii="Palatino Linotype" w:hAnsi="Palatino Linotype"/>
          <w:sz w:val="20"/>
          <w:szCs w:val="20"/>
        </w:rPr>
        <w:t>qualifications framework.</w:t>
      </w:r>
    </w:p>
    <w:p w14:paraId="278D12DA" w14:textId="77777777" w:rsidR="00457397" w:rsidRPr="00EF7714" w:rsidRDefault="00457397" w:rsidP="00457397">
      <w:pPr>
        <w:ind w:left="284" w:firstLine="436"/>
        <w:jc w:val="both"/>
        <w:rPr>
          <w:rFonts w:ascii="Palatino Linotype" w:hAnsi="Palatino Linotype"/>
          <w:sz w:val="20"/>
          <w:szCs w:val="20"/>
        </w:rPr>
      </w:pPr>
      <w:r w:rsidRPr="00EF7714">
        <w:rPr>
          <w:rFonts w:ascii="Palatino Linotype" w:hAnsi="Palatino Linotype"/>
          <w:sz w:val="20"/>
          <w:szCs w:val="20"/>
        </w:rPr>
        <w:t>Thus, to achieve what was expressed by Vaughan, Marisson and Jame Keevy, operational verbs must use simpler ones so that students of the Doctoral Study Program at UIN Sunan Kalijaga Yogyakarta can achieve research both at national and international levels and can solve various PaI problems both internally and externally. interdisciplinary, transdisciplinary and multidisciplinary.</w:t>
      </w:r>
    </w:p>
    <w:p w14:paraId="5BD8CF14" w14:textId="77777777" w:rsidR="00457397" w:rsidRPr="00EF7714" w:rsidRDefault="00457397" w:rsidP="00457397">
      <w:pPr>
        <w:spacing w:after="0"/>
        <w:ind w:left="284" w:firstLine="436"/>
        <w:jc w:val="both"/>
        <w:rPr>
          <w:rFonts w:ascii="Palatino Linotype" w:hAnsi="Palatino Linotype"/>
          <w:sz w:val="20"/>
          <w:szCs w:val="20"/>
        </w:rPr>
      </w:pPr>
    </w:p>
    <w:p w14:paraId="0E022507" w14:textId="72210763" w:rsidR="00B943FF" w:rsidRPr="00EF7714" w:rsidRDefault="00B943FF" w:rsidP="007506DD">
      <w:pPr>
        <w:pStyle w:val="Alishlah22heading2"/>
        <w:spacing w:before="0" w:after="0"/>
        <w:rPr>
          <w:szCs w:val="20"/>
        </w:rPr>
      </w:pPr>
      <w:r w:rsidRPr="00EF7714">
        <w:rPr>
          <w:szCs w:val="20"/>
        </w:rPr>
        <w:t>2.2. Subtance of Study Materials and Determination of courses</w:t>
      </w:r>
    </w:p>
    <w:p w14:paraId="3C95D348" w14:textId="3A301657" w:rsidR="00B943FF" w:rsidRPr="00EF7714" w:rsidRDefault="00B943FF" w:rsidP="007506DD">
      <w:pPr>
        <w:pStyle w:val="MDPI31text"/>
        <w:ind w:left="284" w:firstLine="436"/>
        <w:rPr>
          <w:szCs w:val="20"/>
        </w:rPr>
      </w:pPr>
      <w:r w:rsidRPr="00EF7714">
        <w:rPr>
          <w:szCs w:val="20"/>
        </w:rPr>
        <w:t>Study material is a context material to achieve the CP study program as a feature of the study program or as a characteristic of science and technology that will be built by the study program or can also be selected based on an analysis of the needs of the world of work or profession that graduates will enter in the future. The study materials for the PAI Doctoral Study Program at UIN Sunan Kalijaga are as follows:</w:t>
      </w:r>
    </w:p>
    <w:p w14:paraId="61D5CB44" w14:textId="61E3CA5D" w:rsidR="00B943FF" w:rsidRPr="00EF7714" w:rsidRDefault="00B943FF" w:rsidP="00B943FF">
      <w:pPr>
        <w:pStyle w:val="MDPI31text"/>
        <w:ind w:left="284" w:firstLine="0"/>
        <w:rPr>
          <w:szCs w:val="20"/>
        </w:rPr>
      </w:pPr>
    </w:p>
    <w:p w14:paraId="5AD73D6F" w14:textId="4CC97DCD" w:rsidR="00B943FF" w:rsidRPr="00EF7714" w:rsidRDefault="00B943FF" w:rsidP="00B943FF">
      <w:pPr>
        <w:pStyle w:val="MDPI31text"/>
        <w:ind w:left="284" w:firstLine="0"/>
        <w:rPr>
          <w:szCs w:val="20"/>
        </w:rPr>
      </w:pPr>
      <w:r w:rsidRPr="00EF7714">
        <w:rPr>
          <w:noProof/>
          <w:szCs w:val="20"/>
          <w:lang w:val="id-ID" w:eastAsia="id-ID" w:bidi="ar-SA"/>
        </w:rPr>
        <w:lastRenderedPageBreak/>
        <w:drawing>
          <wp:inline distT="0" distB="0" distL="0" distR="0" wp14:anchorId="7AED358B" wp14:editId="792C073C">
            <wp:extent cx="4723130" cy="24206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3130" cy="2420620"/>
                    </a:xfrm>
                    <a:prstGeom prst="rect">
                      <a:avLst/>
                    </a:prstGeom>
                  </pic:spPr>
                </pic:pic>
              </a:graphicData>
            </a:graphic>
          </wp:inline>
        </w:drawing>
      </w:r>
    </w:p>
    <w:p w14:paraId="30B4A3AE" w14:textId="77777777" w:rsidR="00B943FF" w:rsidRPr="00EF7714" w:rsidRDefault="00B943FF" w:rsidP="00B943FF">
      <w:pPr>
        <w:pStyle w:val="MDPI31text"/>
        <w:ind w:left="284" w:firstLine="436"/>
        <w:rPr>
          <w:szCs w:val="20"/>
        </w:rPr>
      </w:pPr>
      <w:r w:rsidRPr="00EF7714">
        <w:rPr>
          <w:szCs w:val="20"/>
        </w:rPr>
        <w:t>Based on the picture above, it is known that the learning achievement is being able to master and develop science, technology and art in the field of Islamic Education in various perspectives. By mapping the study materials, namely First, the integrative-interconnective scientific paradigm in PAI: Integrative-Interconnective Paradigm, Second, PAI Theory in the perspective of social theory models Calassificatory Theory, Explanatory Theory, Partical Theory, Third, PAI Theory in the perspective of Grand Theory, Middle Ranger Theory and Grounded Theory and elaborated in the form of PAI courses with a Multidisciplinary Perspective so that they are reduced to the distribution of PAI courses in a multidisciplinary perspective with a total weight of 3 credits. Normally,</w:t>
      </w:r>
      <w:r w:rsidRPr="00EF7714">
        <w:rPr>
          <w:rFonts w:cstheme="majorBidi"/>
          <w:szCs w:val="20"/>
        </w:rPr>
        <w:t>involving inter and transdisciplinary, which if viewed at the level of KKNI 9 is able to solve problems of science, technology, and or art in the field of science through an inter, multi or transdisciplinary approach. When it does not include inter and transdisciplinary, of course, the determination of courses is not in accordance with the demands of the KKNI.</w:t>
      </w:r>
      <w:r w:rsidRPr="00EF7714">
        <w:rPr>
          <w:szCs w:val="20"/>
        </w:rPr>
        <w:t xml:space="preserve"> </w:t>
      </w:r>
    </w:p>
    <w:p w14:paraId="0C78805C" w14:textId="51000135" w:rsidR="00B943FF" w:rsidRPr="00EF7714" w:rsidRDefault="00B943FF" w:rsidP="00B943FF">
      <w:pPr>
        <w:pStyle w:val="MDPI31text"/>
        <w:ind w:left="284" w:firstLine="436"/>
        <w:rPr>
          <w:rFonts w:cstheme="majorBidi"/>
          <w:szCs w:val="20"/>
        </w:rPr>
      </w:pPr>
      <w:r w:rsidRPr="00EF7714">
        <w:rPr>
          <w:szCs w:val="20"/>
        </w:rPr>
        <w:t>Preferably, the distribution of courses in each semester is the embodiment of a curriculum that is designed to be more in line with the demands of the KKNI 9 level( Suwadi, 2012, p. 15). Below is a display of the distribution of courses each semester quoted from the PAI Doctoral Study Program document</w:t>
      </w:r>
      <w:r w:rsidRPr="00EF7714">
        <w:rPr>
          <w:i/>
          <w:iCs/>
          <w:szCs w:val="20"/>
        </w:rPr>
        <w:t xml:space="preserve"> </w:t>
      </w:r>
      <w:r w:rsidRPr="00EF7714">
        <w:rPr>
          <w:szCs w:val="20"/>
        </w:rPr>
        <w:t>(</w:t>
      </w:r>
      <w:r w:rsidRPr="00EF7714">
        <w:rPr>
          <w:rFonts w:cstheme="majorBidi"/>
          <w:szCs w:val="20"/>
        </w:rPr>
        <w:t>The results of the study of the curriculum document for the Doctoral Program in Islamic Religious Education).</w:t>
      </w:r>
    </w:p>
    <w:p w14:paraId="05E10E36" w14:textId="77777777" w:rsidR="00B943FF" w:rsidRPr="00EF7714" w:rsidRDefault="00B943FF" w:rsidP="00B943FF">
      <w:pPr>
        <w:pStyle w:val="MDPI31text"/>
        <w:ind w:firstLine="0"/>
        <w:rPr>
          <w:szCs w:val="20"/>
        </w:rPr>
      </w:pPr>
    </w:p>
    <w:tbl>
      <w:tblPr>
        <w:tblStyle w:val="TableGrid"/>
        <w:tblW w:w="0" w:type="auto"/>
        <w:tblInd w:w="1413" w:type="dxa"/>
        <w:tblLook w:val="04A0" w:firstRow="1" w:lastRow="0" w:firstColumn="1" w:lastColumn="0" w:noHBand="0" w:noVBand="1"/>
      </w:tblPr>
      <w:tblGrid>
        <w:gridCol w:w="704"/>
        <w:gridCol w:w="1338"/>
        <w:gridCol w:w="2041"/>
        <w:gridCol w:w="1020"/>
        <w:gridCol w:w="1020"/>
        <w:gridCol w:w="1021"/>
      </w:tblGrid>
      <w:tr w:rsidR="00B943FF" w:rsidRPr="00EF7714" w14:paraId="3D547834" w14:textId="77777777" w:rsidTr="007506DD">
        <w:tc>
          <w:tcPr>
            <w:tcW w:w="7144" w:type="dxa"/>
            <w:gridSpan w:val="6"/>
          </w:tcPr>
          <w:p w14:paraId="25EAD75B" w14:textId="77777777" w:rsidR="00B943FF" w:rsidRPr="00EF7714" w:rsidRDefault="00B943FF" w:rsidP="009B04E3">
            <w:pPr>
              <w:pStyle w:val="MDPI31text"/>
              <w:ind w:firstLine="0"/>
            </w:pPr>
            <w:r w:rsidRPr="00EF7714">
              <w:t>Semester Package 1</w:t>
            </w:r>
          </w:p>
        </w:tc>
      </w:tr>
      <w:tr w:rsidR="00B943FF" w:rsidRPr="00EF7714" w14:paraId="4C1B918A" w14:textId="77777777" w:rsidTr="007506DD">
        <w:tc>
          <w:tcPr>
            <w:tcW w:w="704" w:type="dxa"/>
          </w:tcPr>
          <w:p w14:paraId="6C943AEE" w14:textId="77777777" w:rsidR="00B943FF" w:rsidRPr="00EF7714" w:rsidRDefault="00B943FF" w:rsidP="009B04E3">
            <w:pPr>
              <w:pStyle w:val="MDPI31text"/>
              <w:ind w:firstLine="0"/>
              <w:jc w:val="center"/>
            </w:pPr>
            <w:r w:rsidRPr="00EF7714">
              <w:t>No</w:t>
            </w:r>
          </w:p>
        </w:tc>
        <w:tc>
          <w:tcPr>
            <w:tcW w:w="1338" w:type="dxa"/>
          </w:tcPr>
          <w:p w14:paraId="0DA5A6B6" w14:textId="77777777" w:rsidR="00B943FF" w:rsidRPr="00EF7714" w:rsidRDefault="00B943FF" w:rsidP="009B04E3">
            <w:pPr>
              <w:pStyle w:val="MDPI31text"/>
              <w:ind w:firstLine="0"/>
              <w:jc w:val="center"/>
            </w:pPr>
            <w:r w:rsidRPr="00EF7714">
              <w:t>MK code</w:t>
            </w:r>
          </w:p>
        </w:tc>
        <w:tc>
          <w:tcPr>
            <w:tcW w:w="2041" w:type="dxa"/>
          </w:tcPr>
          <w:p w14:paraId="26F95D79" w14:textId="77777777" w:rsidR="00B943FF" w:rsidRPr="00EF7714" w:rsidRDefault="00B943FF" w:rsidP="009B04E3">
            <w:pPr>
              <w:pStyle w:val="MDPI31text"/>
              <w:ind w:firstLine="0"/>
              <w:jc w:val="center"/>
            </w:pPr>
            <w:r w:rsidRPr="00EF7714">
              <w:t>Course Name</w:t>
            </w:r>
          </w:p>
        </w:tc>
        <w:tc>
          <w:tcPr>
            <w:tcW w:w="1020" w:type="dxa"/>
          </w:tcPr>
          <w:p w14:paraId="4783BE21" w14:textId="77777777" w:rsidR="00B943FF" w:rsidRPr="00EF7714" w:rsidRDefault="00B943FF" w:rsidP="009B04E3">
            <w:pPr>
              <w:pStyle w:val="MDPI31text"/>
              <w:ind w:firstLine="0"/>
              <w:jc w:val="center"/>
            </w:pPr>
            <w:r w:rsidRPr="00EF7714">
              <w:t>Credits</w:t>
            </w:r>
          </w:p>
        </w:tc>
        <w:tc>
          <w:tcPr>
            <w:tcW w:w="1020" w:type="dxa"/>
          </w:tcPr>
          <w:p w14:paraId="2421C34B" w14:textId="77777777" w:rsidR="00B943FF" w:rsidRPr="00EF7714" w:rsidRDefault="00B943FF" w:rsidP="009B04E3">
            <w:pPr>
              <w:pStyle w:val="MDPI31text"/>
              <w:ind w:firstLine="0"/>
              <w:jc w:val="center"/>
            </w:pPr>
            <w:r w:rsidRPr="00EF7714">
              <w:t>Can Take</w:t>
            </w:r>
          </w:p>
        </w:tc>
        <w:tc>
          <w:tcPr>
            <w:tcW w:w="1021" w:type="dxa"/>
          </w:tcPr>
          <w:p w14:paraId="3E4DDCC7" w14:textId="77777777" w:rsidR="00B943FF" w:rsidRPr="00EF7714" w:rsidRDefault="00B943FF" w:rsidP="009B04E3">
            <w:pPr>
              <w:pStyle w:val="MDPI31text"/>
              <w:ind w:firstLine="0"/>
              <w:jc w:val="center"/>
            </w:pPr>
            <w:r w:rsidRPr="00EF7714">
              <w:t>MK type</w:t>
            </w:r>
          </w:p>
        </w:tc>
      </w:tr>
      <w:tr w:rsidR="00B943FF" w:rsidRPr="00EF7714" w14:paraId="51C2B4F6" w14:textId="77777777" w:rsidTr="007506DD">
        <w:tc>
          <w:tcPr>
            <w:tcW w:w="704" w:type="dxa"/>
          </w:tcPr>
          <w:p w14:paraId="58AB2D67" w14:textId="77777777" w:rsidR="00B943FF" w:rsidRPr="00EF7714" w:rsidRDefault="00B943FF" w:rsidP="009B04E3">
            <w:pPr>
              <w:pStyle w:val="MDPI31text"/>
              <w:ind w:firstLine="0"/>
              <w:jc w:val="center"/>
            </w:pPr>
            <w:r w:rsidRPr="00EF7714">
              <w:t>1</w:t>
            </w:r>
          </w:p>
        </w:tc>
        <w:tc>
          <w:tcPr>
            <w:tcW w:w="1338" w:type="dxa"/>
          </w:tcPr>
          <w:p w14:paraId="39F9B331" w14:textId="77777777" w:rsidR="00B943FF" w:rsidRPr="00EF7714" w:rsidRDefault="00B943FF" w:rsidP="009B04E3">
            <w:pPr>
              <w:pStyle w:val="MDPI31text"/>
              <w:ind w:firstLine="0"/>
            </w:pPr>
            <w:r w:rsidRPr="00EF7714">
              <w:t>PAI604004</w:t>
            </w:r>
          </w:p>
        </w:tc>
        <w:tc>
          <w:tcPr>
            <w:tcW w:w="2041" w:type="dxa"/>
          </w:tcPr>
          <w:p w14:paraId="3B5C326C" w14:textId="77777777" w:rsidR="00B943FF" w:rsidRPr="00EF7714" w:rsidRDefault="00B943FF" w:rsidP="009B04E3">
            <w:pPr>
              <w:pStyle w:val="MDPI31text"/>
              <w:ind w:firstLine="0"/>
            </w:pPr>
            <w:r w:rsidRPr="00EF7714">
              <w:t>Philosophy of Science: Theory and Practice in Islamic Education</w:t>
            </w:r>
          </w:p>
        </w:tc>
        <w:tc>
          <w:tcPr>
            <w:tcW w:w="1020" w:type="dxa"/>
          </w:tcPr>
          <w:p w14:paraId="5B0727FC" w14:textId="77777777" w:rsidR="00B943FF" w:rsidRPr="00EF7714" w:rsidRDefault="00B943FF" w:rsidP="009B04E3">
            <w:pPr>
              <w:pStyle w:val="MDPI31text"/>
              <w:ind w:firstLine="0"/>
              <w:jc w:val="center"/>
            </w:pPr>
            <w:r w:rsidRPr="00EF7714">
              <w:t>2</w:t>
            </w:r>
          </w:p>
        </w:tc>
        <w:tc>
          <w:tcPr>
            <w:tcW w:w="1020" w:type="dxa"/>
          </w:tcPr>
          <w:p w14:paraId="3C95C4B7" w14:textId="77777777" w:rsidR="00B943FF" w:rsidRPr="00EF7714" w:rsidRDefault="00B943FF" w:rsidP="009B04E3">
            <w:pPr>
              <w:pStyle w:val="MDPI31text"/>
              <w:ind w:firstLine="0"/>
            </w:pPr>
          </w:p>
        </w:tc>
        <w:tc>
          <w:tcPr>
            <w:tcW w:w="1021" w:type="dxa"/>
          </w:tcPr>
          <w:p w14:paraId="58A875F9" w14:textId="77777777" w:rsidR="00B943FF" w:rsidRPr="00EF7714" w:rsidRDefault="00B943FF" w:rsidP="009B04E3">
            <w:pPr>
              <w:pStyle w:val="MDPI31text"/>
              <w:ind w:firstLine="0"/>
              <w:jc w:val="center"/>
            </w:pPr>
            <w:r w:rsidRPr="00EF7714">
              <w:t>Must</w:t>
            </w:r>
          </w:p>
        </w:tc>
      </w:tr>
      <w:tr w:rsidR="00B943FF" w:rsidRPr="00EF7714" w14:paraId="46AAD1B8" w14:textId="77777777" w:rsidTr="007506DD">
        <w:tc>
          <w:tcPr>
            <w:tcW w:w="704" w:type="dxa"/>
          </w:tcPr>
          <w:p w14:paraId="35A52399" w14:textId="77777777" w:rsidR="00B943FF" w:rsidRPr="00EF7714" w:rsidRDefault="00B943FF" w:rsidP="009B04E3">
            <w:pPr>
              <w:pStyle w:val="MDPI31text"/>
              <w:ind w:firstLine="0"/>
              <w:jc w:val="center"/>
            </w:pPr>
            <w:r w:rsidRPr="00EF7714">
              <w:t>2</w:t>
            </w:r>
          </w:p>
        </w:tc>
        <w:tc>
          <w:tcPr>
            <w:tcW w:w="1338" w:type="dxa"/>
          </w:tcPr>
          <w:p w14:paraId="1B538372" w14:textId="77777777" w:rsidR="00B943FF" w:rsidRPr="00EF7714" w:rsidRDefault="00B943FF" w:rsidP="009B04E3">
            <w:pPr>
              <w:pStyle w:val="MDPI31text"/>
              <w:ind w:firstLine="0"/>
            </w:pPr>
            <w:r w:rsidRPr="00EF7714">
              <w:t>PAI604001</w:t>
            </w:r>
          </w:p>
        </w:tc>
        <w:tc>
          <w:tcPr>
            <w:tcW w:w="2041" w:type="dxa"/>
          </w:tcPr>
          <w:p w14:paraId="6DE65E3D" w14:textId="77777777" w:rsidR="00B943FF" w:rsidRPr="00EF7714" w:rsidRDefault="00B943FF" w:rsidP="009B04E3">
            <w:pPr>
              <w:pStyle w:val="MDPI31text"/>
              <w:ind w:firstLine="0"/>
            </w:pPr>
            <w:r w:rsidRPr="00EF7714">
              <w:t>Study of Al-Quran and Hadith of Islamic Education</w:t>
            </w:r>
          </w:p>
        </w:tc>
        <w:tc>
          <w:tcPr>
            <w:tcW w:w="1020" w:type="dxa"/>
          </w:tcPr>
          <w:p w14:paraId="39BA4259" w14:textId="77777777" w:rsidR="00B943FF" w:rsidRPr="00EF7714" w:rsidRDefault="00B943FF" w:rsidP="009B04E3">
            <w:pPr>
              <w:pStyle w:val="MDPI31text"/>
              <w:ind w:firstLine="0"/>
              <w:jc w:val="center"/>
            </w:pPr>
            <w:r w:rsidRPr="00EF7714">
              <w:t>3</w:t>
            </w:r>
          </w:p>
        </w:tc>
        <w:tc>
          <w:tcPr>
            <w:tcW w:w="1020" w:type="dxa"/>
          </w:tcPr>
          <w:p w14:paraId="3990114C" w14:textId="77777777" w:rsidR="00B943FF" w:rsidRPr="00EF7714" w:rsidRDefault="00B943FF" w:rsidP="009B04E3">
            <w:pPr>
              <w:pStyle w:val="MDPI31text"/>
              <w:ind w:firstLine="0"/>
            </w:pPr>
          </w:p>
        </w:tc>
        <w:tc>
          <w:tcPr>
            <w:tcW w:w="1021" w:type="dxa"/>
          </w:tcPr>
          <w:p w14:paraId="66F45697" w14:textId="77777777" w:rsidR="00B943FF" w:rsidRPr="00EF7714" w:rsidRDefault="00B943FF" w:rsidP="009B04E3">
            <w:pPr>
              <w:pStyle w:val="MDPI31text"/>
              <w:ind w:firstLine="0"/>
              <w:jc w:val="center"/>
            </w:pPr>
            <w:r w:rsidRPr="00EF7714">
              <w:t>Must</w:t>
            </w:r>
          </w:p>
        </w:tc>
      </w:tr>
      <w:tr w:rsidR="00B943FF" w:rsidRPr="00EF7714" w14:paraId="5CD4DAC2" w14:textId="77777777" w:rsidTr="007506DD">
        <w:tc>
          <w:tcPr>
            <w:tcW w:w="704" w:type="dxa"/>
          </w:tcPr>
          <w:p w14:paraId="223C6B25" w14:textId="77777777" w:rsidR="00B943FF" w:rsidRPr="00EF7714" w:rsidRDefault="00B943FF" w:rsidP="009B04E3">
            <w:pPr>
              <w:pStyle w:val="MDPI31text"/>
              <w:ind w:firstLine="0"/>
              <w:jc w:val="center"/>
            </w:pPr>
            <w:r w:rsidRPr="00EF7714">
              <w:t>3</w:t>
            </w:r>
          </w:p>
        </w:tc>
        <w:tc>
          <w:tcPr>
            <w:tcW w:w="1338" w:type="dxa"/>
          </w:tcPr>
          <w:p w14:paraId="02E7221E" w14:textId="77777777" w:rsidR="00B943FF" w:rsidRPr="00EF7714" w:rsidRDefault="00B943FF" w:rsidP="009B04E3">
            <w:pPr>
              <w:pStyle w:val="MDPI31text"/>
              <w:ind w:firstLine="0"/>
            </w:pPr>
            <w:r w:rsidRPr="00EF7714">
              <w:t>PAI604002</w:t>
            </w:r>
          </w:p>
        </w:tc>
        <w:tc>
          <w:tcPr>
            <w:tcW w:w="2041" w:type="dxa"/>
          </w:tcPr>
          <w:p w14:paraId="78148ACC" w14:textId="77777777" w:rsidR="00B943FF" w:rsidRPr="00EF7714" w:rsidRDefault="00B943FF" w:rsidP="009B04E3">
            <w:pPr>
              <w:pStyle w:val="MDPI31text"/>
              <w:ind w:firstLine="0"/>
            </w:pPr>
            <w:r w:rsidRPr="00EF7714">
              <w:t>Research Methodology Clinic</w:t>
            </w:r>
          </w:p>
        </w:tc>
        <w:tc>
          <w:tcPr>
            <w:tcW w:w="1020" w:type="dxa"/>
          </w:tcPr>
          <w:p w14:paraId="471DB344" w14:textId="77777777" w:rsidR="00B943FF" w:rsidRPr="00EF7714" w:rsidRDefault="00B943FF" w:rsidP="009B04E3">
            <w:pPr>
              <w:pStyle w:val="MDPI31text"/>
              <w:ind w:firstLine="0"/>
              <w:jc w:val="center"/>
            </w:pPr>
            <w:r w:rsidRPr="00EF7714">
              <w:t>3</w:t>
            </w:r>
          </w:p>
        </w:tc>
        <w:tc>
          <w:tcPr>
            <w:tcW w:w="1020" w:type="dxa"/>
          </w:tcPr>
          <w:p w14:paraId="59730B8C" w14:textId="77777777" w:rsidR="00B943FF" w:rsidRPr="00EF7714" w:rsidRDefault="00B943FF" w:rsidP="009B04E3">
            <w:pPr>
              <w:pStyle w:val="MDPI31text"/>
              <w:ind w:firstLine="0"/>
            </w:pPr>
          </w:p>
        </w:tc>
        <w:tc>
          <w:tcPr>
            <w:tcW w:w="1021" w:type="dxa"/>
          </w:tcPr>
          <w:p w14:paraId="2D8EDD84" w14:textId="77777777" w:rsidR="00B943FF" w:rsidRPr="00EF7714" w:rsidRDefault="00B943FF" w:rsidP="009B04E3">
            <w:pPr>
              <w:pStyle w:val="MDPI31text"/>
              <w:ind w:firstLine="0"/>
              <w:jc w:val="center"/>
            </w:pPr>
            <w:r w:rsidRPr="00EF7714">
              <w:t>Must</w:t>
            </w:r>
          </w:p>
        </w:tc>
      </w:tr>
      <w:tr w:rsidR="00B943FF" w:rsidRPr="00EF7714" w14:paraId="5BE25EE2" w14:textId="77777777" w:rsidTr="007506DD">
        <w:tc>
          <w:tcPr>
            <w:tcW w:w="704" w:type="dxa"/>
          </w:tcPr>
          <w:p w14:paraId="6CD91B17" w14:textId="77777777" w:rsidR="00B943FF" w:rsidRPr="00EF7714" w:rsidRDefault="00B943FF" w:rsidP="009B04E3">
            <w:pPr>
              <w:pStyle w:val="MDPI31text"/>
              <w:ind w:firstLine="0"/>
              <w:jc w:val="center"/>
            </w:pPr>
            <w:r w:rsidRPr="00EF7714">
              <w:t>4</w:t>
            </w:r>
          </w:p>
        </w:tc>
        <w:tc>
          <w:tcPr>
            <w:tcW w:w="1338" w:type="dxa"/>
          </w:tcPr>
          <w:p w14:paraId="5FF140A8" w14:textId="77777777" w:rsidR="00B943FF" w:rsidRPr="00EF7714" w:rsidRDefault="00B943FF" w:rsidP="009B04E3">
            <w:pPr>
              <w:pStyle w:val="MDPI31text"/>
              <w:ind w:firstLine="0"/>
            </w:pPr>
            <w:r w:rsidRPr="00EF7714">
              <w:t>PAI 604003</w:t>
            </w:r>
          </w:p>
        </w:tc>
        <w:tc>
          <w:tcPr>
            <w:tcW w:w="2041" w:type="dxa"/>
          </w:tcPr>
          <w:p w14:paraId="454A5E3F" w14:textId="77777777" w:rsidR="00B943FF" w:rsidRPr="00EF7714" w:rsidRDefault="00B943FF" w:rsidP="009B04E3">
            <w:pPr>
              <w:pStyle w:val="MDPI31text"/>
              <w:ind w:firstLine="0"/>
            </w:pPr>
            <w:r w:rsidRPr="00EF7714">
              <w:t>Islamic Religious Education in a Multidisciplinary Perspective</w:t>
            </w:r>
          </w:p>
        </w:tc>
        <w:tc>
          <w:tcPr>
            <w:tcW w:w="1020" w:type="dxa"/>
          </w:tcPr>
          <w:p w14:paraId="510E8255" w14:textId="77777777" w:rsidR="00B943FF" w:rsidRPr="00EF7714" w:rsidRDefault="00B943FF" w:rsidP="009B04E3">
            <w:pPr>
              <w:pStyle w:val="MDPI31text"/>
              <w:ind w:firstLine="0"/>
              <w:jc w:val="center"/>
            </w:pPr>
            <w:r w:rsidRPr="00EF7714">
              <w:t>3</w:t>
            </w:r>
          </w:p>
        </w:tc>
        <w:tc>
          <w:tcPr>
            <w:tcW w:w="1020" w:type="dxa"/>
          </w:tcPr>
          <w:p w14:paraId="34AAE2DA" w14:textId="77777777" w:rsidR="00B943FF" w:rsidRPr="00EF7714" w:rsidRDefault="00B943FF" w:rsidP="009B04E3">
            <w:pPr>
              <w:pStyle w:val="MDPI31text"/>
              <w:ind w:firstLine="0"/>
            </w:pPr>
          </w:p>
        </w:tc>
        <w:tc>
          <w:tcPr>
            <w:tcW w:w="1021" w:type="dxa"/>
          </w:tcPr>
          <w:p w14:paraId="1ACD9539" w14:textId="77777777" w:rsidR="00B943FF" w:rsidRPr="00EF7714" w:rsidRDefault="00B943FF" w:rsidP="009B04E3">
            <w:pPr>
              <w:pStyle w:val="MDPI31text"/>
              <w:ind w:firstLine="0"/>
              <w:jc w:val="center"/>
            </w:pPr>
            <w:r w:rsidRPr="00EF7714">
              <w:t>Must</w:t>
            </w:r>
          </w:p>
        </w:tc>
      </w:tr>
      <w:tr w:rsidR="00B943FF" w:rsidRPr="00EF7714" w14:paraId="2B2D8BE4" w14:textId="77777777" w:rsidTr="007506DD">
        <w:tc>
          <w:tcPr>
            <w:tcW w:w="4083" w:type="dxa"/>
            <w:gridSpan w:val="3"/>
          </w:tcPr>
          <w:p w14:paraId="165EE044" w14:textId="77777777" w:rsidR="00B943FF" w:rsidRPr="00EF7714" w:rsidRDefault="00B943FF" w:rsidP="009B04E3">
            <w:pPr>
              <w:pStyle w:val="MDPI31text"/>
              <w:ind w:firstLine="0"/>
            </w:pPr>
            <w:r w:rsidRPr="00EF7714">
              <w:t>Semester Package 2</w:t>
            </w:r>
          </w:p>
        </w:tc>
        <w:tc>
          <w:tcPr>
            <w:tcW w:w="1020" w:type="dxa"/>
          </w:tcPr>
          <w:p w14:paraId="50CE5436" w14:textId="77777777" w:rsidR="00B943FF" w:rsidRPr="00EF7714" w:rsidRDefault="00B943FF" w:rsidP="009B04E3">
            <w:pPr>
              <w:pStyle w:val="MDPI31text"/>
              <w:ind w:firstLine="0"/>
              <w:jc w:val="center"/>
            </w:pPr>
          </w:p>
        </w:tc>
        <w:tc>
          <w:tcPr>
            <w:tcW w:w="1020" w:type="dxa"/>
          </w:tcPr>
          <w:p w14:paraId="16818EB6" w14:textId="77777777" w:rsidR="00B943FF" w:rsidRPr="00EF7714" w:rsidRDefault="00B943FF" w:rsidP="009B04E3">
            <w:pPr>
              <w:pStyle w:val="MDPI31text"/>
              <w:ind w:firstLine="0"/>
            </w:pPr>
          </w:p>
        </w:tc>
        <w:tc>
          <w:tcPr>
            <w:tcW w:w="1021" w:type="dxa"/>
          </w:tcPr>
          <w:p w14:paraId="034C8F99" w14:textId="77777777" w:rsidR="00B943FF" w:rsidRPr="00EF7714" w:rsidRDefault="00B943FF" w:rsidP="009B04E3">
            <w:pPr>
              <w:pStyle w:val="MDPI31text"/>
              <w:ind w:firstLine="0"/>
            </w:pPr>
          </w:p>
        </w:tc>
      </w:tr>
      <w:tr w:rsidR="00B943FF" w:rsidRPr="00EF7714" w14:paraId="40D38F4C" w14:textId="77777777" w:rsidTr="007506DD">
        <w:tc>
          <w:tcPr>
            <w:tcW w:w="704" w:type="dxa"/>
          </w:tcPr>
          <w:p w14:paraId="0D5C8339" w14:textId="77777777" w:rsidR="00B943FF" w:rsidRPr="00EF7714" w:rsidRDefault="00B943FF" w:rsidP="009B04E3">
            <w:pPr>
              <w:pStyle w:val="MDPI31text"/>
              <w:ind w:firstLine="0"/>
              <w:jc w:val="center"/>
            </w:pPr>
            <w:r w:rsidRPr="00EF7714">
              <w:lastRenderedPageBreak/>
              <w:t>5</w:t>
            </w:r>
          </w:p>
        </w:tc>
        <w:tc>
          <w:tcPr>
            <w:tcW w:w="1338" w:type="dxa"/>
          </w:tcPr>
          <w:p w14:paraId="3122E093" w14:textId="77777777" w:rsidR="00B943FF" w:rsidRPr="00EF7714" w:rsidRDefault="00B943FF" w:rsidP="009B04E3">
            <w:pPr>
              <w:pStyle w:val="MDPI31text"/>
              <w:ind w:firstLine="0"/>
            </w:pPr>
            <w:r w:rsidRPr="00EF7714">
              <w:t>PAI604009</w:t>
            </w:r>
          </w:p>
        </w:tc>
        <w:tc>
          <w:tcPr>
            <w:tcW w:w="2041" w:type="dxa"/>
          </w:tcPr>
          <w:p w14:paraId="220E2A17" w14:textId="77777777" w:rsidR="00B943FF" w:rsidRPr="00EF7714" w:rsidRDefault="00B943FF" w:rsidP="009B04E3">
            <w:pPr>
              <w:pStyle w:val="MDPI31text"/>
              <w:ind w:firstLine="0"/>
            </w:pPr>
            <w:r w:rsidRPr="00EF7714">
              <w:t>Development of Islamic Education Theory and Models</w:t>
            </w:r>
          </w:p>
        </w:tc>
        <w:tc>
          <w:tcPr>
            <w:tcW w:w="1020" w:type="dxa"/>
          </w:tcPr>
          <w:p w14:paraId="14718129" w14:textId="77777777" w:rsidR="00B943FF" w:rsidRPr="00EF7714" w:rsidRDefault="00B943FF" w:rsidP="009B04E3">
            <w:pPr>
              <w:pStyle w:val="MDPI31text"/>
              <w:ind w:firstLine="0"/>
              <w:jc w:val="center"/>
            </w:pPr>
            <w:r w:rsidRPr="00EF7714">
              <w:t>3</w:t>
            </w:r>
          </w:p>
        </w:tc>
        <w:tc>
          <w:tcPr>
            <w:tcW w:w="1020" w:type="dxa"/>
          </w:tcPr>
          <w:p w14:paraId="6174BC56" w14:textId="77777777" w:rsidR="00B943FF" w:rsidRPr="00EF7714" w:rsidRDefault="00B943FF" w:rsidP="009B04E3">
            <w:pPr>
              <w:pStyle w:val="MDPI31text"/>
              <w:ind w:firstLine="0"/>
            </w:pPr>
          </w:p>
        </w:tc>
        <w:tc>
          <w:tcPr>
            <w:tcW w:w="1021" w:type="dxa"/>
          </w:tcPr>
          <w:p w14:paraId="566A2328" w14:textId="77777777" w:rsidR="00B943FF" w:rsidRPr="00EF7714" w:rsidRDefault="00B943FF" w:rsidP="009B04E3">
            <w:pPr>
              <w:pStyle w:val="MDPI31text"/>
              <w:ind w:firstLine="0"/>
            </w:pPr>
            <w:r w:rsidRPr="00EF7714">
              <w:t>Must</w:t>
            </w:r>
          </w:p>
        </w:tc>
      </w:tr>
      <w:tr w:rsidR="00B943FF" w:rsidRPr="00EF7714" w14:paraId="6C86680E" w14:textId="77777777" w:rsidTr="007506DD">
        <w:tc>
          <w:tcPr>
            <w:tcW w:w="704" w:type="dxa"/>
          </w:tcPr>
          <w:p w14:paraId="0F2D2151" w14:textId="77777777" w:rsidR="00B943FF" w:rsidRPr="00EF7714" w:rsidRDefault="00B943FF" w:rsidP="009B04E3">
            <w:pPr>
              <w:pStyle w:val="MDPI31text"/>
              <w:ind w:firstLine="0"/>
              <w:jc w:val="center"/>
            </w:pPr>
            <w:r w:rsidRPr="00EF7714">
              <w:t>6</w:t>
            </w:r>
          </w:p>
        </w:tc>
        <w:tc>
          <w:tcPr>
            <w:tcW w:w="1338" w:type="dxa"/>
          </w:tcPr>
          <w:p w14:paraId="5163D793" w14:textId="77777777" w:rsidR="00B943FF" w:rsidRPr="00EF7714" w:rsidRDefault="00B943FF" w:rsidP="009B04E3">
            <w:pPr>
              <w:pStyle w:val="MDPI31text"/>
              <w:ind w:firstLine="0"/>
            </w:pPr>
            <w:r w:rsidRPr="00EF7714">
              <w:t>PAI604010</w:t>
            </w:r>
          </w:p>
        </w:tc>
        <w:tc>
          <w:tcPr>
            <w:tcW w:w="2041" w:type="dxa"/>
          </w:tcPr>
          <w:p w14:paraId="7E51F040" w14:textId="77777777" w:rsidR="00B943FF" w:rsidRPr="00EF7714" w:rsidRDefault="00B943FF" w:rsidP="009B04E3">
            <w:pPr>
              <w:pStyle w:val="MDPI31text"/>
              <w:ind w:firstLine="0"/>
            </w:pPr>
            <w:r w:rsidRPr="00EF7714">
              <w:t>Seminars and Scientific Journal Publications</w:t>
            </w:r>
          </w:p>
        </w:tc>
        <w:tc>
          <w:tcPr>
            <w:tcW w:w="1020" w:type="dxa"/>
          </w:tcPr>
          <w:p w14:paraId="287ABCE4" w14:textId="77777777" w:rsidR="00B943FF" w:rsidRPr="00EF7714" w:rsidRDefault="00B943FF" w:rsidP="009B04E3">
            <w:pPr>
              <w:pStyle w:val="MDPI31text"/>
              <w:ind w:firstLine="0"/>
              <w:jc w:val="center"/>
            </w:pPr>
            <w:r w:rsidRPr="00EF7714">
              <w:t>4</w:t>
            </w:r>
          </w:p>
        </w:tc>
        <w:tc>
          <w:tcPr>
            <w:tcW w:w="1020" w:type="dxa"/>
          </w:tcPr>
          <w:p w14:paraId="07AD3133" w14:textId="77777777" w:rsidR="00B943FF" w:rsidRPr="00EF7714" w:rsidRDefault="00B943FF" w:rsidP="009B04E3">
            <w:pPr>
              <w:pStyle w:val="MDPI31text"/>
              <w:ind w:firstLine="0"/>
            </w:pPr>
          </w:p>
        </w:tc>
        <w:tc>
          <w:tcPr>
            <w:tcW w:w="1021" w:type="dxa"/>
          </w:tcPr>
          <w:p w14:paraId="1A45381D" w14:textId="77777777" w:rsidR="00B943FF" w:rsidRPr="00EF7714" w:rsidRDefault="00B943FF" w:rsidP="009B04E3">
            <w:pPr>
              <w:pStyle w:val="MDPI31text"/>
              <w:ind w:firstLine="0"/>
            </w:pPr>
            <w:r w:rsidRPr="00EF7714">
              <w:t>Must</w:t>
            </w:r>
          </w:p>
        </w:tc>
      </w:tr>
      <w:tr w:rsidR="00B943FF" w:rsidRPr="00EF7714" w14:paraId="12457FD1" w14:textId="77777777" w:rsidTr="007506DD">
        <w:tc>
          <w:tcPr>
            <w:tcW w:w="704" w:type="dxa"/>
          </w:tcPr>
          <w:p w14:paraId="7B52D1C6" w14:textId="77777777" w:rsidR="00B943FF" w:rsidRPr="00EF7714" w:rsidRDefault="00B943FF" w:rsidP="009B04E3">
            <w:pPr>
              <w:pStyle w:val="MDPI31text"/>
              <w:ind w:firstLine="0"/>
              <w:jc w:val="center"/>
            </w:pPr>
            <w:r w:rsidRPr="00EF7714">
              <w:t>7</w:t>
            </w:r>
          </w:p>
        </w:tc>
        <w:tc>
          <w:tcPr>
            <w:tcW w:w="1338" w:type="dxa"/>
          </w:tcPr>
          <w:p w14:paraId="3346A054" w14:textId="77777777" w:rsidR="00B943FF" w:rsidRPr="00EF7714" w:rsidRDefault="00B943FF" w:rsidP="009B04E3">
            <w:pPr>
              <w:pStyle w:val="MDPI31text"/>
              <w:ind w:firstLine="0"/>
            </w:pPr>
            <w:r w:rsidRPr="00EF7714">
              <w:t>PAI615005</w:t>
            </w:r>
          </w:p>
        </w:tc>
        <w:tc>
          <w:tcPr>
            <w:tcW w:w="2041" w:type="dxa"/>
          </w:tcPr>
          <w:p w14:paraId="378172AF" w14:textId="77777777" w:rsidR="00B943FF" w:rsidRPr="00EF7714" w:rsidRDefault="00B943FF" w:rsidP="009B04E3">
            <w:pPr>
              <w:pStyle w:val="MDPI31text"/>
              <w:ind w:firstLine="0"/>
            </w:pPr>
            <w:r w:rsidRPr="00EF7714">
              <w:t>Islamic Religious Education Curriculum Innovation</w:t>
            </w:r>
          </w:p>
        </w:tc>
        <w:tc>
          <w:tcPr>
            <w:tcW w:w="1020" w:type="dxa"/>
          </w:tcPr>
          <w:p w14:paraId="7C1977F1" w14:textId="77777777" w:rsidR="00B943FF" w:rsidRPr="00EF7714" w:rsidRDefault="00B943FF" w:rsidP="009B04E3">
            <w:pPr>
              <w:pStyle w:val="MDPI31text"/>
              <w:ind w:firstLine="0"/>
              <w:jc w:val="center"/>
            </w:pPr>
            <w:r w:rsidRPr="00EF7714">
              <w:t>3</w:t>
            </w:r>
          </w:p>
        </w:tc>
        <w:tc>
          <w:tcPr>
            <w:tcW w:w="1020" w:type="dxa"/>
          </w:tcPr>
          <w:p w14:paraId="781B469E" w14:textId="77777777" w:rsidR="00B943FF" w:rsidRPr="00EF7714" w:rsidRDefault="00B943FF" w:rsidP="009B04E3">
            <w:pPr>
              <w:pStyle w:val="MDPI31text"/>
              <w:ind w:firstLine="0"/>
            </w:pPr>
          </w:p>
        </w:tc>
        <w:tc>
          <w:tcPr>
            <w:tcW w:w="1021" w:type="dxa"/>
          </w:tcPr>
          <w:p w14:paraId="49711528" w14:textId="77777777" w:rsidR="00B943FF" w:rsidRPr="00EF7714" w:rsidRDefault="00B943FF" w:rsidP="009B04E3">
            <w:pPr>
              <w:pStyle w:val="MDPI31text"/>
              <w:ind w:firstLine="0"/>
              <w:jc w:val="center"/>
            </w:pPr>
            <w:r w:rsidRPr="00EF7714">
              <w:t>Choice</w:t>
            </w:r>
          </w:p>
        </w:tc>
      </w:tr>
      <w:tr w:rsidR="00B943FF" w:rsidRPr="00EF7714" w14:paraId="6E79EABB" w14:textId="77777777" w:rsidTr="007506DD">
        <w:tc>
          <w:tcPr>
            <w:tcW w:w="704" w:type="dxa"/>
          </w:tcPr>
          <w:p w14:paraId="0F453811" w14:textId="77777777" w:rsidR="00B943FF" w:rsidRPr="00EF7714" w:rsidRDefault="00B943FF" w:rsidP="009B04E3">
            <w:pPr>
              <w:pStyle w:val="MDPI31text"/>
              <w:ind w:firstLine="0"/>
              <w:jc w:val="center"/>
            </w:pPr>
            <w:r w:rsidRPr="00EF7714">
              <w:t>8</w:t>
            </w:r>
          </w:p>
        </w:tc>
        <w:tc>
          <w:tcPr>
            <w:tcW w:w="1338" w:type="dxa"/>
          </w:tcPr>
          <w:p w14:paraId="6D848E0F" w14:textId="77777777" w:rsidR="00B943FF" w:rsidRPr="00EF7714" w:rsidRDefault="00B943FF" w:rsidP="009B04E3">
            <w:pPr>
              <w:pStyle w:val="MDPI31text"/>
              <w:ind w:firstLine="0"/>
            </w:pPr>
            <w:r w:rsidRPr="00EF7714">
              <w:t>PAI615006</w:t>
            </w:r>
          </w:p>
        </w:tc>
        <w:tc>
          <w:tcPr>
            <w:tcW w:w="2041" w:type="dxa"/>
          </w:tcPr>
          <w:p w14:paraId="114AC3E6" w14:textId="77777777" w:rsidR="00B943FF" w:rsidRPr="00EF7714" w:rsidRDefault="00B943FF" w:rsidP="009B04E3">
            <w:pPr>
              <w:pStyle w:val="MDPI31text"/>
              <w:ind w:firstLine="0"/>
            </w:pPr>
            <w:r w:rsidRPr="00EF7714">
              <w:t>Global Issues and Islamic Education</w:t>
            </w:r>
          </w:p>
        </w:tc>
        <w:tc>
          <w:tcPr>
            <w:tcW w:w="1020" w:type="dxa"/>
          </w:tcPr>
          <w:p w14:paraId="7C49F823" w14:textId="77777777" w:rsidR="00B943FF" w:rsidRPr="00EF7714" w:rsidRDefault="00B943FF" w:rsidP="009B04E3">
            <w:pPr>
              <w:pStyle w:val="MDPI31text"/>
              <w:ind w:firstLine="0"/>
              <w:jc w:val="center"/>
            </w:pPr>
            <w:r w:rsidRPr="00EF7714">
              <w:t>3</w:t>
            </w:r>
          </w:p>
        </w:tc>
        <w:tc>
          <w:tcPr>
            <w:tcW w:w="1020" w:type="dxa"/>
          </w:tcPr>
          <w:p w14:paraId="3CC14FA6" w14:textId="77777777" w:rsidR="00B943FF" w:rsidRPr="00EF7714" w:rsidRDefault="00B943FF" w:rsidP="009B04E3">
            <w:pPr>
              <w:pStyle w:val="MDPI31text"/>
              <w:ind w:firstLine="0"/>
            </w:pPr>
          </w:p>
        </w:tc>
        <w:tc>
          <w:tcPr>
            <w:tcW w:w="1021" w:type="dxa"/>
          </w:tcPr>
          <w:p w14:paraId="5F1973BC" w14:textId="77777777" w:rsidR="00B943FF" w:rsidRPr="00EF7714" w:rsidRDefault="00B943FF" w:rsidP="009B04E3">
            <w:pPr>
              <w:pStyle w:val="MDPI31text"/>
              <w:ind w:firstLine="0"/>
              <w:jc w:val="center"/>
            </w:pPr>
            <w:r w:rsidRPr="00EF7714">
              <w:t>Choice</w:t>
            </w:r>
          </w:p>
        </w:tc>
      </w:tr>
      <w:tr w:rsidR="00B943FF" w:rsidRPr="00EF7714" w14:paraId="349B2B92" w14:textId="77777777" w:rsidTr="007506DD">
        <w:tc>
          <w:tcPr>
            <w:tcW w:w="704" w:type="dxa"/>
          </w:tcPr>
          <w:p w14:paraId="562EF64D" w14:textId="77777777" w:rsidR="00B943FF" w:rsidRPr="00EF7714" w:rsidRDefault="00B943FF" w:rsidP="009B04E3">
            <w:pPr>
              <w:pStyle w:val="MDPI31text"/>
              <w:ind w:firstLine="0"/>
              <w:jc w:val="center"/>
            </w:pPr>
            <w:r w:rsidRPr="00EF7714">
              <w:t>9</w:t>
            </w:r>
          </w:p>
        </w:tc>
        <w:tc>
          <w:tcPr>
            <w:tcW w:w="1338" w:type="dxa"/>
          </w:tcPr>
          <w:p w14:paraId="62ABD73D" w14:textId="77777777" w:rsidR="00B943FF" w:rsidRPr="00EF7714" w:rsidRDefault="00B943FF" w:rsidP="009B04E3">
            <w:pPr>
              <w:pStyle w:val="MDPI31text"/>
              <w:ind w:firstLine="0"/>
            </w:pPr>
            <w:r w:rsidRPr="00EF7714">
              <w:t>PAI615007</w:t>
            </w:r>
          </w:p>
        </w:tc>
        <w:tc>
          <w:tcPr>
            <w:tcW w:w="2041" w:type="dxa"/>
          </w:tcPr>
          <w:p w14:paraId="756D353F" w14:textId="77777777" w:rsidR="00B943FF" w:rsidRPr="00EF7714" w:rsidRDefault="00B943FF" w:rsidP="009B04E3">
            <w:pPr>
              <w:pStyle w:val="MDPI31text"/>
              <w:ind w:firstLine="0"/>
            </w:pPr>
            <w:r w:rsidRPr="00EF7714">
              <w:t>Islamic Education in Gender Perspective</w:t>
            </w:r>
          </w:p>
        </w:tc>
        <w:tc>
          <w:tcPr>
            <w:tcW w:w="1020" w:type="dxa"/>
          </w:tcPr>
          <w:p w14:paraId="79A095EA" w14:textId="77777777" w:rsidR="00B943FF" w:rsidRPr="00EF7714" w:rsidRDefault="00B943FF" w:rsidP="009B04E3">
            <w:pPr>
              <w:pStyle w:val="MDPI31text"/>
              <w:ind w:firstLine="0"/>
              <w:jc w:val="center"/>
            </w:pPr>
            <w:r w:rsidRPr="00EF7714">
              <w:t>3</w:t>
            </w:r>
          </w:p>
        </w:tc>
        <w:tc>
          <w:tcPr>
            <w:tcW w:w="1020" w:type="dxa"/>
          </w:tcPr>
          <w:p w14:paraId="20A41EBB" w14:textId="77777777" w:rsidR="00B943FF" w:rsidRPr="00EF7714" w:rsidRDefault="00B943FF" w:rsidP="009B04E3">
            <w:pPr>
              <w:pStyle w:val="MDPI31text"/>
              <w:ind w:firstLine="0"/>
            </w:pPr>
          </w:p>
        </w:tc>
        <w:tc>
          <w:tcPr>
            <w:tcW w:w="1021" w:type="dxa"/>
          </w:tcPr>
          <w:p w14:paraId="533BB4FD" w14:textId="77777777" w:rsidR="00B943FF" w:rsidRPr="00EF7714" w:rsidRDefault="00B943FF" w:rsidP="009B04E3">
            <w:pPr>
              <w:pStyle w:val="MDPI31text"/>
              <w:ind w:firstLine="0"/>
              <w:jc w:val="center"/>
            </w:pPr>
            <w:r w:rsidRPr="00EF7714">
              <w:t>Choice</w:t>
            </w:r>
          </w:p>
        </w:tc>
      </w:tr>
      <w:tr w:rsidR="00B943FF" w:rsidRPr="00EF7714" w14:paraId="7C9AF703" w14:textId="77777777" w:rsidTr="007506DD">
        <w:tc>
          <w:tcPr>
            <w:tcW w:w="704" w:type="dxa"/>
          </w:tcPr>
          <w:p w14:paraId="3FE35BD4" w14:textId="77777777" w:rsidR="00B943FF" w:rsidRPr="00EF7714" w:rsidRDefault="00B943FF" w:rsidP="009B04E3">
            <w:pPr>
              <w:pStyle w:val="MDPI31text"/>
              <w:ind w:firstLine="0"/>
              <w:jc w:val="center"/>
            </w:pPr>
            <w:r w:rsidRPr="00EF7714">
              <w:t>10</w:t>
            </w:r>
          </w:p>
        </w:tc>
        <w:tc>
          <w:tcPr>
            <w:tcW w:w="1338" w:type="dxa"/>
          </w:tcPr>
          <w:p w14:paraId="10469B0D" w14:textId="77777777" w:rsidR="00B943FF" w:rsidRPr="00EF7714" w:rsidRDefault="00B943FF" w:rsidP="009B04E3">
            <w:pPr>
              <w:pStyle w:val="MDPI31text"/>
              <w:ind w:firstLine="0"/>
            </w:pPr>
            <w:r w:rsidRPr="00EF7714">
              <w:t>PAI6150008</w:t>
            </w:r>
          </w:p>
        </w:tc>
        <w:tc>
          <w:tcPr>
            <w:tcW w:w="2041" w:type="dxa"/>
          </w:tcPr>
          <w:p w14:paraId="7FB6FCB0" w14:textId="77777777" w:rsidR="00B943FF" w:rsidRPr="00EF7714" w:rsidRDefault="00B943FF" w:rsidP="009B04E3">
            <w:pPr>
              <w:pStyle w:val="MDPI31text"/>
              <w:ind w:firstLine="0"/>
            </w:pPr>
            <w:r w:rsidRPr="00EF7714">
              <w:t>Development of Integrative-interconnective Islamic Education</w:t>
            </w:r>
          </w:p>
        </w:tc>
        <w:tc>
          <w:tcPr>
            <w:tcW w:w="1020" w:type="dxa"/>
          </w:tcPr>
          <w:p w14:paraId="2A08EA45" w14:textId="77777777" w:rsidR="00B943FF" w:rsidRPr="00EF7714" w:rsidRDefault="00B943FF" w:rsidP="009B04E3">
            <w:pPr>
              <w:pStyle w:val="MDPI31text"/>
              <w:ind w:firstLine="0"/>
              <w:jc w:val="center"/>
            </w:pPr>
            <w:r w:rsidRPr="00EF7714">
              <w:t>3</w:t>
            </w:r>
          </w:p>
        </w:tc>
        <w:tc>
          <w:tcPr>
            <w:tcW w:w="1020" w:type="dxa"/>
          </w:tcPr>
          <w:p w14:paraId="33101622" w14:textId="77777777" w:rsidR="00B943FF" w:rsidRPr="00EF7714" w:rsidRDefault="00B943FF" w:rsidP="009B04E3">
            <w:pPr>
              <w:pStyle w:val="MDPI31text"/>
              <w:ind w:firstLine="0"/>
            </w:pPr>
          </w:p>
        </w:tc>
        <w:tc>
          <w:tcPr>
            <w:tcW w:w="1021" w:type="dxa"/>
          </w:tcPr>
          <w:p w14:paraId="0B2DF19E" w14:textId="77777777" w:rsidR="00B943FF" w:rsidRPr="00EF7714" w:rsidRDefault="00B943FF" w:rsidP="009B04E3">
            <w:pPr>
              <w:pStyle w:val="MDPI31text"/>
              <w:ind w:firstLine="0"/>
              <w:jc w:val="center"/>
            </w:pPr>
            <w:r w:rsidRPr="00EF7714">
              <w:t>Choice</w:t>
            </w:r>
          </w:p>
        </w:tc>
      </w:tr>
      <w:tr w:rsidR="00B943FF" w:rsidRPr="00EF7714" w14:paraId="0E7C4FC9" w14:textId="77777777" w:rsidTr="007506DD">
        <w:tc>
          <w:tcPr>
            <w:tcW w:w="4083" w:type="dxa"/>
            <w:gridSpan w:val="3"/>
          </w:tcPr>
          <w:p w14:paraId="60032C44" w14:textId="77777777" w:rsidR="00B943FF" w:rsidRPr="00EF7714" w:rsidRDefault="00B943FF" w:rsidP="009B04E3">
            <w:pPr>
              <w:pStyle w:val="MDPI31text"/>
              <w:ind w:firstLine="0"/>
            </w:pPr>
            <w:r w:rsidRPr="00EF7714">
              <w:t>Semester Package 3</w:t>
            </w:r>
          </w:p>
        </w:tc>
        <w:tc>
          <w:tcPr>
            <w:tcW w:w="1020" w:type="dxa"/>
          </w:tcPr>
          <w:p w14:paraId="74C62868" w14:textId="77777777" w:rsidR="00B943FF" w:rsidRPr="00EF7714" w:rsidRDefault="00B943FF" w:rsidP="009B04E3">
            <w:pPr>
              <w:pStyle w:val="MDPI31text"/>
              <w:ind w:firstLine="0"/>
              <w:jc w:val="center"/>
            </w:pPr>
          </w:p>
        </w:tc>
        <w:tc>
          <w:tcPr>
            <w:tcW w:w="1020" w:type="dxa"/>
          </w:tcPr>
          <w:p w14:paraId="710919B6" w14:textId="77777777" w:rsidR="00B943FF" w:rsidRPr="00EF7714" w:rsidRDefault="00B943FF" w:rsidP="009B04E3">
            <w:pPr>
              <w:pStyle w:val="MDPI31text"/>
              <w:ind w:firstLine="0"/>
            </w:pPr>
          </w:p>
        </w:tc>
        <w:tc>
          <w:tcPr>
            <w:tcW w:w="1021" w:type="dxa"/>
          </w:tcPr>
          <w:p w14:paraId="052C45BE" w14:textId="77777777" w:rsidR="00B943FF" w:rsidRPr="00EF7714" w:rsidRDefault="00B943FF" w:rsidP="009B04E3">
            <w:pPr>
              <w:pStyle w:val="MDPI31text"/>
              <w:ind w:firstLine="0"/>
              <w:jc w:val="center"/>
            </w:pPr>
          </w:p>
        </w:tc>
      </w:tr>
      <w:tr w:rsidR="00B943FF" w:rsidRPr="00EF7714" w14:paraId="2C0C8A25" w14:textId="77777777" w:rsidTr="007506DD">
        <w:tc>
          <w:tcPr>
            <w:tcW w:w="704" w:type="dxa"/>
          </w:tcPr>
          <w:p w14:paraId="520D899E" w14:textId="77777777" w:rsidR="00B943FF" w:rsidRPr="00EF7714" w:rsidRDefault="00B943FF" w:rsidP="009B04E3">
            <w:pPr>
              <w:pStyle w:val="MDPI31text"/>
              <w:ind w:firstLine="0"/>
              <w:jc w:val="center"/>
            </w:pPr>
            <w:r w:rsidRPr="00EF7714">
              <w:t>11</w:t>
            </w:r>
          </w:p>
        </w:tc>
        <w:tc>
          <w:tcPr>
            <w:tcW w:w="1338" w:type="dxa"/>
          </w:tcPr>
          <w:p w14:paraId="6C6543B1" w14:textId="77777777" w:rsidR="00B943FF" w:rsidRPr="00EF7714" w:rsidRDefault="00B943FF" w:rsidP="009B04E3">
            <w:pPr>
              <w:pStyle w:val="MDPI31text"/>
              <w:ind w:firstLine="0"/>
            </w:pPr>
            <w:r w:rsidRPr="00EF7714">
              <w:t>USK603003</w:t>
            </w:r>
          </w:p>
        </w:tc>
        <w:tc>
          <w:tcPr>
            <w:tcW w:w="2041" w:type="dxa"/>
          </w:tcPr>
          <w:p w14:paraId="03E2E094" w14:textId="77777777" w:rsidR="00B943FF" w:rsidRPr="00EF7714" w:rsidRDefault="00B943FF" w:rsidP="009B04E3">
            <w:pPr>
              <w:pStyle w:val="MDPI31text"/>
              <w:ind w:firstLine="0"/>
            </w:pPr>
            <w:r w:rsidRPr="00EF7714">
              <w:t>Comprehensive examination</w:t>
            </w:r>
          </w:p>
        </w:tc>
        <w:tc>
          <w:tcPr>
            <w:tcW w:w="1020" w:type="dxa"/>
          </w:tcPr>
          <w:p w14:paraId="31CE4A3C" w14:textId="77777777" w:rsidR="00B943FF" w:rsidRPr="00EF7714" w:rsidRDefault="00B943FF" w:rsidP="009B04E3">
            <w:pPr>
              <w:pStyle w:val="MDPI31text"/>
              <w:ind w:firstLine="0"/>
              <w:jc w:val="center"/>
            </w:pPr>
            <w:r w:rsidRPr="00EF7714">
              <w:t>2</w:t>
            </w:r>
          </w:p>
        </w:tc>
        <w:tc>
          <w:tcPr>
            <w:tcW w:w="1020" w:type="dxa"/>
          </w:tcPr>
          <w:p w14:paraId="5202A9AD" w14:textId="77777777" w:rsidR="00B943FF" w:rsidRPr="00EF7714" w:rsidRDefault="00B943FF" w:rsidP="009B04E3">
            <w:pPr>
              <w:pStyle w:val="MDPI31text"/>
              <w:ind w:firstLine="0"/>
            </w:pPr>
          </w:p>
        </w:tc>
        <w:tc>
          <w:tcPr>
            <w:tcW w:w="1021" w:type="dxa"/>
          </w:tcPr>
          <w:p w14:paraId="4B342F6F" w14:textId="77777777" w:rsidR="00B943FF" w:rsidRPr="00EF7714" w:rsidRDefault="00B943FF" w:rsidP="009B04E3">
            <w:pPr>
              <w:pStyle w:val="MDPI31text"/>
              <w:ind w:firstLine="0"/>
              <w:jc w:val="center"/>
            </w:pPr>
            <w:r w:rsidRPr="00EF7714">
              <w:t>Must</w:t>
            </w:r>
          </w:p>
        </w:tc>
      </w:tr>
      <w:tr w:rsidR="00B943FF" w:rsidRPr="00EF7714" w14:paraId="11999EF2" w14:textId="77777777" w:rsidTr="007506DD">
        <w:tc>
          <w:tcPr>
            <w:tcW w:w="704" w:type="dxa"/>
          </w:tcPr>
          <w:p w14:paraId="781C7897" w14:textId="77777777" w:rsidR="00B943FF" w:rsidRPr="00EF7714" w:rsidRDefault="00B943FF" w:rsidP="009B04E3">
            <w:pPr>
              <w:pStyle w:val="MDPI31text"/>
              <w:ind w:firstLine="0"/>
              <w:jc w:val="center"/>
            </w:pPr>
            <w:r w:rsidRPr="00EF7714">
              <w:t>12</w:t>
            </w:r>
          </w:p>
        </w:tc>
        <w:tc>
          <w:tcPr>
            <w:tcW w:w="1338" w:type="dxa"/>
          </w:tcPr>
          <w:p w14:paraId="774B402C" w14:textId="77777777" w:rsidR="00B943FF" w:rsidRPr="00EF7714" w:rsidRDefault="00B943FF" w:rsidP="009B04E3">
            <w:pPr>
              <w:pStyle w:val="MDPI31text"/>
              <w:ind w:firstLine="0"/>
            </w:pPr>
            <w:r w:rsidRPr="00EF7714">
              <w:t>USK603005</w:t>
            </w:r>
          </w:p>
        </w:tc>
        <w:tc>
          <w:tcPr>
            <w:tcW w:w="2041" w:type="dxa"/>
          </w:tcPr>
          <w:p w14:paraId="1CE9D9FD" w14:textId="77777777" w:rsidR="00B943FF" w:rsidRPr="00EF7714" w:rsidRDefault="00B943FF" w:rsidP="009B04E3">
            <w:pPr>
              <w:pStyle w:val="MDPI31text"/>
              <w:ind w:firstLine="0"/>
            </w:pPr>
            <w:r w:rsidRPr="00EF7714">
              <w:t>Dissertation Proposal Seminar</w:t>
            </w:r>
          </w:p>
        </w:tc>
        <w:tc>
          <w:tcPr>
            <w:tcW w:w="1020" w:type="dxa"/>
          </w:tcPr>
          <w:p w14:paraId="525C7814" w14:textId="77777777" w:rsidR="00B943FF" w:rsidRPr="00EF7714" w:rsidRDefault="00B943FF" w:rsidP="009B04E3">
            <w:pPr>
              <w:pStyle w:val="MDPI31text"/>
              <w:ind w:firstLine="0"/>
              <w:jc w:val="center"/>
            </w:pPr>
            <w:r w:rsidRPr="00EF7714">
              <w:t>4</w:t>
            </w:r>
          </w:p>
        </w:tc>
        <w:tc>
          <w:tcPr>
            <w:tcW w:w="1020" w:type="dxa"/>
          </w:tcPr>
          <w:p w14:paraId="407787CF" w14:textId="77777777" w:rsidR="00B943FF" w:rsidRPr="00EF7714" w:rsidRDefault="00B943FF" w:rsidP="009B04E3">
            <w:pPr>
              <w:pStyle w:val="MDPI31text"/>
              <w:ind w:firstLine="0"/>
            </w:pPr>
          </w:p>
        </w:tc>
        <w:tc>
          <w:tcPr>
            <w:tcW w:w="1021" w:type="dxa"/>
          </w:tcPr>
          <w:p w14:paraId="44A1E34B" w14:textId="77777777" w:rsidR="00B943FF" w:rsidRPr="00EF7714" w:rsidRDefault="00B943FF" w:rsidP="009B04E3">
            <w:pPr>
              <w:pStyle w:val="MDPI31text"/>
              <w:ind w:firstLine="0"/>
              <w:jc w:val="center"/>
            </w:pPr>
            <w:r w:rsidRPr="00EF7714">
              <w:t>Must</w:t>
            </w:r>
          </w:p>
        </w:tc>
      </w:tr>
      <w:tr w:rsidR="00B943FF" w:rsidRPr="00EF7714" w14:paraId="37B17552" w14:textId="77777777" w:rsidTr="007506DD">
        <w:tc>
          <w:tcPr>
            <w:tcW w:w="4083" w:type="dxa"/>
            <w:gridSpan w:val="3"/>
          </w:tcPr>
          <w:p w14:paraId="4D737691" w14:textId="77777777" w:rsidR="00B943FF" w:rsidRPr="00EF7714" w:rsidRDefault="00B943FF" w:rsidP="009B04E3">
            <w:pPr>
              <w:pStyle w:val="MDPI31text"/>
              <w:ind w:firstLine="0"/>
            </w:pPr>
            <w:r w:rsidRPr="00EF7714">
              <w:t>Semester Package 4</w:t>
            </w:r>
          </w:p>
        </w:tc>
        <w:tc>
          <w:tcPr>
            <w:tcW w:w="1020" w:type="dxa"/>
          </w:tcPr>
          <w:p w14:paraId="61986B8B" w14:textId="77777777" w:rsidR="00B943FF" w:rsidRPr="00EF7714" w:rsidRDefault="00B943FF" w:rsidP="009B04E3">
            <w:pPr>
              <w:pStyle w:val="MDPI31text"/>
              <w:ind w:firstLine="0"/>
              <w:jc w:val="center"/>
            </w:pPr>
          </w:p>
        </w:tc>
        <w:tc>
          <w:tcPr>
            <w:tcW w:w="1020" w:type="dxa"/>
          </w:tcPr>
          <w:p w14:paraId="2F62AFA7" w14:textId="77777777" w:rsidR="00B943FF" w:rsidRPr="00EF7714" w:rsidRDefault="00B943FF" w:rsidP="009B04E3">
            <w:pPr>
              <w:pStyle w:val="MDPI31text"/>
              <w:ind w:firstLine="0"/>
            </w:pPr>
          </w:p>
        </w:tc>
        <w:tc>
          <w:tcPr>
            <w:tcW w:w="1021" w:type="dxa"/>
          </w:tcPr>
          <w:p w14:paraId="77F972AE" w14:textId="77777777" w:rsidR="00B943FF" w:rsidRPr="00EF7714" w:rsidRDefault="00B943FF" w:rsidP="009B04E3">
            <w:pPr>
              <w:pStyle w:val="MDPI31text"/>
              <w:ind w:firstLine="0"/>
              <w:jc w:val="center"/>
            </w:pPr>
          </w:p>
        </w:tc>
      </w:tr>
      <w:tr w:rsidR="00B943FF" w:rsidRPr="00EF7714" w14:paraId="30AAF990" w14:textId="77777777" w:rsidTr="007506DD">
        <w:tc>
          <w:tcPr>
            <w:tcW w:w="704" w:type="dxa"/>
          </w:tcPr>
          <w:p w14:paraId="2DEEAB39" w14:textId="77777777" w:rsidR="00B943FF" w:rsidRPr="00EF7714" w:rsidRDefault="00B943FF" w:rsidP="009B04E3">
            <w:pPr>
              <w:pStyle w:val="MDPI31text"/>
              <w:ind w:firstLine="0"/>
              <w:jc w:val="center"/>
            </w:pPr>
            <w:r w:rsidRPr="00EF7714">
              <w:t>13</w:t>
            </w:r>
          </w:p>
        </w:tc>
        <w:tc>
          <w:tcPr>
            <w:tcW w:w="1338" w:type="dxa"/>
          </w:tcPr>
          <w:p w14:paraId="382B7AC8" w14:textId="77777777" w:rsidR="00B943FF" w:rsidRPr="00EF7714" w:rsidRDefault="00B943FF" w:rsidP="009B04E3">
            <w:pPr>
              <w:pStyle w:val="MDPI31text"/>
              <w:ind w:firstLine="0"/>
            </w:pPr>
            <w:r w:rsidRPr="00EF7714">
              <w:t>USK603016</w:t>
            </w:r>
          </w:p>
        </w:tc>
        <w:tc>
          <w:tcPr>
            <w:tcW w:w="2041" w:type="dxa"/>
          </w:tcPr>
          <w:p w14:paraId="771212A9" w14:textId="77777777" w:rsidR="00B943FF" w:rsidRPr="00EF7714" w:rsidRDefault="00B943FF" w:rsidP="009B04E3">
            <w:pPr>
              <w:pStyle w:val="MDPI31text"/>
              <w:ind w:firstLine="0"/>
            </w:pPr>
            <w:r w:rsidRPr="00EF7714">
              <w:t>Dissertation</w:t>
            </w:r>
          </w:p>
        </w:tc>
        <w:tc>
          <w:tcPr>
            <w:tcW w:w="1020" w:type="dxa"/>
          </w:tcPr>
          <w:p w14:paraId="0B62CC97" w14:textId="77777777" w:rsidR="00B943FF" w:rsidRPr="00EF7714" w:rsidRDefault="00B943FF" w:rsidP="009B04E3">
            <w:pPr>
              <w:pStyle w:val="MDPI31text"/>
              <w:ind w:firstLine="0"/>
              <w:jc w:val="center"/>
            </w:pPr>
            <w:r w:rsidRPr="00EF7714">
              <w:t>15</w:t>
            </w:r>
          </w:p>
        </w:tc>
        <w:tc>
          <w:tcPr>
            <w:tcW w:w="1020" w:type="dxa"/>
          </w:tcPr>
          <w:p w14:paraId="684F859C" w14:textId="77777777" w:rsidR="00B943FF" w:rsidRPr="00EF7714" w:rsidRDefault="00B943FF" w:rsidP="009B04E3">
            <w:pPr>
              <w:pStyle w:val="MDPI31text"/>
              <w:ind w:firstLine="0"/>
            </w:pPr>
          </w:p>
        </w:tc>
        <w:tc>
          <w:tcPr>
            <w:tcW w:w="1021" w:type="dxa"/>
          </w:tcPr>
          <w:p w14:paraId="4DC599D2" w14:textId="77777777" w:rsidR="00B943FF" w:rsidRPr="00EF7714" w:rsidRDefault="00B943FF" w:rsidP="009B04E3">
            <w:pPr>
              <w:pStyle w:val="MDPI31text"/>
              <w:ind w:firstLine="0"/>
              <w:jc w:val="center"/>
            </w:pPr>
            <w:r w:rsidRPr="00EF7714">
              <w:t>Must</w:t>
            </w:r>
          </w:p>
        </w:tc>
      </w:tr>
      <w:tr w:rsidR="00B943FF" w:rsidRPr="00EF7714" w14:paraId="059D9921" w14:textId="77777777" w:rsidTr="007506DD">
        <w:tc>
          <w:tcPr>
            <w:tcW w:w="4083" w:type="dxa"/>
            <w:gridSpan w:val="3"/>
          </w:tcPr>
          <w:p w14:paraId="2A34CED9" w14:textId="77777777" w:rsidR="00B943FF" w:rsidRPr="00EF7714" w:rsidRDefault="00B943FF" w:rsidP="009B04E3">
            <w:pPr>
              <w:pStyle w:val="MDPI31text"/>
              <w:ind w:firstLine="0"/>
            </w:pPr>
            <w:r w:rsidRPr="00EF7714">
              <w:t>Number of Mandatory Credits (S-3)</w:t>
            </w:r>
          </w:p>
        </w:tc>
        <w:tc>
          <w:tcPr>
            <w:tcW w:w="3061" w:type="dxa"/>
            <w:gridSpan w:val="3"/>
          </w:tcPr>
          <w:p w14:paraId="46F023E3" w14:textId="77777777" w:rsidR="00B943FF" w:rsidRPr="00EF7714" w:rsidRDefault="00B943FF" w:rsidP="009B04E3">
            <w:pPr>
              <w:pStyle w:val="MDPI31text"/>
              <w:ind w:firstLine="0"/>
              <w:jc w:val="center"/>
            </w:pPr>
            <w:r w:rsidRPr="00EF7714">
              <w:t>39 credits</w:t>
            </w:r>
          </w:p>
        </w:tc>
      </w:tr>
      <w:tr w:rsidR="00B943FF" w:rsidRPr="00EF7714" w14:paraId="6E641076" w14:textId="77777777" w:rsidTr="007506DD">
        <w:tc>
          <w:tcPr>
            <w:tcW w:w="4083" w:type="dxa"/>
            <w:gridSpan w:val="3"/>
          </w:tcPr>
          <w:p w14:paraId="0A083C6A" w14:textId="77777777" w:rsidR="00B943FF" w:rsidRPr="00EF7714" w:rsidRDefault="00B943FF" w:rsidP="009B04E3">
            <w:pPr>
              <w:pStyle w:val="MDPI31text"/>
              <w:ind w:firstLine="0"/>
            </w:pPr>
            <w:r w:rsidRPr="00EF7714">
              <w:t>Elective courses offered</w:t>
            </w:r>
          </w:p>
        </w:tc>
        <w:tc>
          <w:tcPr>
            <w:tcW w:w="3061" w:type="dxa"/>
            <w:gridSpan w:val="3"/>
          </w:tcPr>
          <w:p w14:paraId="79027589" w14:textId="77777777" w:rsidR="00B943FF" w:rsidRPr="00EF7714" w:rsidRDefault="00B943FF" w:rsidP="009B04E3">
            <w:pPr>
              <w:pStyle w:val="MDPI31text"/>
              <w:ind w:firstLine="0"/>
              <w:jc w:val="center"/>
            </w:pPr>
            <w:r w:rsidRPr="00EF7714">
              <w:t>12 credits</w:t>
            </w:r>
          </w:p>
        </w:tc>
      </w:tr>
      <w:tr w:rsidR="00B943FF" w:rsidRPr="00EF7714" w14:paraId="6E778E80" w14:textId="77777777" w:rsidTr="007506DD">
        <w:tc>
          <w:tcPr>
            <w:tcW w:w="4083" w:type="dxa"/>
            <w:gridSpan w:val="3"/>
          </w:tcPr>
          <w:p w14:paraId="0FD87D46" w14:textId="77777777" w:rsidR="00B943FF" w:rsidRPr="00EF7714" w:rsidRDefault="00B943FF" w:rsidP="009B04E3">
            <w:pPr>
              <w:pStyle w:val="MDPI31text"/>
              <w:ind w:firstLine="0"/>
            </w:pPr>
            <w:r w:rsidRPr="00EF7714">
              <w:t>Elective courses that must be taken</w:t>
            </w:r>
          </w:p>
        </w:tc>
        <w:tc>
          <w:tcPr>
            <w:tcW w:w="3061" w:type="dxa"/>
            <w:gridSpan w:val="3"/>
          </w:tcPr>
          <w:p w14:paraId="7F4AAA63" w14:textId="77777777" w:rsidR="00B943FF" w:rsidRPr="00EF7714" w:rsidRDefault="00B943FF" w:rsidP="009B04E3">
            <w:pPr>
              <w:pStyle w:val="MDPI31text"/>
              <w:ind w:firstLine="0"/>
              <w:jc w:val="center"/>
            </w:pPr>
            <w:r w:rsidRPr="00EF7714">
              <w:t>0 credits</w:t>
            </w:r>
          </w:p>
        </w:tc>
      </w:tr>
    </w:tbl>
    <w:p w14:paraId="7BA2AC1F" w14:textId="77777777" w:rsidR="00B943FF" w:rsidRPr="00EF7714" w:rsidRDefault="00B943FF" w:rsidP="000857E8">
      <w:pPr>
        <w:pStyle w:val="MDPI31text"/>
        <w:ind w:firstLine="0"/>
        <w:rPr>
          <w:szCs w:val="20"/>
        </w:rPr>
      </w:pPr>
    </w:p>
    <w:p w14:paraId="2AB2298F" w14:textId="77777777" w:rsidR="00B943FF" w:rsidRPr="00EF7714" w:rsidRDefault="00B943FF" w:rsidP="00B943FF">
      <w:pPr>
        <w:pStyle w:val="MDPI31text"/>
        <w:ind w:left="284" w:firstLine="720"/>
        <w:rPr>
          <w:rFonts w:cstheme="majorBidi"/>
          <w:szCs w:val="20"/>
        </w:rPr>
      </w:pPr>
      <w:r w:rsidRPr="00EF7714">
        <w:rPr>
          <w:rFonts w:cstheme="majorBidi"/>
          <w:szCs w:val="20"/>
          <w:lang w:val="id-ID"/>
        </w:rPr>
        <w:t>Based on the table above, it can be seen that the formation of a course in the PAI Doctoral Study Program can be reached by analyzing learning outcomes. It can be seen in the table above that there are several courses such as: "Philosophy of Science: Theory and Practice in Islamic Education, Studies of Al-Quran and Hadith in Islamic Education, Development of Islamic Education Theory and Models, Global Issues and Islamic Education and Educational Development. Integrative-interconnective Islam”. Of course, PAI and Islamic education are different things. Furthermore, the subject "Islamic Religious Education in a Multidisciplinary Perspective", does not include inter and transdisciplinary.</w:t>
      </w:r>
    </w:p>
    <w:p w14:paraId="0FF11603" w14:textId="77777777" w:rsidR="00B943FF" w:rsidRPr="00EF7714" w:rsidRDefault="00B943FF" w:rsidP="00B943FF">
      <w:pPr>
        <w:pStyle w:val="MDPI31text"/>
        <w:ind w:left="284" w:firstLine="720"/>
        <w:rPr>
          <w:rFonts w:cstheme="majorBidi"/>
          <w:szCs w:val="20"/>
        </w:rPr>
      </w:pPr>
      <w:r w:rsidRPr="00EF7714">
        <w:rPr>
          <w:rFonts w:cstheme="majorBidi"/>
          <w:szCs w:val="20"/>
        </w:rPr>
        <w:t>Where when viewed at the KKNI 9 level, they are able to solve problems of science, technology, and or art in their scientific fields through inter, multi or transdisciplinary approaches. Then the subject "Islamic Education in a Gender Perspective" does not have anything to do with PAI Learning Outcomes.</w:t>
      </w:r>
    </w:p>
    <w:p w14:paraId="704717A4" w14:textId="1B0288E0" w:rsidR="00B943FF" w:rsidRPr="00EF7714" w:rsidRDefault="00B943FF" w:rsidP="00B943FF">
      <w:pPr>
        <w:pStyle w:val="MDPI31text"/>
        <w:ind w:left="284" w:firstLine="436"/>
        <w:rPr>
          <w:rFonts w:cstheme="majorBidi"/>
          <w:szCs w:val="20"/>
        </w:rPr>
      </w:pPr>
      <w:r w:rsidRPr="00EF7714">
        <w:rPr>
          <w:rFonts w:cstheme="majorBidi"/>
          <w:szCs w:val="20"/>
        </w:rPr>
        <w:t>Furthermore, the PAI Doctoral Study Program has two models of courses, namely fat courses and skinny courses. Skinny courses are courses with small credits, but in large numbers. The PAI Doctoral Study Program consists of 4 credits with 2 courses. The advantage of this course model is that students of the PAI Doctoral Study Program can know many fields of knowledge</w:t>
      </w:r>
      <w:r w:rsidR="001012EB" w:rsidRPr="00EF7714">
        <w:rPr>
          <w:rFonts w:cstheme="majorBidi"/>
          <w:szCs w:val="20"/>
        </w:rPr>
        <w:t xml:space="preserve"> (Sutrisno, 2015, p.100).</w:t>
      </w:r>
    </w:p>
    <w:p w14:paraId="03EA3DC9" w14:textId="77777777" w:rsidR="001012EB" w:rsidRPr="00EF7714" w:rsidRDefault="001012EB" w:rsidP="001012EB">
      <w:pPr>
        <w:pStyle w:val="MDPI31text"/>
        <w:ind w:left="284" w:firstLine="720"/>
        <w:rPr>
          <w:rFonts w:cstheme="majorBidi"/>
          <w:szCs w:val="20"/>
        </w:rPr>
      </w:pPr>
      <w:r w:rsidRPr="00EF7714">
        <w:rPr>
          <w:rFonts w:cstheme="majorBidi"/>
          <w:szCs w:val="20"/>
        </w:rPr>
        <w:t xml:space="preserve">However, the weakness is that students have never finished studying a particular field of science. The limited time and number of face-to-face meetings made students' knowledge only broad but not deep. Meanwhile, fat courses are subjects with a large credit weight, so the number </w:t>
      </w:r>
      <w:r w:rsidRPr="00EF7714">
        <w:rPr>
          <w:rFonts w:cstheme="majorBidi"/>
          <w:szCs w:val="20"/>
        </w:rPr>
        <w:lastRenderedPageBreak/>
        <w:t>of course names is reduced (Sutrisno, 2015, p.100). This model of course formation has advantages, namely students can study certain fields of science in depth, broadly and thoroughly.</w:t>
      </w:r>
    </w:p>
    <w:p w14:paraId="32A5CB5B" w14:textId="4075AD2B" w:rsidR="001012EB" w:rsidRPr="00EF7714" w:rsidRDefault="001012EB" w:rsidP="00C557F7">
      <w:pPr>
        <w:pStyle w:val="MDPI31text"/>
        <w:ind w:left="284" w:firstLine="436"/>
        <w:rPr>
          <w:szCs w:val="20"/>
        </w:rPr>
      </w:pPr>
      <w:r w:rsidRPr="00EF7714">
        <w:rPr>
          <w:szCs w:val="20"/>
        </w:rPr>
        <w:t>The table above also shows that the distribution of courses in each semester is uneven. Semester I consists of 11 credits with a total of four courses, all of which are compulsory subjects. The courses in the first semester are subjects in the mandatory category, in the sense that all students of the PAI Doctoral Study Program are required to take all of these</w:t>
      </w:r>
      <w:r w:rsidR="00C557F7" w:rsidRPr="00EF7714">
        <w:rPr>
          <w:szCs w:val="20"/>
        </w:rPr>
        <w:t xml:space="preserve"> </w:t>
      </w:r>
      <w:r w:rsidRPr="00EF7714">
        <w:rPr>
          <w:szCs w:val="20"/>
        </w:rPr>
        <w:t>courses without exception. In the second semester, there are 12 credits with a total of 4 courses with details of two compulsory courses and two elective courses. Then in the third semester the courses offered are 6 credits with a total of two courses.</w:t>
      </w:r>
    </w:p>
    <w:p w14:paraId="1D771F47" w14:textId="77777777" w:rsidR="001012EB" w:rsidRPr="00EF7714" w:rsidRDefault="001012EB" w:rsidP="001012EB">
      <w:pPr>
        <w:pStyle w:val="MDPI31text"/>
        <w:ind w:left="284" w:firstLine="720"/>
        <w:rPr>
          <w:rFonts w:cstheme="majorBidi"/>
          <w:szCs w:val="20"/>
        </w:rPr>
      </w:pPr>
      <w:r w:rsidRPr="00EF7714">
        <w:rPr>
          <w:szCs w:val="20"/>
          <w:lang w:val="id-ID"/>
        </w:rPr>
        <w:t>In practice, the proposal seminar course is carried out after students have taken a comprehensive exam, where a comprehensive exam is an integral and comprehensive exam, aimed at assessing the breadth of insight and academic ability achieved by students while attending lectures (theory). In semester IV-VI students can write a dissertation so that in semester VI they can complete their studies. There are several exams that students need to pass, namely the feasibility test, closed exam and open exam.</w:t>
      </w:r>
    </w:p>
    <w:p w14:paraId="7DF7A9A0" w14:textId="0F66F65F" w:rsidR="001012EB" w:rsidRPr="00EF7714" w:rsidRDefault="001012EB" w:rsidP="001012EB">
      <w:pPr>
        <w:pStyle w:val="MDPI31text"/>
        <w:ind w:left="284" w:firstLine="720"/>
        <w:rPr>
          <w:rFonts w:cstheme="majorBidi"/>
          <w:szCs w:val="20"/>
        </w:rPr>
      </w:pPr>
      <w:r w:rsidRPr="00EF7714">
        <w:rPr>
          <w:szCs w:val="20"/>
          <w:lang w:val="id-ID"/>
        </w:rPr>
        <w:t>When viewed from the content side, it can be seen that there are quite significant differences in semester I courses, semester II courses, and third semester courses, Semester IV-VI (MKP) courses. When compared with the provisions contained in the Decree of the Minister of National Education of the Republic of Indonesia Number 045/U/2002, there is no difference in determining the composition in the Doctoral Program curriculum of the Faculty of Tarbiyah Sciences UIN Sunan Kalijaga Yogyakarta regarding the composition of the main components, supporting competencies and other competencies. According to the decision of the Minister of National Education, the composition is that the main components consist of 40%-80%, supporting components 20%-40% and other components 0%-30%. Thus, from the data quoted from the PAI Doctoral Study Program document, it is still within the range specified in the decision of the Minister of National Educatio</w:t>
      </w:r>
      <w:r w:rsidR="00675E64" w:rsidRPr="00EF7714">
        <w:rPr>
          <w:szCs w:val="20"/>
        </w:rPr>
        <w:t xml:space="preserve"> </w:t>
      </w:r>
      <m:oMath>
        <m:r>
          <w:rPr>
            <w:rFonts w:ascii="Cambria Math" w:hAnsi="Cambria Math"/>
            <w:szCs w:val="20"/>
          </w:rPr>
          <m:t xml:space="preserve">11÷51×100=21,56%19÷51×100=37,25%6÷51×100=11.76%, 15÷51×100=29,41 % </m:t>
        </m:r>
      </m:oMath>
    </w:p>
    <w:p w14:paraId="16AFE655" w14:textId="5B82F52F" w:rsidR="001012EB" w:rsidRPr="00EF7714" w:rsidRDefault="001012EB" w:rsidP="001012EB">
      <w:pPr>
        <w:pStyle w:val="MDPI31text"/>
        <w:ind w:left="284" w:firstLine="436"/>
        <w:rPr>
          <w:szCs w:val="20"/>
        </w:rPr>
      </w:pPr>
      <w:r w:rsidRPr="00EF7714">
        <w:rPr>
          <w:rFonts w:cstheme="majorBidi"/>
          <w:szCs w:val="20"/>
        </w:rPr>
        <w:t>Preferably, the transdisciplinary and multidisciplinary approach in the PAI Doctoral Study Program allows the Study Program to create courses that have a much larger credit weight, where subject A is an integration of various disciplines of science which aims to make students have comprehensive abilities because they are studied in one structure subject (</w:t>
      </w:r>
      <w:r w:rsidRPr="00EF7714">
        <w:rPr>
          <w:szCs w:val="20"/>
        </w:rPr>
        <w:t>Doctor of Philosophy in Education (Ph.D), 2020 p, 40).</w:t>
      </w:r>
    </w:p>
    <w:p w14:paraId="0FD5450E" w14:textId="49F2B9FA" w:rsidR="001012EB" w:rsidRPr="00EF7714" w:rsidRDefault="001012EB" w:rsidP="001012EB">
      <w:pPr>
        <w:pStyle w:val="MDPI31text"/>
        <w:ind w:left="284" w:firstLine="720"/>
        <w:rPr>
          <w:rFonts w:cstheme="majorBidi"/>
          <w:szCs w:val="20"/>
        </w:rPr>
      </w:pPr>
      <w:r w:rsidRPr="00EF7714">
        <w:rPr>
          <w:rFonts w:cstheme="majorBidi"/>
          <w:szCs w:val="20"/>
        </w:rPr>
        <w:t>And it can be understood that the formation of courses is flexible, therefore, each study program has the freedom to form a new curriculum because the course is only a package, while the contents are a number of study materials that are selected by a study program.</w:t>
      </w:r>
    </w:p>
    <w:p w14:paraId="3BE5E80B" w14:textId="77777777" w:rsidR="00675E64" w:rsidRPr="00EF7714" w:rsidRDefault="00675E64" w:rsidP="00675E64">
      <w:pPr>
        <w:pStyle w:val="MDPI31text"/>
        <w:ind w:left="284" w:firstLine="720"/>
        <w:rPr>
          <w:rFonts w:cstheme="majorBidi"/>
          <w:szCs w:val="20"/>
        </w:rPr>
      </w:pPr>
      <w:r w:rsidRPr="00EF7714">
        <w:rPr>
          <w:rFonts w:cstheme="majorBidi"/>
          <w:szCs w:val="20"/>
        </w:rPr>
        <w:t>The rationale in determining the credits of a course follows the equal credit for equal work philosophy. Therefore, it is necessary to calculate the load of the courses to be studied. This means that each course load is largely determined by the breadth, depth and detail of the study materials needed to achieve a specified competency and level of mastery. After getting the load/time allocation for a course, the semester credit units can be calculated. The trick is to proportionally compare the course load to the total load to achieve the total credits set by the government.</w:t>
      </w:r>
    </w:p>
    <w:p w14:paraId="7E03C4D6" w14:textId="77777777" w:rsidR="00675E64" w:rsidRPr="00EF7714" w:rsidRDefault="00675E64" w:rsidP="00675E64">
      <w:pPr>
        <w:pStyle w:val="MDPI31text"/>
        <w:ind w:left="284" w:firstLine="720"/>
        <w:rPr>
          <w:rFonts w:cstheme="majorBidi"/>
          <w:szCs w:val="20"/>
        </w:rPr>
      </w:pPr>
      <w:r w:rsidRPr="00EF7714">
        <w:rPr>
          <w:rFonts w:cstheme="majorBidi"/>
          <w:szCs w:val="20"/>
        </w:rPr>
        <w:t>In Permendikbud No.49 of 2014 Article 15 paragraph 3 it is also emphasized that each course has a weight of at least 1 credit. In addition, paragraph 4 states that one semester is a unit of time for effective learning activities for 16 weeks. The process of determining the credits that will be presented in the curriculum structure needs to consider the strength of the student's length of study. Permendikbud No. 49 of 2014 article 17 paragraph 1 states that the normal load of student learning is 8 hours per day or 48 hours per week equivalent to 18 semester credits, up to 9 hours per day or 54 hours per week equivalent to 20 credits per semester.</w:t>
      </w:r>
    </w:p>
    <w:p w14:paraId="71A33396" w14:textId="77777777" w:rsidR="00675E64" w:rsidRPr="00EF7714" w:rsidRDefault="00675E64" w:rsidP="00675E64">
      <w:pPr>
        <w:pStyle w:val="MDPI31text"/>
        <w:ind w:left="284" w:firstLine="720"/>
        <w:rPr>
          <w:rFonts w:cstheme="majorBidi"/>
          <w:szCs w:val="20"/>
        </w:rPr>
      </w:pPr>
      <w:r w:rsidRPr="00EF7714">
        <w:rPr>
          <w:rFonts w:cstheme="majorBidi"/>
          <w:szCs w:val="20"/>
        </w:rPr>
        <w:t xml:space="preserve">Thus, the curriculum structure of the PAI Doctoral Study Program is not allowed to provide a learning load of more than 20 credits to students with ordinary abilities. Meanwhile, to fulfill the learning achievement of graduates of the PAI Doctoral study program at UIN Sunan Kalijaga as </w:t>
      </w:r>
      <w:r w:rsidRPr="00EF7714">
        <w:rPr>
          <w:rFonts w:cstheme="majorBidi"/>
          <w:szCs w:val="20"/>
        </w:rPr>
        <w:lastRenderedPageBreak/>
        <w:t>referred to in Article 5, students are required to take a study load of at least 42 credits, while in terms of the study period to be able to complete education at a certain level, including giving awards to students who excel where the study period for the doctoral study program is at least 3 years.</w:t>
      </w:r>
    </w:p>
    <w:p w14:paraId="7FD57B3E" w14:textId="5518B251" w:rsidR="00675E64" w:rsidRPr="00EF7714" w:rsidRDefault="00675E64" w:rsidP="00675E64">
      <w:pPr>
        <w:pStyle w:val="MDPI31text"/>
        <w:ind w:left="284" w:firstLine="720"/>
        <w:rPr>
          <w:rFonts w:cstheme="majorBidi"/>
          <w:szCs w:val="20"/>
        </w:rPr>
      </w:pPr>
      <w:r w:rsidRPr="00EF7714">
        <w:rPr>
          <w:szCs w:val="20"/>
        </w:rPr>
        <w:t>In addition, it can also be seen that the courses at the PAI Doctoral Study Program at UIN Sunan Kalijaga for semester 1 and semester 2 are the average theory delivered by the lecturer in classical nature (</w:t>
      </w:r>
      <w:r w:rsidRPr="00EF7714">
        <w:rPr>
          <w:rFonts w:cstheme="majorBidi"/>
          <w:szCs w:val="20"/>
        </w:rPr>
        <w:t xml:space="preserve">PAI courses in Multidisciplinary Perspective, Philosophy of Science theory and practice, Development of Islamic Education Theory and Models, Global Issues in Islamic Education) </w:t>
      </w:r>
      <w:r w:rsidRPr="00EF7714">
        <w:rPr>
          <w:szCs w:val="20"/>
        </w:rPr>
        <w:t>so that it does not direct students to research and produce tested works. Although there are several lecturers who also direct students to produce tested works (</w:t>
      </w:r>
      <w:r w:rsidRPr="00EF7714">
        <w:rPr>
          <w:rFonts w:cstheme="majorBidi"/>
          <w:szCs w:val="20"/>
        </w:rPr>
        <w:t xml:space="preserve">Al-Quran and Hadith Studies of Islamic Education, Curriculum Innovation, Seminars and Scientific Publications) </w:t>
      </w:r>
      <w:r w:rsidRPr="00EF7714">
        <w:rPr>
          <w:szCs w:val="20"/>
        </w:rPr>
        <w:t>So that it makes it difficult for students to know thoroughly about the theme of their dissertation research, this is because the research is not designed at the beginning of the 2019-2020 school year, ideally the manager when the doctoral student selection process has selected research proposals by two competent experts in their fields who later will be promoters of prospective doctoral students so that doctoral students can develop and discover theories (</w:t>
      </w:r>
      <w:r w:rsidRPr="00EF7714">
        <w:rPr>
          <w:rFonts w:cstheme="majorBidi"/>
          <w:szCs w:val="20"/>
        </w:rPr>
        <w:t xml:space="preserve">Results of interviews with Andrianto, Arham Juanaidi Friman, Agung Ilham (S3 PAI students at Sunan Kalijaga State Islamic University, Yogyakata for the 2019-2020 academic year), on April 24, 2021, 9:10 a.m. at the Sambilegi Mosque.) </w:t>
      </w:r>
    </w:p>
    <w:p w14:paraId="2F7DC038" w14:textId="6551F0E8" w:rsidR="00675E64" w:rsidRPr="00EF7714" w:rsidRDefault="00675E64" w:rsidP="00675E64">
      <w:pPr>
        <w:pStyle w:val="MDPI31text"/>
        <w:ind w:left="284" w:firstLine="720"/>
        <w:rPr>
          <w:rFonts w:cstheme="majorBidi"/>
          <w:szCs w:val="20"/>
        </w:rPr>
      </w:pPr>
      <w:r w:rsidRPr="00EF7714">
        <w:rPr>
          <w:szCs w:val="20"/>
        </w:rPr>
        <w:t>However, this policy changed during the 2020-2021 academic year in which prospective students of the PAI UIN Sunan Kalijaga Doctoral Program had been drafted by prospective students before the initial lecture test without being checked by the prospective supervisor (</w:t>
      </w:r>
      <w:r w:rsidRPr="00EF7714">
        <w:rPr>
          <w:rFonts w:cstheme="majorBidi"/>
          <w:szCs w:val="20"/>
        </w:rPr>
        <w:t>Results of interviews with Nur Wahyuni, Yuli Kuswandari, Mizan Habibi (S3 PAI students at Sunan Kalijaga State Islamic University Yogyakata for the 2020-2021 academic year), April 24, 2021, 9:10 a.m. at the Sambilegi Mosque).</w:t>
      </w:r>
    </w:p>
    <w:p w14:paraId="6EB47C31" w14:textId="77777777" w:rsidR="007506DD" w:rsidRPr="00EF7714" w:rsidRDefault="00675E64" w:rsidP="007506DD">
      <w:pPr>
        <w:pStyle w:val="MDPI31text"/>
        <w:ind w:left="284" w:firstLine="720"/>
        <w:rPr>
          <w:rFonts w:cstheme="majorBidi"/>
          <w:szCs w:val="20"/>
        </w:rPr>
      </w:pPr>
      <w:r w:rsidRPr="00EF7714">
        <w:rPr>
          <w:szCs w:val="20"/>
        </w:rPr>
        <w:t>Unlike the case with overseas universities such as UIIM, each prospective graduate student (prospective student) abroad is usually required to contact a prospective supervisor (prospective supervisor) so that the research theme proposed by the prospective student can be in sync with the supervisor's expertise. In addition, having a prospective supervisor is also one of the requirements to obtain a Letter of Acceptance (LoA) and at the same time a scholarship for later studies (</w:t>
      </w:r>
      <w:r w:rsidRPr="00EF7714">
        <w:rPr>
          <w:rFonts w:cstheme="majorBidi"/>
          <w:szCs w:val="20"/>
        </w:rPr>
        <w:t>The results of the interview with Fifi Anti Mapika Sari Binti Sukamto, UIIM Phylosophy Doctoral Student on September 11, 2020 at 13:42.)</w:t>
      </w:r>
    </w:p>
    <w:p w14:paraId="4BF037B0" w14:textId="33407037" w:rsidR="007506DD" w:rsidRPr="00EF7714" w:rsidRDefault="007506DD" w:rsidP="007506DD">
      <w:pPr>
        <w:pStyle w:val="MDPI31text"/>
        <w:ind w:left="284" w:firstLine="720"/>
        <w:rPr>
          <w:rFonts w:cstheme="majorBidi"/>
          <w:iCs/>
          <w:szCs w:val="20"/>
        </w:rPr>
      </w:pPr>
      <w:r w:rsidRPr="00EF7714">
        <w:rPr>
          <w:iCs/>
          <w:szCs w:val="20"/>
        </w:rPr>
        <w:t>Bernacycle revealed that PhDs in design, which will allow students to move more quickly from novice to expert researchers in design. Even in informal curricula, there is need for communities of design research practice with diverse and intersectionmembership interests (</w:t>
      </w:r>
      <w:r w:rsidRPr="00EF7714">
        <w:rPr>
          <w:rFonts w:cstheme="majorBidi"/>
          <w:iCs/>
          <w:szCs w:val="20"/>
        </w:rPr>
        <w:t xml:space="preserve">B. Barnacle, R., Duxbury, L. and Grierson, E., Supervising Practices for Postgraduate Research in Art, Architecture and Design, Rotterdam: Sense Publishers, 2012). </w:t>
      </w:r>
      <w:r w:rsidRPr="00EF7714">
        <w:rPr>
          <w:iCs/>
          <w:szCs w:val="20"/>
        </w:rPr>
        <w:t>Such a community should include senior researchers and students, in partnerships of co-authors who draw on, reflect, and learn from each other's research practice.</w:t>
      </w:r>
    </w:p>
    <w:p w14:paraId="40B6D023" w14:textId="77777777" w:rsidR="007506DD" w:rsidRPr="00EF7714" w:rsidRDefault="007506DD" w:rsidP="007506DD">
      <w:pPr>
        <w:pStyle w:val="MDPI31text"/>
        <w:ind w:left="284" w:firstLine="720"/>
        <w:rPr>
          <w:iCs/>
          <w:szCs w:val="20"/>
        </w:rPr>
      </w:pPr>
      <w:r w:rsidRPr="00EF7714">
        <w:rPr>
          <w:iCs/>
          <w:szCs w:val="20"/>
        </w:rPr>
        <w:t>Of course, thus students of the PAI Doctoral Study Program at UIN Sunan Kalijaga can become reliable researchers in their fields, in the independent learning curriculum they can form research activities or research activities at research institutions/study centers (</w:t>
      </w:r>
      <w:r w:rsidRPr="00EF7714">
        <w:rPr>
          <w:rFonts w:cstheme="majorBidi"/>
          <w:iCs/>
          <w:szCs w:val="20"/>
        </w:rPr>
        <w:t xml:space="preserve">Burton, Diana and Goodman, Ruth, “The Doctoral in Teaching and Learning: a Revolution in Teacher Education or a Bright Light Quickly Extinguished?” in Journal of Education for Teaching: International Research and Pedagogy, Vol. 37, No. 1, February 2011, 51-61.) </w:t>
      </w:r>
      <w:r w:rsidRPr="00EF7714">
        <w:rPr>
          <w:iCs/>
          <w:szCs w:val="20"/>
        </w:rPr>
        <w:t>Through this research, students can build critical thinking skills (</w:t>
      </w:r>
    </w:p>
    <w:p w14:paraId="32830F7F" w14:textId="77777777" w:rsidR="007506DD" w:rsidRPr="00EF7714" w:rsidRDefault="007506DD" w:rsidP="007506DD">
      <w:pPr>
        <w:pStyle w:val="MDPI31text"/>
        <w:ind w:left="284" w:firstLine="720"/>
        <w:rPr>
          <w:iCs/>
          <w:szCs w:val="20"/>
          <w:lang w:val="en-ID" w:eastAsia="en-ID"/>
        </w:rPr>
      </w:pPr>
      <w:r w:rsidRPr="00EF7714">
        <w:rPr>
          <w:rFonts w:eastAsia="Calibri" w:cs="Arial"/>
          <w:iCs/>
          <w:szCs w:val="20"/>
          <w:lang w:val="id-ID"/>
        </w:rPr>
        <w:t>James Keevy, The SADDC Qualifications Framework as a Mechanism to Improve the Comparability of TVET Qualifications in the SADC Region, South African Qualifications Authority, 13. Tushar Gupta and Lokanath Mishra, Higher-Order Thinking Skills in Shaping the Future of Student, Psychology and Education , 2021, 58(2), 9305. N. Fredriksen,</w:t>
      </w:r>
      <w:r w:rsidRPr="00EF7714">
        <w:rPr>
          <w:iCs/>
          <w:szCs w:val="20"/>
          <w:lang w:val="en-ID" w:eastAsia="en-ID"/>
        </w:rPr>
        <w:t>Toward a broader conception of human intelligence. In RJ Sternberg &amp; RK Wagner (Eds.), Practical intelligence: Nature and origins of competence in the everyday world, New York: Cambridge University Press, 1986. 116)</w:t>
      </w:r>
    </w:p>
    <w:p w14:paraId="2040C967" w14:textId="4E407FD1" w:rsidR="00B943FF" w:rsidRPr="00EF7714" w:rsidRDefault="007506DD" w:rsidP="007506DD">
      <w:pPr>
        <w:pStyle w:val="MDPI31text"/>
        <w:ind w:left="284" w:firstLine="436"/>
        <w:rPr>
          <w:rFonts w:cstheme="majorBidi"/>
          <w:iCs/>
          <w:szCs w:val="20"/>
        </w:rPr>
      </w:pPr>
      <w:r w:rsidRPr="00EF7714">
        <w:rPr>
          <w:iCs/>
          <w:szCs w:val="20"/>
        </w:rPr>
        <w:lastRenderedPageBreak/>
        <w:t>Needed in various scientific families at the higher education level, especially doctoral students. By having this critical thinking ability, doctoral program students will be able to better explore, understand, and be able to carry out research methods. For students who have an interest and desire to work in the research field, the opportunity to do an internship in a research center laboratory is their dream.</w:t>
      </w:r>
    </w:p>
    <w:p w14:paraId="4325E64A" w14:textId="77777777" w:rsidR="00B943FF" w:rsidRPr="00EF7714" w:rsidRDefault="00B943FF" w:rsidP="002B31FD">
      <w:pPr>
        <w:pStyle w:val="Alishlah24HEading4"/>
      </w:pPr>
    </w:p>
    <w:p w14:paraId="657CE1EB" w14:textId="33395604" w:rsidR="00B07DDB" w:rsidRPr="00EF7714" w:rsidRDefault="00B07DDB" w:rsidP="00B07DDB">
      <w:pPr>
        <w:pStyle w:val="Alishlah22heading2"/>
        <w:spacing w:before="0" w:after="0"/>
        <w:rPr>
          <w:szCs w:val="20"/>
        </w:rPr>
      </w:pPr>
      <w:r w:rsidRPr="00EF7714">
        <w:rPr>
          <w:szCs w:val="20"/>
        </w:rPr>
        <w:t>2.4. Learning Process</w:t>
      </w:r>
    </w:p>
    <w:p w14:paraId="60121258" w14:textId="77777777" w:rsidR="00B07DDB" w:rsidRPr="00EF7714" w:rsidRDefault="00B07DDB" w:rsidP="00B07DDB">
      <w:pPr>
        <w:pStyle w:val="CommentText"/>
        <w:spacing w:after="0"/>
        <w:ind w:firstLine="720"/>
        <w:jc w:val="both"/>
        <w:rPr>
          <w:rFonts w:ascii="Palatino Linotype" w:hAnsi="Palatino Linotype"/>
        </w:rPr>
      </w:pPr>
      <w:r w:rsidRPr="00EF7714">
        <w:rPr>
          <w:rFonts w:ascii="Palatino Linotype" w:hAnsi="Palatino Linotype"/>
        </w:rPr>
        <w:t>Assessment is the process of collecting, reporting, and using information about students' learning outcomes by applying the principles of assessment, implementing continuity, authentic, accurate and consistent evidence (</w:t>
      </w:r>
      <w:r w:rsidRPr="00EF7714">
        <w:rPr>
          <w:rFonts w:ascii="Palatino Linotype" w:hAnsi="Palatino Linotype" w:cstheme="majorBidi"/>
        </w:rPr>
        <w:t xml:space="preserve">E Mulyasa,  2004, 195 ; R. C Doll, 1978; p 45. L . Bradly, 1992,p 25). </w:t>
      </w:r>
      <w:r w:rsidRPr="00EF7714">
        <w:rPr>
          <w:rFonts w:ascii="Palatino Linotype" w:hAnsi="Palatino Linotype"/>
        </w:rPr>
        <w:t>The assessment should be oriented to the learning achievement of the PAI Doctoral Study Program students at Sunan Kalijaga State Islamic University, not a verdict for mistakes. This means that the assessment can still change as long as the student concerned is willing to improve the process and learning outcomes.</w:t>
      </w:r>
    </w:p>
    <w:p w14:paraId="535226EA" w14:textId="1943E4E9" w:rsidR="002C3C11" w:rsidRPr="00EF7714" w:rsidRDefault="00B07DDB" w:rsidP="002C3C11">
      <w:pPr>
        <w:pStyle w:val="CommentText"/>
        <w:spacing w:after="0"/>
        <w:ind w:firstLine="720"/>
        <w:jc w:val="both"/>
        <w:rPr>
          <w:rFonts w:ascii="Palatino Linotype" w:hAnsi="Palatino Linotype"/>
        </w:rPr>
      </w:pPr>
      <w:r w:rsidRPr="00EF7714">
        <w:rPr>
          <w:rFonts w:ascii="Palatino Linotype" w:hAnsi="Palatino Linotype"/>
        </w:rPr>
        <w:t>The learning process in the PAI Doctoral Study Program is based on Student Center Learning (SCL). Where this learning is carried out during the learning process, namely by checking the development of learning outcomes achieved by students. On this basis, assessment or assessment is not just a verdict and looking for faults, but rather checking, reviewing, giving direction and input to students so that they are able to meet the demands of the learning outcomes set</w:t>
      </w:r>
      <w:r w:rsidR="002C3C11" w:rsidRPr="00EF7714">
        <w:rPr>
          <w:rFonts w:ascii="Palatino Linotype" w:hAnsi="Palatino Linotype"/>
        </w:rPr>
        <w:t xml:space="preserve"> (</w:t>
      </w:r>
      <w:bookmarkStart w:id="1" w:name="_Hlk103588632"/>
      <w:r w:rsidR="002C3C11" w:rsidRPr="00EF7714">
        <w:rPr>
          <w:rFonts w:ascii="Palatino Linotype" w:hAnsi="Palatino Linotype" w:cstheme="majorBidi"/>
        </w:rPr>
        <w:t>E Mulyasa, 2004,p 195)</w:t>
      </w:r>
      <w:bookmarkEnd w:id="1"/>
    </w:p>
    <w:p w14:paraId="0227E19B" w14:textId="5624EDFC" w:rsidR="00E86DF2" w:rsidRPr="00EF7714" w:rsidRDefault="002C3C11" w:rsidP="00E86DF2">
      <w:pPr>
        <w:pStyle w:val="CommentText"/>
        <w:spacing w:after="0"/>
        <w:ind w:firstLine="720"/>
        <w:jc w:val="both"/>
        <w:rPr>
          <w:rFonts w:ascii="Palatino Linotype" w:hAnsi="Palatino Linotype"/>
        </w:rPr>
      </w:pPr>
      <w:r w:rsidRPr="00EF7714">
        <w:rPr>
          <w:rFonts w:ascii="Palatino Linotype" w:hAnsi="Palatino Linotype"/>
        </w:rPr>
        <w:t>In the IQF, the assessment model that is considered appropriate to assess the SCL-based learning process is the Authentic Assessment or Performance Assessment. Authentic Assessment consists of three basic activities, namely: (a) the lecturer gives assignments, (2) students show performance and (3) the lecturer and students assess the performance based on certain indicators with an instrument called a rubric ( Sutrisn0, 2015, p.35)</w:t>
      </w:r>
      <w:r w:rsidR="00E86DF2" w:rsidRPr="00EF7714">
        <w:rPr>
          <w:rFonts w:ascii="Palatino Linotype" w:hAnsi="Palatino Linotype"/>
        </w:rPr>
        <w:t xml:space="preserve"> </w:t>
      </w:r>
      <w:r w:rsidRPr="00EF7714">
        <w:rPr>
          <w:rFonts w:ascii="Palatino Linotype" w:hAnsi="Palatino Linotype"/>
        </w:rPr>
        <w:t>Meanwhile, the assessment system in the PAI Doctoral Study Program of UIN Sunan Kalijaga from all courses in the Doctoral Study Program is to produce a product in the form of a paper (</w:t>
      </w:r>
      <w:r w:rsidRPr="00EF7714">
        <w:rPr>
          <w:rFonts w:ascii="Palatino Linotype" w:hAnsi="Palatino Linotype" w:cstheme="majorBidi"/>
        </w:rPr>
        <w:t xml:space="preserve">PAI courses in Multidisciplinary Perspective, Philosophy of Science theory and practice, Development of Islamic Education Theory and Models, Global Issues in Islamic Education, Studies of Al-Quran and Hadith in Islamic Education, Curriculum Innovation, Seminars and Scientific Publications) </w:t>
      </w:r>
      <w:r w:rsidRPr="00EF7714">
        <w:rPr>
          <w:rFonts w:ascii="Palatino Linotype" w:hAnsi="Palatino Linotype"/>
        </w:rPr>
        <w:t>, but it is unfortunate that only a few courses require students to submit their papers in the form of articles in both national and international journals. If this is done by all lecturers in the PAI Doctoral Study Program, it can reach the level 9 demands of the KKNI</w:t>
      </w:r>
      <w:r w:rsidR="00E86DF2" w:rsidRPr="00EF7714">
        <w:rPr>
          <w:rFonts w:ascii="Palatino Linotype" w:hAnsi="Palatino Linotype"/>
        </w:rPr>
        <w:t xml:space="preserve"> </w:t>
      </w:r>
      <w:r w:rsidRPr="00EF7714">
        <w:rPr>
          <w:rFonts w:ascii="Palatino Linotype" w:hAnsi="Palatino Linotype"/>
        </w:rPr>
        <w:t>but it is unfortunate that only a few courses require students to submit their papers in the form of articles in both national and international journals.</w:t>
      </w:r>
      <w:r w:rsidR="00E86DF2" w:rsidRPr="00EF7714">
        <w:rPr>
          <w:rFonts w:ascii="Palatino Linotype" w:hAnsi="Palatino Linotype"/>
        </w:rPr>
        <w:t xml:space="preserve"> (</w:t>
      </w:r>
      <w:r w:rsidR="00E86DF2" w:rsidRPr="00EF7714">
        <w:rPr>
          <w:rFonts w:ascii="Palatino Linotype" w:hAnsi="Palatino Linotype" w:cstheme="majorBidi"/>
        </w:rPr>
        <w:t>Al-Quran and Hadith Studies of Islamic Education, Curriculum Innovation, Seminars and Scientific Publications)</w:t>
      </w:r>
      <w:r w:rsidR="00E86DF2" w:rsidRPr="00EF7714">
        <w:rPr>
          <w:rFonts w:ascii="Palatino Linotype" w:hAnsi="Palatino Linotype"/>
        </w:rPr>
        <w:t xml:space="preserve"> </w:t>
      </w:r>
      <w:r w:rsidRPr="00EF7714">
        <w:rPr>
          <w:rFonts w:ascii="Palatino Linotype" w:hAnsi="Palatino Linotype"/>
        </w:rPr>
        <w:t>If this is done by all lecturers in the PAI Doctoral Study Program, it can reach the level 9 demands of the KKNI.</w:t>
      </w:r>
    </w:p>
    <w:p w14:paraId="317109DF" w14:textId="2304972A" w:rsidR="002C3C11" w:rsidRPr="00EF7714" w:rsidRDefault="002C3C11" w:rsidP="00E86DF2">
      <w:pPr>
        <w:pStyle w:val="CommentText"/>
        <w:spacing w:after="0"/>
        <w:ind w:firstLine="720"/>
        <w:jc w:val="both"/>
        <w:rPr>
          <w:rFonts w:ascii="Palatino Linotype" w:hAnsi="Palatino Linotype"/>
        </w:rPr>
      </w:pPr>
      <w:r w:rsidRPr="00EF7714">
        <w:rPr>
          <w:rFonts w:ascii="Palatino Linotype" w:hAnsi="Palatino Linotype"/>
        </w:rPr>
        <w:t>The higher education curriculum (KPT) based on the KKNI uses the learning assessment standards set out in the Ministry of Education and Culture Number 49 of 2014 article 18 paragraph 1 which is defined as the minimum criteria for assessing student learning processes and outcomes in order to fulfill graduate learning outcomes. Assessment of student learning processes and outcomes includes: (1) assessment principles, (2) assessment techniques and instruments, (3) assessment mechanisms and procedures, (4) assessment implementation, (5) assessment reporting, (6) student graduation.</w:t>
      </w:r>
    </w:p>
    <w:p w14:paraId="72263799" w14:textId="77777777" w:rsidR="00E86DF2" w:rsidRPr="00EF7714" w:rsidRDefault="002C3C11" w:rsidP="00E86DF2">
      <w:pPr>
        <w:pStyle w:val="CommentText"/>
        <w:ind w:left="426" w:firstLine="294"/>
        <w:jc w:val="both"/>
        <w:rPr>
          <w:rFonts w:ascii="Palatino Linotype" w:hAnsi="Palatino Linotype"/>
        </w:rPr>
      </w:pPr>
      <w:r w:rsidRPr="00EF7714">
        <w:rPr>
          <w:rFonts w:ascii="Palatino Linotype" w:hAnsi="Palatino Linotype"/>
        </w:rPr>
        <w:t>The principles used by the PAI Doctoral Study Program at UIN Sunan Kalijaga are educative, authentic, objective, accountable, transparent. By using this principle, students of the PAI Doctoral Study Program at UIN Sunan Kalijaga are declared to have passed if they have taken all of the specified study loads and have graduate learning outcomes targeted by the study program with a cumulative achievement index (GPA) greater than</w:t>
      </w:r>
      <w:r w:rsidR="00E86DF2" w:rsidRPr="00EF7714">
        <w:rPr>
          <w:rFonts w:ascii="Palatino Linotype" w:hAnsi="Palatino Linotype"/>
        </w:rPr>
        <w:t xml:space="preserve"> or equal to 3.00 (three point zero). . Graduates from the PAI Doctoral study program at UIN Sunan Kalijaga are declared satisfactory, very satisfying or praiseworthy with the following criteria:</w:t>
      </w:r>
    </w:p>
    <w:p w14:paraId="3F2FD7A0" w14:textId="77777777" w:rsidR="00E86DF2" w:rsidRPr="00EF7714" w:rsidRDefault="00E86DF2" w:rsidP="00E86DF2">
      <w:pPr>
        <w:pStyle w:val="CommentText"/>
        <w:numPr>
          <w:ilvl w:val="0"/>
          <w:numId w:val="19"/>
        </w:numPr>
        <w:jc w:val="both"/>
        <w:rPr>
          <w:rFonts w:ascii="Palatino Linotype" w:hAnsi="Palatino Linotype"/>
        </w:rPr>
      </w:pPr>
      <w:r w:rsidRPr="00EF7714">
        <w:rPr>
          <w:rFonts w:ascii="Palatino Linotype" w:hAnsi="Palatino Linotype"/>
        </w:rPr>
        <w:lastRenderedPageBreak/>
        <w:t>A student is declared to have passed with a satisfactory predicate if he/she achieves a cumulative GPA (GPA) of 3.00 (three point zero) to 3,550 (three point five zero).</w:t>
      </w:r>
    </w:p>
    <w:p w14:paraId="296FF675" w14:textId="77777777" w:rsidR="00E86DF2" w:rsidRPr="00EF7714" w:rsidRDefault="00E86DF2" w:rsidP="00E86DF2">
      <w:pPr>
        <w:pStyle w:val="CommentText"/>
        <w:numPr>
          <w:ilvl w:val="0"/>
          <w:numId w:val="19"/>
        </w:numPr>
        <w:jc w:val="both"/>
        <w:rPr>
          <w:rFonts w:ascii="Palatino Linotype" w:hAnsi="Palatino Linotype"/>
        </w:rPr>
      </w:pPr>
      <w:r w:rsidRPr="00EF7714">
        <w:rPr>
          <w:rFonts w:ascii="Palatino Linotype" w:hAnsi="Palatino Linotype"/>
        </w:rPr>
        <w:t>A student is declared a graduate with a very satisfactory predicate if he reaches a cumulative achievement index (GPA) of 3.51 (three point five one) to 3.75 (three point seven five).</w:t>
      </w:r>
    </w:p>
    <w:p w14:paraId="474EBE78" w14:textId="77777777" w:rsidR="00E86DF2" w:rsidRPr="00EF7714" w:rsidRDefault="00E86DF2" w:rsidP="00E86DF2">
      <w:pPr>
        <w:pStyle w:val="CommentText"/>
        <w:numPr>
          <w:ilvl w:val="0"/>
          <w:numId w:val="19"/>
        </w:numPr>
        <w:jc w:val="both"/>
        <w:rPr>
          <w:rFonts w:ascii="Palatino Linotype" w:hAnsi="Palatino Linotype"/>
        </w:rPr>
      </w:pPr>
      <w:r w:rsidRPr="00EF7714">
        <w:rPr>
          <w:rFonts w:ascii="Palatino Linotype" w:hAnsi="Palatino Linotype"/>
        </w:rPr>
        <w:t>Students are declared graduated with honors if they achieve a cumulative achievement index (GPA) of more than 3.75 (three point seven five).</w:t>
      </w:r>
    </w:p>
    <w:p w14:paraId="55D59156" w14:textId="6C14E856" w:rsidR="00E86DF2" w:rsidRPr="00EF7714" w:rsidRDefault="00E86DF2" w:rsidP="00EF7714">
      <w:pPr>
        <w:pStyle w:val="CommentText"/>
        <w:spacing w:after="0"/>
        <w:ind w:firstLine="720"/>
        <w:jc w:val="both"/>
        <w:rPr>
          <w:rFonts w:ascii="Palatino Linotype" w:hAnsi="Palatino Linotype"/>
          <w:lang w:val="en-US"/>
        </w:rPr>
      </w:pPr>
      <w:r w:rsidRPr="00EF7714">
        <w:rPr>
          <w:rFonts w:ascii="Palatino Linotype" w:hAnsi="Palatino Linotype"/>
          <w:lang w:val="id-ID"/>
        </w:rPr>
        <w:t>Assessment techniques and instruments as well as aspects that are used as objects of assessment developed in the PAI Doctoral Study Program are sought to be comprehensive and the aspects assessed are not only focused on the final learning outcomes, but also pay attention to process aspects.</w:t>
      </w:r>
      <w:r w:rsidRPr="00EF7714">
        <w:rPr>
          <w:rFonts w:ascii="Palatino Linotype" w:hAnsi="Palatino Linotype"/>
          <w:lang w:val="en-US"/>
        </w:rPr>
        <w:t>(</w:t>
      </w:r>
      <w:r w:rsidR="00EF7714" w:rsidRPr="00EF7714">
        <w:rPr>
          <w:rFonts w:ascii="Palatino Linotype" w:hAnsi="Palatino Linotype"/>
        </w:rPr>
        <w:t xml:space="preserve"> Results of interviews with Prof. Dr. Hj. Sri Sumarni, M.Pd, Dean of FITK Sunan Kalijaga, via a zoom meeting on May 6, 2021)</w:t>
      </w:r>
    </w:p>
    <w:p w14:paraId="24512AC0" w14:textId="0DEA3932" w:rsidR="00E86DF2" w:rsidRPr="00EF7714" w:rsidRDefault="00E86DF2" w:rsidP="00EF7714">
      <w:pPr>
        <w:pStyle w:val="FootnoteText"/>
        <w:ind w:firstLine="426"/>
        <w:jc w:val="both"/>
        <w:rPr>
          <w:rFonts w:ascii="Palatino Linotype" w:hAnsi="Palatino Linotype"/>
        </w:rPr>
      </w:pPr>
      <w:r w:rsidRPr="00EF7714">
        <w:rPr>
          <w:rFonts w:ascii="Palatino Linotype" w:hAnsi="Palatino Linotype"/>
          <w:lang w:val="id-ID"/>
        </w:rPr>
        <w:t>In terms of process, the aspects assessed include student attendance, student attitudes and interests. During the learning process in the classroom, the activeness and participation of students in the learning process. In terms of results, the aspects assessed include cognitive, psychomotor and affective aspects</w:t>
      </w:r>
      <w:r w:rsidRPr="00EF7714">
        <w:rPr>
          <w:rFonts w:ascii="Palatino Linotype" w:hAnsi="Palatino Linotype"/>
          <w:lang w:val="en-US"/>
        </w:rPr>
        <w:t xml:space="preserve"> (</w:t>
      </w:r>
      <w:r w:rsidR="00EF7714" w:rsidRPr="00EF7714">
        <w:rPr>
          <w:rFonts w:ascii="Palatino Linotype" w:hAnsi="Palatino Linotype"/>
        </w:rPr>
        <w:t>Benjamin S. Bloom (ed), Taxonomy of Education Objectives, 7).</w:t>
      </w:r>
    </w:p>
    <w:p w14:paraId="57277A0B" w14:textId="22ABC40D" w:rsidR="00E86DF2" w:rsidRPr="00EF7714" w:rsidRDefault="00E86DF2" w:rsidP="00EF7714">
      <w:pPr>
        <w:pStyle w:val="CommentText"/>
        <w:spacing w:after="0"/>
        <w:ind w:firstLine="426"/>
        <w:jc w:val="both"/>
        <w:rPr>
          <w:rFonts w:ascii="Palatino Linotype" w:hAnsi="Palatino Linotype"/>
        </w:rPr>
      </w:pPr>
      <w:r w:rsidRPr="00EF7714">
        <w:rPr>
          <w:rFonts w:ascii="Palatino Linotype" w:hAnsi="Palatino Linotype"/>
        </w:rPr>
        <w:t>Aspects of knowledge (cognitive domain) is an aspect related to the ability to think or intellectual activity. The skill aspect (psychomotor domain) is related to the individual's ability to act. The affective aspect (affective domain) is related to attitudes that influence a person's choices in acting which are generally based on values(</w:t>
      </w:r>
      <w:r w:rsidR="00EF7714" w:rsidRPr="00EF7714">
        <w:rPr>
          <w:rFonts w:ascii="Palatino Linotype" w:eastAsia="Calibri" w:hAnsi="Palatino Linotype" w:cstheme="majorBidi"/>
          <w:i/>
          <w:iCs/>
          <w:lang w:val="id-ID"/>
        </w:rPr>
        <w:t>A Foucauldian Critique of the Development and Implementation of the South African National Qualifications Framework</w:t>
      </w:r>
      <w:r w:rsidR="00EF7714" w:rsidRPr="00EF7714">
        <w:rPr>
          <w:rFonts w:ascii="Palatino Linotype" w:eastAsia="Calibri" w:hAnsi="Palatino Linotype" w:cstheme="majorBidi"/>
          <w:lang w:val="id-ID"/>
        </w:rPr>
        <w:t>, 2005, 23</w:t>
      </w:r>
      <w:r w:rsidR="00EF7714" w:rsidRPr="00EF7714">
        <w:rPr>
          <w:rFonts w:ascii="Palatino Linotype" w:eastAsia="Calibri" w:hAnsi="Palatino Linotype" w:cstheme="majorBidi"/>
          <w:lang w:val="en-US"/>
        </w:rPr>
        <w:t>)</w:t>
      </w:r>
      <w:r w:rsidR="00EF7714" w:rsidRPr="00EF7714">
        <w:rPr>
          <w:rFonts w:ascii="Palatino Linotype" w:hAnsi="Palatino Linotype"/>
          <w:lang w:val="en-US"/>
        </w:rPr>
        <w:t xml:space="preserve"> </w:t>
      </w:r>
      <w:r w:rsidRPr="00EF7714">
        <w:rPr>
          <w:rFonts w:ascii="Palatino Linotype" w:hAnsi="Palatino Linotype"/>
        </w:rPr>
        <w:t>In determining the final value, each of these aspects is considered proportionally according to the level of urgency. According to the Faculty level policy, the aspects that must be considered in determining the final grade are packaged in six components, namely appearance, attitude, assignments, Mid-Semester Examination (UTS) and Final Semester Examination (UAS) (</w:t>
      </w:r>
      <w:r w:rsidR="00EF7714" w:rsidRPr="00EF7714">
        <w:rPr>
          <w:rFonts w:ascii="Palatino Linotype" w:hAnsi="Palatino Linotype"/>
        </w:rPr>
        <w:t>Results of interviews with Sibawaih, M.Si, Ph.d, Sek. PAI Sunan Kalijaga S3 Study Program, via a zoom meeting on May 3, 2021).</w:t>
      </w:r>
    </w:p>
    <w:p w14:paraId="328CF181" w14:textId="64DE6293" w:rsidR="00EF7714" w:rsidRPr="00EF7714" w:rsidRDefault="00EF7714" w:rsidP="00EF7714">
      <w:pPr>
        <w:pStyle w:val="CommentText"/>
        <w:spacing w:after="0"/>
        <w:ind w:firstLine="426"/>
        <w:jc w:val="both"/>
        <w:rPr>
          <w:rFonts w:ascii="Palatino Linotype" w:hAnsi="Palatino Linotype"/>
        </w:rPr>
      </w:pPr>
      <w:r w:rsidRPr="00EF7714">
        <w:rPr>
          <w:rFonts w:ascii="Palatino Linotype" w:hAnsi="Palatino Linotype"/>
        </w:rPr>
        <w:t>it was completely left to each lecturer and an agreement with students when the study contract took place at the beginning of the semester. This is because each course has different characteristics and demands for competence, so it is the course lecturer who knows more about the portion of each of these components (Results of interviews with Prof. Margustam, MA, PAI Lecturer at UIN Sunan Kalijaga, via a zoom meeting on May 25, 2021).</w:t>
      </w:r>
    </w:p>
    <w:p w14:paraId="5D99B908" w14:textId="39B164BA" w:rsidR="00EF7714" w:rsidRPr="00EF7714" w:rsidRDefault="005B5AEC" w:rsidP="00EF7714">
      <w:pPr>
        <w:pStyle w:val="Alishlah21heading1"/>
        <w:rPr>
          <w:rFonts w:eastAsia="Arial"/>
        </w:rPr>
      </w:pPr>
      <w:r w:rsidRPr="00723B12">
        <w:rPr>
          <w:rFonts w:eastAsia="Arial"/>
        </w:rPr>
        <w:t xml:space="preserve">CONCLUSION </w:t>
      </w:r>
    </w:p>
    <w:p w14:paraId="083343FA" w14:textId="7C31BCCB" w:rsidR="00EF7714" w:rsidRPr="00EF7714" w:rsidRDefault="00EF7714" w:rsidP="00EF7714">
      <w:pPr>
        <w:ind w:firstLine="426"/>
        <w:jc w:val="both"/>
        <w:rPr>
          <w:rFonts w:ascii="Palatino Linotype" w:hAnsi="Palatino Linotype"/>
          <w:bCs/>
          <w:sz w:val="20"/>
          <w:szCs w:val="20"/>
        </w:rPr>
      </w:pPr>
      <w:r w:rsidRPr="00EF7714">
        <w:rPr>
          <w:rFonts w:ascii="Palatino Linotype" w:hAnsi="Palatino Linotype"/>
          <w:bCs/>
          <w:sz w:val="20"/>
          <w:szCs w:val="20"/>
        </w:rPr>
        <w:t>The curriculum in the PAI Doctoral Study Program at UIN Sunan Kalijaga will always develop according to the needs of the community. So that the curriculum in the PAI Doctoral Study Program is designed according to the needs in the field, where the curriculum design of the PAI Doctoral Study Program at UIN Sunan Kalijaga starts from the formulation of learning outcomes, study materials and determination of lectures, learning and assessment in accordance with the demands of the Indonesian National Qualifications Framework (KKNI). ), but when examined in depth in terms of</w:t>
      </w:r>
      <w:r w:rsidRPr="00EF7714">
        <w:rPr>
          <w:rFonts w:ascii="Palatino Linotype" w:hAnsi="Palatino Linotype"/>
          <w:i/>
          <w:iCs/>
          <w:sz w:val="20"/>
          <w:szCs w:val="20"/>
        </w:rPr>
        <w:t>constructive alignment</w:t>
      </w:r>
      <w:r w:rsidRPr="00EF7714">
        <w:rPr>
          <w:rFonts w:ascii="Palatino Linotype" w:hAnsi="Palatino Linotype"/>
          <w:sz w:val="20"/>
          <w:szCs w:val="20"/>
        </w:rPr>
        <w:t xml:space="preserve">(construct compatibility) from the profile of study program graduates, level 9 descriptions in the KKNI, CPL, study materials and determination of courses are still not appropriate. In addition, the constructive alignment of CPL, CPMK, study materials, methods, and assessments are still not in accordance with the demands of the PAI Doctoral Study Program. This incompatibility of constructs will certainly have an impact on the graduates of the PAI Doctoral Study Program at UIN Sunan Kalijaga Yogyakarta. Meanwhile, from the study material the PAI Doctoral Study Program places less emphasis on determining study materials so that it focuses more on subjects and in terms of learning in the PAI Study Program it emphasizes SCL and the assessment has used the PAP although not all </w:t>
      </w:r>
      <w:r w:rsidRPr="00EF7714">
        <w:rPr>
          <w:rFonts w:ascii="Palatino Linotype" w:hAnsi="Palatino Linotype"/>
          <w:sz w:val="20"/>
          <w:szCs w:val="20"/>
        </w:rPr>
        <w:lastRenderedPageBreak/>
        <w:t>courses direct the study program students to produce written works. scientific research at the national and international levels.</w:t>
      </w:r>
    </w:p>
    <w:p w14:paraId="3959639B" w14:textId="3D112E2C" w:rsidR="0028224D" w:rsidRPr="0028224D" w:rsidRDefault="005B5AEC" w:rsidP="0028224D">
      <w:pPr>
        <w:pStyle w:val="Alishlah21heading1"/>
        <w:numPr>
          <w:ilvl w:val="0"/>
          <w:numId w:val="0"/>
        </w:numPr>
        <w:rPr>
          <w:rFonts w:eastAsia="Arial"/>
        </w:rPr>
      </w:pPr>
      <w:r w:rsidRPr="00723B12">
        <w:rPr>
          <w:rFonts w:eastAsia="Arial"/>
        </w:rPr>
        <w:t>REFERENCE</w:t>
      </w:r>
      <w:r w:rsidR="0028224D">
        <w:rPr>
          <w:rFonts w:eastAsia="Arial"/>
        </w:rPr>
        <w:t>NCE</w:t>
      </w:r>
    </w:p>
    <w:p w14:paraId="3C522683" w14:textId="6CAA8EAC"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B. Barnacle, R., Duxbury, L. and Grierson, E.</w:t>
      </w:r>
      <w:r w:rsidR="009408F4">
        <w:rPr>
          <w:rFonts w:ascii="Palatino Linotype" w:hAnsi="Palatino Linotype" w:cstheme="majorBidi"/>
        </w:rPr>
        <w:t xml:space="preserve"> </w:t>
      </w:r>
      <w:r w:rsidRPr="0028224D">
        <w:rPr>
          <w:rFonts w:ascii="Palatino Linotype" w:hAnsi="Palatino Linotype" w:cstheme="majorBidi"/>
        </w:rPr>
        <w:t>(2012). Supervising Practices for Postgraduate Research in Art, Architecture and Design, Rotterdam: Sense Publishers.</w:t>
      </w:r>
    </w:p>
    <w:p w14:paraId="535DB9C9"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0A4905A1" w14:textId="77777777" w:rsidR="00BF6481"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Benjamin S. Bloom with other writers, such as Max D. Engelhart, Edward J. Furst, Walker H. Hill, and David R. Krathwohl, 1956. The work they wrote was published in it.</w:t>
      </w:r>
    </w:p>
    <w:p w14:paraId="369C5006" w14:textId="4DAD3EA4" w:rsidR="0028224D" w:rsidRP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 xml:space="preserve"> </w:t>
      </w:r>
    </w:p>
    <w:p w14:paraId="25B6C741" w14:textId="2E69A21E"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Bradly, L. (1992). Curriculum and development, Sydney: Prentice Hall.</w:t>
      </w:r>
    </w:p>
    <w:p w14:paraId="257D2E52"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7006D09E" w14:textId="5F53FCA2"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Burton, Diana and Goodman, Ruth, (2011).  The Doctoral in Teaching and Learning: a Revolution in Teacher Education or a Bright Light Quickly Extinguished?  in Journal of Education for Teaching: International Research and Pedagogy,  37( 1),</w:t>
      </w:r>
      <w:r w:rsidR="00C413E0">
        <w:rPr>
          <w:rFonts w:ascii="Palatino Linotype" w:hAnsi="Palatino Linotype" w:cstheme="majorBidi"/>
        </w:rPr>
        <w:t>51-56</w:t>
      </w:r>
      <w:r w:rsidRPr="0028224D">
        <w:rPr>
          <w:rFonts w:ascii="Palatino Linotype" w:hAnsi="Palatino Linotype" w:cstheme="majorBidi"/>
        </w:rPr>
        <w:t xml:space="preserve"> .</w:t>
      </w:r>
    </w:p>
    <w:p w14:paraId="555F84B8"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507E2C97" w14:textId="6F9A0AE5"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Christof Nagele and Barbara E. Stalder, (2011). “Competence and The Need for Transferable Skills?”, in Journal of Education for Teaching: International Research and Pedagogy, 37, (1),</w:t>
      </w:r>
      <w:r w:rsidR="00C413E0">
        <w:rPr>
          <w:rFonts w:ascii="Palatino Linotype" w:hAnsi="Palatino Linotype" w:cstheme="majorBidi"/>
        </w:rPr>
        <w:t xml:space="preserve"> 51</w:t>
      </w:r>
      <w:r w:rsidRPr="0028224D">
        <w:rPr>
          <w:rFonts w:ascii="Palatino Linotype" w:hAnsi="Palatino Linotype" w:cstheme="majorBidi"/>
        </w:rPr>
        <w:t>.</w:t>
      </w:r>
    </w:p>
    <w:p w14:paraId="0203233B"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13818BFA" w14:textId="46C519AA" w:rsid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CR Kothari. (1985). Research Methodology- Methods and Techniques, New Delhi, Wiley Eastern Limited.</w:t>
      </w:r>
      <w:r w:rsidR="00C413E0">
        <w:rPr>
          <w:rFonts w:ascii="Palatino Linotype" w:hAnsi="Palatino Linotype"/>
        </w:rPr>
        <w:t>45</w:t>
      </w:r>
      <w:r w:rsidRPr="0028224D">
        <w:rPr>
          <w:rFonts w:ascii="Palatino Linotype" w:hAnsi="Palatino Linotype"/>
        </w:rPr>
        <w:t>.</w:t>
      </w:r>
    </w:p>
    <w:p w14:paraId="28AF4398" w14:textId="77777777" w:rsidR="00BF6481" w:rsidRPr="0028224D" w:rsidRDefault="00BF6481" w:rsidP="006224F4">
      <w:pPr>
        <w:pStyle w:val="FootnoteText"/>
        <w:tabs>
          <w:tab w:val="left" w:pos="1560"/>
        </w:tabs>
        <w:ind w:left="567" w:hanging="567"/>
        <w:jc w:val="both"/>
        <w:rPr>
          <w:rFonts w:ascii="Palatino Linotype" w:hAnsi="Palatino Linotype"/>
        </w:rPr>
      </w:pPr>
    </w:p>
    <w:p w14:paraId="6BE3B79B" w14:textId="66C0E673" w:rsidR="0028224D" w:rsidRDefault="0028224D" w:rsidP="00566F99">
      <w:pPr>
        <w:pStyle w:val="FootnoteText"/>
        <w:tabs>
          <w:tab w:val="left" w:pos="1560"/>
        </w:tabs>
        <w:ind w:left="567" w:hanging="567"/>
        <w:jc w:val="both"/>
        <w:rPr>
          <w:rFonts w:ascii="Palatino Linotype" w:hAnsi="Palatino Linotype"/>
        </w:rPr>
      </w:pPr>
      <w:r w:rsidRPr="0028224D">
        <w:rPr>
          <w:rFonts w:ascii="Palatino Linotype" w:hAnsi="Palatino Linotype"/>
        </w:rPr>
        <w:t>Cycle. (2005). National Qualifications Framework Impact Study Report, South African Qualifications Authority: Saqa.</w:t>
      </w:r>
    </w:p>
    <w:p w14:paraId="1155A784" w14:textId="77777777" w:rsidR="00BF6481" w:rsidRPr="0028224D" w:rsidRDefault="00BF6481" w:rsidP="00566F99">
      <w:pPr>
        <w:pStyle w:val="FootnoteText"/>
        <w:tabs>
          <w:tab w:val="left" w:pos="1560"/>
        </w:tabs>
        <w:ind w:left="567" w:hanging="567"/>
        <w:jc w:val="both"/>
        <w:rPr>
          <w:rFonts w:ascii="Palatino Linotype" w:hAnsi="Palatino Linotype"/>
        </w:rPr>
      </w:pPr>
    </w:p>
    <w:p w14:paraId="1A07A195" w14:textId="1E082F59" w:rsid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Dawson, Catherine. (2002). Practical Research Methods, New Delhi, UBS Publishers' Distributors.</w:t>
      </w:r>
    </w:p>
    <w:p w14:paraId="3B0D2C3E" w14:textId="77777777" w:rsidR="00BF6481" w:rsidRPr="0028224D" w:rsidRDefault="00BF6481" w:rsidP="006224F4">
      <w:pPr>
        <w:pStyle w:val="FootnoteText"/>
        <w:tabs>
          <w:tab w:val="left" w:pos="1560"/>
        </w:tabs>
        <w:ind w:left="567" w:hanging="567"/>
        <w:jc w:val="both"/>
        <w:rPr>
          <w:rFonts w:ascii="Palatino Linotype" w:hAnsi="Palatino Linotype"/>
        </w:rPr>
      </w:pPr>
    </w:p>
    <w:p w14:paraId="31CE96BD" w14:textId="0DC0A848" w:rsid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Doctor of Philosophy in Education (Ph.D), Curriculum and Instruction Concentration, Liberaty University Graduate School, 2019-2020 Degree Completion Plan.</w:t>
      </w:r>
    </w:p>
    <w:p w14:paraId="3304918C" w14:textId="77777777" w:rsidR="00BF6481" w:rsidRPr="0028224D" w:rsidRDefault="00BF6481" w:rsidP="006224F4">
      <w:pPr>
        <w:pStyle w:val="FootnoteText"/>
        <w:tabs>
          <w:tab w:val="left" w:pos="1560"/>
        </w:tabs>
        <w:ind w:left="567" w:hanging="567"/>
        <w:jc w:val="both"/>
        <w:rPr>
          <w:rFonts w:ascii="Palatino Linotype" w:hAnsi="Palatino Linotype"/>
        </w:rPr>
      </w:pPr>
    </w:p>
    <w:p w14:paraId="5D79A0AF" w14:textId="515074F6" w:rsid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Document of Accreditation Form for PAI Doctoral Study Program at UIN Sunan Kalijaga Academic Year 2019-2020.</w:t>
      </w:r>
    </w:p>
    <w:p w14:paraId="16A3D7B0" w14:textId="77777777" w:rsidR="00BF6481" w:rsidRPr="0028224D" w:rsidRDefault="00BF6481" w:rsidP="006224F4">
      <w:pPr>
        <w:pStyle w:val="FootnoteText"/>
        <w:tabs>
          <w:tab w:val="left" w:pos="1560"/>
        </w:tabs>
        <w:ind w:left="567" w:hanging="567"/>
        <w:jc w:val="both"/>
        <w:rPr>
          <w:rFonts w:ascii="Palatino Linotype" w:hAnsi="Palatino Linotype"/>
        </w:rPr>
      </w:pPr>
    </w:p>
    <w:p w14:paraId="1E16331E" w14:textId="77C7F313"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 xml:space="preserve">Dunin-Woyseth, H. and Nilsson, F. (2012). Doctorateness in design disciplines. Negotiating connoisseurship and criticism in practice-related fields', FORM academic, 5 (2), </w:t>
      </w:r>
      <w:r w:rsidR="00C413E0">
        <w:rPr>
          <w:rFonts w:ascii="Palatino Linotype" w:hAnsi="Palatino Linotype" w:cstheme="majorBidi"/>
        </w:rPr>
        <w:t>45.</w:t>
      </w:r>
    </w:p>
    <w:p w14:paraId="6BEF59A0"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54B3BBB2" w14:textId="372C563B"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Fadlillah, M. Rochamt Wahab and Ayriza, Yulia. (2020). Understanding The Experience of Early Child</w:t>
      </w:r>
      <w:r w:rsidR="00C52D9C">
        <w:rPr>
          <w:rFonts w:ascii="Palatino Linotype" w:hAnsi="Palatino Linotype" w:cstheme="majorBidi"/>
        </w:rPr>
        <w:t xml:space="preserve"> </w:t>
      </w:r>
      <w:r w:rsidRPr="0028224D">
        <w:rPr>
          <w:rFonts w:ascii="Palatino Linotype" w:hAnsi="Palatino Linotype" w:cstheme="majorBidi"/>
        </w:rPr>
        <w:t xml:space="preserve">hood Education Teachers in Teaching and Training Student Independence at School”, The Qualitative Report 25(6), </w:t>
      </w:r>
      <w:r w:rsidR="00C413E0">
        <w:rPr>
          <w:rFonts w:ascii="Palatino Linotype" w:hAnsi="Palatino Linotype" w:cstheme="majorBidi"/>
        </w:rPr>
        <w:t>35.</w:t>
      </w:r>
    </w:p>
    <w:p w14:paraId="4AE50DB3"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0E34858B" w14:textId="504B6857" w:rsidR="0028224D" w:rsidRDefault="0028224D" w:rsidP="006224F4">
      <w:pPr>
        <w:pStyle w:val="FootnoteText"/>
        <w:tabs>
          <w:tab w:val="left" w:pos="1560"/>
        </w:tabs>
        <w:ind w:left="567" w:hanging="567"/>
        <w:jc w:val="both"/>
        <w:rPr>
          <w:rFonts w:ascii="Palatino Linotype" w:eastAsia="Calibri" w:hAnsi="Palatino Linotype" w:cs="Arial"/>
        </w:rPr>
      </w:pPr>
      <w:r w:rsidRPr="0028224D">
        <w:rPr>
          <w:rFonts w:ascii="Palatino Linotype" w:eastAsia="Calibri" w:hAnsi="Palatino Linotype" w:cs="Arial"/>
        </w:rPr>
        <w:t>Gupta, Tushar and Mishra, Lokanath. (2021). Higher-Order Thinking Skills in Shaping the Future of Student, Psychology and Education,  58(2), 9305.</w:t>
      </w:r>
    </w:p>
    <w:p w14:paraId="77EEA30D" w14:textId="77777777" w:rsidR="00BF6481" w:rsidRPr="0028224D" w:rsidRDefault="00BF6481" w:rsidP="006224F4">
      <w:pPr>
        <w:pStyle w:val="FootnoteText"/>
        <w:tabs>
          <w:tab w:val="left" w:pos="1560"/>
        </w:tabs>
        <w:ind w:left="567" w:hanging="567"/>
        <w:jc w:val="both"/>
        <w:rPr>
          <w:rFonts w:ascii="Palatino Linotype" w:hAnsi="Palatino Linotype"/>
        </w:rPr>
      </w:pPr>
    </w:p>
    <w:p w14:paraId="0FF3CBDD" w14:textId="18F21493"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Hayani, Aida</w:t>
      </w:r>
      <w:r w:rsidRPr="0028224D">
        <w:rPr>
          <w:rFonts w:ascii="Palatino Linotype" w:hAnsi="Palatino Linotype"/>
        </w:rPr>
        <w:t xml:space="preserve">, (2018). </w:t>
      </w:r>
      <w:hyperlink r:id="rId16" w:history="1">
        <w:r w:rsidRPr="0028224D">
          <w:rPr>
            <w:rStyle w:val="Hyperlink"/>
            <w:rFonts w:ascii="Palatino Linotype" w:hAnsi="Palatino Linotype" w:cstheme="majorBidi"/>
            <w:color w:val="000000" w:themeColor="text1"/>
            <w:u w:val="none"/>
          </w:rPr>
          <w:t>Developing Curriculum of the Department of the Department of Islamic Religious Education IAIN Lhokseumawe Aceh</w:t>
        </w:r>
      </w:hyperlink>
      <w:r w:rsidRPr="0028224D">
        <w:rPr>
          <w:rFonts w:ascii="Palatino Linotype" w:hAnsi="Palatino Linotype" w:cstheme="majorBidi"/>
        </w:rPr>
        <w:t>, Sunan Kalijaga International Journal on Islamic Educational Research, 2(1), 45.</w:t>
      </w:r>
    </w:p>
    <w:p w14:paraId="1A0BFFC8" w14:textId="77777777" w:rsidR="00BF6481" w:rsidRPr="0028224D" w:rsidRDefault="00BF6481" w:rsidP="006224F4">
      <w:pPr>
        <w:pStyle w:val="FootnoteText"/>
        <w:tabs>
          <w:tab w:val="left" w:pos="1560"/>
        </w:tabs>
        <w:ind w:left="567" w:hanging="567"/>
        <w:jc w:val="both"/>
        <w:rPr>
          <w:rFonts w:ascii="Palatino Linotype" w:hAnsi="Palatino Linotype" w:cstheme="majorBidi"/>
          <w:shd w:val="clear" w:color="auto" w:fill="FFFFFF"/>
        </w:rPr>
      </w:pPr>
    </w:p>
    <w:p w14:paraId="16E090C4" w14:textId="59604DDB"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Henry Mainsah, Andrew Morrison, Jonny Aspen and Cheryl E. Ball, Designing the PhD Curriculum in the disciplines.</w:t>
      </w:r>
    </w:p>
    <w:p w14:paraId="5E97BF38"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401E5A83" w14:textId="7E8FC06D"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lastRenderedPageBreak/>
        <w:t>J. G Saylor, WM Alexander, Lewis AJ,(1981). Curriculum Planning for better teaching and learning, (4 ed), Newyork: Rinehart and Winston.</w:t>
      </w:r>
    </w:p>
    <w:p w14:paraId="6BD603D1"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247F7C26" w14:textId="2D0D8C86" w:rsidR="009408F4" w:rsidRDefault="0028224D" w:rsidP="00E45C91">
      <w:pPr>
        <w:autoSpaceDE w:val="0"/>
        <w:autoSpaceDN w:val="0"/>
        <w:adjustRightInd w:val="0"/>
        <w:ind w:left="567" w:hanging="567"/>
        <w:jc w:val="both"/>
        <w:rPr>
          <w:rFonts w:ascii="Palatino Linotype" w:eastAsia="Calibri" w:hAnsi="Palatino Linotype" w:cs="Arial"/>
          <w:sz w:val="20"/>
          <w:szCs w:val="20"/>
          <w:lang w:val="id-ID"/>
        </w:rPr>
      </w:pPr>
      <w:r w:rsidRPr="0028224D">
        <w:rPr>
          <w:rFonts w:ascii="Palatino Linotype" w:eastAsia="Calibri" w:hAnsi="Palatino Linotype" w:cs="Arial"/>
          <w:sz w:val="20"/>
          <w:szCs w:val="20"/>
          <w:lang w:val="id-ID"/>
        </w:rPr>
        <w:t>Keevy, James</w:t>
      </w:r>
      <w:r w:rsidRPr="0028224D">
        <w:rPr>
          <w:rFonts w:ascii="Palatino Linotype" w:eastAsia="Calibri" w:hAnsi="Palatino Linotype" w:cs="Arial"/>
          <w:sz w:val="20"/>
          <w:szCs w:val="20"/>
          <w:lang w:val="en-US"/>
        </w:rPr>
        <w:t>,</w:t>
      </w:r>
      <w:r w:rsidRPr="0028224D">
        <w:rPr>
          <w:rFonts w:ascii="Palatino Linotype" w:eastAsia="Calibri" w:hAnsi="Palatino Linotype" w:cs="Arial"/>
          <w:sz w:val="20"/>
          <w:szCs w:val="20"/>
          <w:lang w:val="id-ID"/>
        </w:rPr>
        <w:t xml:space="preserve"> The SADDC Qualifications Framework as a Mechanism to Improve the Comparability of TVET Qualifications in the SADC Region, South African Qualifications Authority</w:t>
      </w:r>
      <w:r w:rsidRPr="0028224D">
        <w:rPr>
          <w:rFonts w:ascii="Palatino Linotype" w:eastAsia="Calibri" w:hAnsi="Palatino Linotype" w:cs="Arial"/>
          <w:sz w:val="20"/>
          <w:szCs w:val="20"/>
          <w:lang w:val="en-US"/>
        </w:rPr>
        <w:t>, 17</w:t>
      </w:r>
      <w:r w:rsidRPr="0028224D">
        <w:rPr>
          <w:rFonts w:ascii="Palatino Linotype" w:eastAsia="Calibri" w:hAnsi="Palatino Linotype" w:cs="Arial"/>
          <w:sz w:val="20"/>
          <w:szCs w:val="20"/>
          <w:lang w:val="id-ID"/>
        </w:rPr>
        <w:t>.</w:t>
      </w:r>
    </w:p>
    <w:p w14:paraId="68F5FB54" w14:textId="77777777" w:rsidR="009408F4" w:rsidRPr="009408F4" w:rsidRDefault="009408F4" w:rsidP="009408F4">
      <w:pPr>
        <w:autoSpaceDE w:val="0"/>
        <w:autoSpaceDN w:val="0"/>
        <w:adjustRightInd w:val="0"/>
        <w:ind w:left="567" w:hanging="567"/>
        <w:jc w:val="both"/>
        <w:rPr>
          <w:rFonts w:ascii="Palatino Linotype" w:eastAsia="Calibri" w:hAnsi="Palatino Linotype" w:cs="Times-Roman"/>
          <w:sz w:val="20"/>
          <w:szCs w:val="20"/>
          <w:lang w:val="en-US"/>
        </w:rPr>
      </w:pPr>
      <w:r w:rsidRPr="0028224D">
        <w:rPr>
          <w:rFonts w:ascii="Palatino Linotype" w:eastAsia="Calibri" w:hAnsi="Palatino Linotype" w:cs="Times-Roman"/>
          <w:sz w:val="20"/>
          <w:szCs w:val="20"/>
          <w:lang w:val="id-ID"/>
        </w:rPr>
        <w:t>__________</w:t>
      </w:r>
      <w:r>
        <w:rPr>
          <w:rFonts w:ascii="Palatino Linotype" w:eastAsia="Calibri" w:hAnsi="Palatino Linotype" w:cs="Times-Roman"/>
          <w:sz w:val="20"/>
          <w:szCs w:val="20"/>
          <w:lang w:val="en-US"/>
        </w:rPr>
        <w:t>(2005).</w:t>
      </w:r>
      <w:r w:rsidRPr="0028224D">
        <w:rPr>
          <w:rFonts w:ascii="Palatino Linotype" w:eastAsia="Calibri" w:hAnsi="Palatino Linotype" w:cs="Times-Roman"/>
          <w:sz w:val="20"/>
          <w:szCs w:val="20"/>
          <w:lang w:val="id-ID"/>
        </w:rPr>
        <w:t>A Foucauldian Critique of the Development and Implementation of the South African National Qualifications Framework</w:t>
      </w:r>
      <w:r>
        <w:rPr>
          <w:rFonts w:ascii="Palatino Linotype" w:eastAsia="Calibri" w:hAnsi="Palatino Linotype" w:cs="Times-Roman"/>
          <w:sz w:val="20"/>
          <w:szCs w:val="20"/>
          <w:lang w:val="en-US"/>
        </w:rPr>
        <w:t>.</w:t>
      </w:r>
    </w:p>
    <w:p w14:paraId="3FB7B2D6" w14:textId="77777777" w:rsidR="009408F4" w:rsidRPr="0028224D" w:rsidRDefault="009408F4" w:rsidP="009408F4">
      <w:pPr>
        <w:autoSpaceDE w:val="0"/>
        <w:autoSpaceDN w:val="0"/>
        <w:adjustRightInd w:val="0"/>
        <w:ind w:left="567" w:hanging="567"/>
        <w:jc w:val="both"/>
        <w:rPr>
          <w:rFonts w:ascii="Palatino Linotype" w:eastAsia="Calibri" w:hAnsi="Palatino Linotype" w:cs="Times-Roman"/>
          <w:sz w:val="20"/>
          <w:szCs w:val="20"/>
          <w:lang w:val="id-ID"/>
        </w:rPr>
      </w:pPr>
      <w:r w:rsidRPr="0028224D">
        <w:rPr>
          <w:rFonts w:ascii="Palatino Linotype" w:eastAsia="Calibri" w:hAnsi="Palatino Linotype" w:cs="Arial"/>
          <w:sz w:val="20"/>
          <w:szCs w:val="20"/>
          <w:lang w:val="id-ID"/>
        </w:rPr>
        <w:t>__________</w:t>
      </w:r>
      <w:r>
        <w:rPr>
          <w:rFonts w:ascii="Palatino Linotype" w:eastAsia="Calibri" w:hAnsi="Palatino Linotype" w:cs="Arial"/>
          <w:sz w:val="20"/>
          <w:szCs w:val="20"/>
          <w:lang w:val="en-US"/>
        </w:rPr>
        <w:t xml:space="preserve">(2005). </w:t>
      </w:r>
      <w:r w:rsidRPr="009408F4">
        <w:rPr>
          <w:rFonts w:ascii="Palatino Linotype" w:eastAsia="Calibri" w:hAnsi="Palatino Linotype" w:cs="Times-Bold"/>
          <w:sz w:val="20"/>
          <w:szCs w:val="20"/>
          <w:lang w:val="id-ID"/>
        </w:rPr>
        <w:t>The regulation of teacher education in South Africa</w:t>
      </w:r>
      <w:r w:rsidRPr="009408F4">
        <w:rPr>
          <w:rFonts w:ascii="Palatino Linotype" w:eastAsia="Calibri" w:hAnsi="Palatino Linotype" w:cs="Arial"/>
          <w:sz w:val="20"/>
          <w:szCs w:val="20"/>
          <w:lang w:val="id-ID"/>
        </w:rPr>
        <w:t xml:space="preserve"> </w:t>
      </w:r>
      <w:r w:rsidRPr="009408F4">
        <w:rPr>
          <w:rFonts w:ascii="Palatino Linotype" w:eastAsia="Calibri" w:hAnsi="Palatino Linotype" w:cs="Times-Bold"/>
          <w:sz w:val="20"/>
          <w:szCs w:val="20"/>
          <w:lang w:val="id-ID"/>
        </w:rPr>
        <w:t>through the development and implementation of the</w:t>
      </w:r>
      <w:r w:rsidRPr="009408F4">
        <w:rPr>
          <w:rFonts w:ascii="Palatino Linotype" w:eastAsia="Calibri" w:hAnsi="Palatino Linotype" w:cs="Arial"/>
          <w:sz w:val="20"/>
          <w:szCs w:val="20"/>
          <w:lang w:val="id-ID"/>
        </w:rPr>
        <w:t>,</w:t>
      </w:r>
      <w:r w:rsidRPr="009408F4">
        <w:rPr>
          <w:rFonts w:ascii="Palatino Linotype" w:eastAsia="Calibri" w:hAnsi="Palatino Linotype" w:cs="Times-Bold"/>
          <w:sz w:val="20"/>
          <w:szCs w:val="20"/>
          <w:lang w:val="id-ID"/>
        </w:rPr>
        <w:t>National Qualifications Framework</w:t>
      </w:r>
      <w:r w:rsidRPr="0028224D">
        <w:rPr>
          <w:rFonts w:ascii="Palatino Linotype" w:eastAsia="Calibri" w:hAnsi="Palatino Linotype" w:cs="Times-Bold"/>
          <w:sz w:val="20"/>
          <w:szCs w:val="20"/>
          <w:lang w:val="id-ID"/>
        </w:rPr>
        <w:t>(1995 to 2005)</w:t>
      </w:r>
      <w:r w:rsidRPr="0028224D">
        <w:rPr>
          <w:rFonts w:ascii="Palatino Linotype" w:eastAsia="Calibri" w:hAnsi="Palatino Linotype" w:cs="Arial"/>
          <w:sz w:val="20"/>
          <w:szCs w:val="20"/>
          <w:lang w:val="id-ID"/>
        </w:rPr>
        <w:t>,</w:t>
      </w:r>
      <w:r w:rsidRPr="0028224D">
        <w:rPr>
          <w:rFonts w:ascii="Palatino Linotype" w:eastAsia="Calibri" w:hAnsi="Palatino Linotype" w:cs="Times-Roman"/>
          <w:sz w:val="20"/>
          <w:szCs w:val="20"/>
          <w:lang w:val="id-ID"/>
        </w:rPr>
        <w:t>South African Qualifications Authority, 17.</w:t>
      </w:r>
    </w:p>
    <w:p w14:paraId="77573E17" w14:textId="1CB05A02" w:rsidR="009408F4" w:rsidRPr="00E45C91" w:rsidRDefault="009408F4" w:rsidP="00E45C91">
      <w:pPr>
        <w:autoSpaceDE w:val="0"/>
        <w:autoSpaceDN w:val="0"/>
        <w:adjustRightInd w:val="0"/>
        <w:ind w:left="567" w:hanging="567"/>
        <w:jc w:val="both"/>
        <w:rPr>
          <w:rFonts w:ascii="Palatino Linotype" w:eastAsia="Calibri" w:hAnsi="Palatino Linotype" w:cs="Times-Roman"/>
          <w:sz w:val="20"/>
          <w:szCs w:val="20"/>
          <w:lang w:val="en-US"/>
        </w:rPr>
      </w:pPr>
      <w:r w:rsidRPr="0028224D">
        <w:rPr>
          <w:rFonts w:ascii="Palatino Linotype" w:eastAsia="Calibri" w:hAnsi="Palatino Linotype" w:cs="Arial"/>
          <w:sz w:val="20"/>
          <w:szCs w:val="20"/>
          <w:lang w:val="id-ID"/>
        </w:rPr>
        <w:t>__________</w:t>
      </w:r>
      <w:r>
        <w:rPr>
          <w:rFonts w:ascii="Palatino Linotype" w:eastAsia="Calibri" w:hAnsi="Palatino Linotype" w:cs="Arial"/>
          <w:sz w:val="20"/>
          <w:szCs w:val="20"/>
          <w:lang w:val="en-US"/>
        </w:rPr>
        <w:t xml:space="preserve">(2010). </w:t>
      </w:r>
      <w:r w:rsidRPr="0028224D">
        <w:rPr>
          <w:rFonts w:ascii="Palatino Linotype" w:eastAsia="Calibri" w:hAnsi="Palatino Linotype" w:cs="Arial"/>
          <w:sz w:val="20"/>
          <w:szCs w:val="20"/>
          <w:lang w:val="id-ID"/>
        </w:rPr>
        <w:t>Workshop Guide: Towards effective</w:t>
      </w:r>
      <w:r w:rsidRPr="0028224D">
        <w:rPr>
          <w:rFonts w:ascii="Palatino Linotype" w:eastAsia="Calibri" w:hAnsi="Palatino Linotype" w:cs="Times-Roman"/>
          <w:i/>
          <w:iCs/>
          <w:sz w:val="20"/>
          <w:szCs w:val="20"/>
          <w:lang w:val="id-ID"/>
        </w:rPr>
        <w:t xml:space="preserve"> </w:t>
      </w:r>
      <w:r w:rsidRPr="0028224D">
        <w:rPr>
          <w:rFonts w:ascii="Palatino Linotype" w:eastAsia="Calibri" w:hAnsi="Palatino Linotype" w:cs="Arial"/>
          <w:i/>
          <w:iCs/>
          <w:sz w:val="20"/>
          <w:szCs w:val="20"/>
          <w:lang w:val="id-ID"/>
        </w:rPr>
        <w:t>development and implementation of national</w:t>
      </w:r>
      <w:r w:rsidRPr="0028224D">
        <w:rPr>
          <w:rFonts w:ascii="Palatino Linotype" w:eastAsia="Calibri" w:hAnsi="Palatino Linotype" w:cs="Times-Roman"/>
          <w:i/>
          <w:iCs/>
          <w:sz w:val="20"/>
          <w:szCs w:val="20"/>
          <w:lang w:val="id-ID"/>
        </w:rPr>
        <w:t xml:space="preserve"> </w:t>
      </w:r>
      <w:r w:rsidRPr="0028224D">
        <w:rPr>
          <w:rFonts w:ascii="Palatino Linotype" w:eastAsia="Calibri" w:hAnsi="Palatino Linotype" w:cs="Arial"/>
          <w:i/>
          <w:iCs/>
          <w:sz w:val="20"/>
          <w:szCs w:val="20"/>
          <w:lang w:val="id-ID"/>
        </w:rPr>
        <w:t>qualifications frameworks</w:t>
      </w:r>
      <w:r w:rsidRPr="0028224D">
        <w:rPr>
          <w:rFonts w:ascii="Palatino Linotype" w:eastAsia="Calibri" w:hAnsi="Palatino Linotype" w:cs="Arial"/>
          <w:sz w:val="20"/>
          <w:szCs w:val="20"/>
          <w:lang w:val="id-ID"/>
        </w:rPr>
        <w:t>,</w:t>
      </w:r>
      <w:r w:rsidRPr="0028224D">
        <w:rPr>
          <w:rFonts w:ascii="Palatino Linotype" w:eastAsia="Calibri" w:hAnsi="Palatino Linotype" w:cs="Times-Roman"/>
          <w:sz w:val="20"/>
          <w:szCs w:val="20"/>
          <w:lang w:val="id-ID"/>
        </w:rPr>
        <w:t>South African Qualifications Authority</w:t>
      </w:r>
      <w:r>
        <w:rPr>
          <w:rFonts w:ascii="Palatino Linotype" w:eastAsia="Calibri" w:hAnsi="Palatino Linotype" w:cs="Times-Roman"/>
          <w:sz w:val="20"/>
          <w:szCs w:val="20"/>
          <w:lang w:val="en-US"/>
        </w:rPr>
        <w:t>.</w:t>
      </w:r>
    </w:p>
    <w:p w14:paraId="2E616769" w14:textId="1D128241" w:rsid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Kumar, Ranjit. (2005). Research Methodology-A Step-by-Step Guide for Beginners, (2nd.ed.), Singapore, Pearson Education.</w:t>
      </w:r>
    </w:p>
    <w:p w14:paraId="6A1BC037" w14:textId="77777777" w:rsidR="00BF6481" w:rsidRPr="0028224D" w:rsidRDefault="00BF6481" w:rsidP="006224F4">
      <w:pPr>
        <w:pStyle w:val="FootnoteText"/>
        <w:tabs>
          <w:tab w:val="left" w:pos="1560"/>
        </w:tabs>
        <w:ind w:left="567" w:hanging="567"/>
        <w:jc w:val="both"/>
        <w:rPr>
          <w:rFonts w:ascii="Palatino Linotype" w:hAnsi="Palatino Linotype"/>
        </w:rPr>
      </w:pPr>
    </w:p>
    <w:p w14:paraId="69C8F2E5" w14:textId="2597821A"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L. Anderson XE and D. Karthwohl, (2001). A Taxonomy for Learning, Teaching and Assessing: A Revision of Bloom XE “Bloom” Taxonomy of Educational Objectives, Newyork: Logman</w:t>
      </w:r>
      <w:r w:rsidR="00BF6481">
        <w:rPr>
          <w:rFonts w:ascii="Palatino Linotype" w:hAnsi="Palatino Linotype" w:cstheme="majorBidi"/>
        </w:rPr>
        <w:t>.</w:t>
      </w:r>
    </w:p>
    <w:p w14:paraId="4066E43B"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5D1B2D88" w14:textId="464E7B88"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Luana Miulescu, Miruna and Cristina, Tripon, (2016). Student-Centred Learning: investigating the professors' and students' view, Romanisa Journal of Experimental Applied Psychology, RJEAP Special Issue.</w:t>
      </w:r>
    </w:p>
    <w:p w14:paraId="4BE5F0EA"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76AE9B49" w14:textId="4F58190C"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Marzono, RJ and JS The New Taxonomy of Educational Objective, California: A sage Publication Company.</w:t>
      </w:r>
    </w:p>
    <w:p w14:paraId="01C5CB9D"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23883A67" w14:textId="62389A57"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 xml:space="preserve">Medina, Liliana Cuesta. (2018). Blended Learning: Deficits and Prospects in Higher Education, Australasian Journal of Educational Technology, 34(1), </w:t>
      </w:r>
      <w:r w:rsidR="00C413E0">
        <w:rPr>
          <w:rFonts w:ascii="Palatino Linotype" w:hAnsi="Palatino Linotype" w:cstheme="majorBidi"/>
        </w:rPr>
        <w:t>10</w:t>
      </w:r>
      <w:r w:rsidRPr="0028224D">
        <w:rPr>
          <w:rFonts w:ascii="Palatino Linotype" w:hAnsi="Palatino Linotype" w:cstheme="majorBidi"/>
        </w:rPr>
        <w:t xml:space="preserve"> .</w:t>
      </w:r>
    </w:p>
    <w:p w14:paraId="3592C4FA"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3C355710" w14:textId="5A9B6F01"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Morrison, A. (2013). Becoming more definite about the article', in J. Dehs, M. Esbensen and C. Pedersen (eds), When Architects and Designers Write / Draw / Build /? Essays on Research in Architecture and Design, 25.</w:t>
      </w:r>
    </w:p>
    <w:p w14:paraId="17FE5E72"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6559CBE4" w14:textId="1479F02B"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Mulyasa, E. (2004). Curriculum Development and Implementation, Cet.Ke-4, Bandung: Rosdakarya.</w:t>
      </w:r>
    </w:p>
    <w:p w14:paraId="24FF504E"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40EFC3D1" w14:textId="1DFFEE15" w:rsidR="0028224D" w:rsidRDefault="0028224D" w:rsidP="006224F4">
      <w:pPr>
        <w:pStyle w:val="FootnoteText"/>
        <w:tabs>
          <w:tab w:val="left" w:pos="1560"/>
        </w:tabs>
        <w:ind w:left="567" w:hanging="567"/>
        <w:jc w:val="both"/>
        <w:rPr>
          <w:rFonts w:ascii="Palatino Linotype" w:hAnsi="Palatino Linotype"/>
          <w:color w:val="000000"/>
          <w:lang w:eastAsia="en-ID"/>
        </w:rPr>
      </w:pPr>
      <w:r w:rsidRPr="0028224D">
        <w:rPr>
          <w:rFonts w:ascii="Palatino Linotype" w:eastAsia="Calibri" w:hAnsi="Palatino Linotype" w:cs="Arial"/>
        </w:rPr>
        <w:t xml:space="preserve">N. Fredriksen. (1986). </w:t>
      </w:r>
      <w:r w:rsidRPr="0028224D">
        <w:rPr>
          <w:rFonts w:ascii="Palatino Linotype" w:hAnsi="Palatino Linotype"/>
          <w:i/>
          <w:iCs/>
          <w:color w:val="000000"/>
          <w:lang w:eastAsia="en-ID"/>
        </w:rPr>
        <w:t>Toward a broader conception of human intelligence</w:t>
      </w:r>
      <w:r w:rsidRPr="0028224D">
        <w:rPr>
          <w:rFonts w:ascii="Palatino Linotype" w:hAnsi="Palatino Linotype"/>
          <w:color w:val="000000"/>
          <w:lang w:eastAsia="en-ID"/>
        </w:rPr>
        <w:t>. In RJ</w:t>
      </w:r>
      <w:r w:rsidRPr="0028224D">
        <w:rPr>
          <w:rFonts w:ascii="Palatino Linotype" w:hAnsi="Palatino Linotype"/>
          <w:lang w:eastAsia="en-ID"/>
        </w:rPr>
        <w:t xml:space="preserve"> </w:t>
      </w:r>
      <w:r w:rsidRPr="0028224D">
        <w:rPr>
          <w:rFonts w:ascii="Palatino Linotype" w:hAnsi="Palatino Linotype"/>
          <w:color w:val="000000"/>
          <w:lang w:eastAsia="en-ID"/>
        </w:rPr>
        <w:t>Sternberg &amp; RK Wagner (Eds.),</w:t>
      </w:r>
      <w:r w:rsidRPr="0028224D">
        <w:rPr>
          <w:rFonts w:ascii="Palatino Linotype" w:hAnsi="Palatino Linotype"/>
          <w:lang w:eastAsia="en-ID"/>
        </w:rPr>
        <w:t xml:space="preserve"> </w:t>
      </w:r>
      <w:r w:rsidRPr="0028224D">
        <w:rPr>
          <w:rFonts w:ascii="Palatino Linotype" w:hAnsi="Palatino Linotype"/>
          <w:i/>
          <w:iCs/>
          <w:color w:val="000000"/>
          <w:lang w:eastAsia="en-ID"/>
        </w:rPr>
        <w:t>Practical intelligence: Nature and origins</w:t>
      </w:r>
      <w:r w:rsidRPr="0028224D">
        <w:rPr>
          <w:rFonts w:ascii="Palatino Linotype" w:hAnsi="Palatino Linotype"/>
          <w:i/>
          <w:iCs/>
          <w:lang w:eastAsia="en-ID"/>
        </w:rPr>
        <w:t xml:space="preserve"> </w:t>
      </w:r>
      <w:r w:rsidRPr="0028224D">
        <w:rPr>
          <w:rFonts w:ascii="Palatino Linotype" w:hAnsi="Palatino Linotype"/>
          <w:i/>
          <w:iCs/>
          <w:color w:val="000000"/>
          <w:lang w:eastAsia="en-ID"/>
        </w:rPr>
        <w:t>of competence in the everyday world</w:t>
      </w:r>
      <w:r w:rsidRPr="0028224D">
        <w:rPr>
          <w:rFonts w:ascii="Palatino Linotype" w:hAnsi="Palatino Linotype"/>
          <w:color w:val="000000"/>
          <w:lang w:eastAsia="en-ID"/>
        </w:rPr>
        <w:t>, New York: Cambridge University Press.</w:t>
      </w:r>
    </w:p>
    <w:p w14:paraId="7E5D5B9D"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49380889" w14:textId="5E909AE2" w:rsidR="0028224D" w:rsidRDefault="0028224D" w:rsidP="006224F4">
      <w:pPr>
        <w:pStyle w:val="FootnoteText"/>
        <w:tabs>
          <w:tab w:val="left" w:pos="1560"/>
        </w:tabs>
        <w:ind w:left="567" w:hanging="567"/>
        <w:jc w:val="both"/>
        <w:rPr>
          <w:rFonts w:ascii="Palatino Linotype" w:hAnsi="Palatino Linotype" w:cstheme="majorBidi"/>
          <w:lang w:val="en-US"/>
        </w:rPr>
      </w:pPr>
      <w:r w:rsidRPr="0028224D">
        <w:rPr>
          <w:rFonts w:ascii="Palatino Linotype" w:hAnsi="Palatino Linotype" w:cstheme="majorBidi"/>
          <w:lang w:val="id-ID"/>
        </w:rPr>
        <w:t>P Miller, John</w:t>
      </w:r>
      <w:r w:rsidRPr="0028224D">
        <w:rPr>
          <w:rFonts w:ascii="Palatino Linotype" w:hAnsi="Palatino Linotype" w:cstheme="majorBidi"/>
          <w:lang w:val="en-US"/>
        </w:rPr>
        <w:t>. (1976).</w:t>
      </w:r>
      <w:r w:rsidRPr="0028224D">
        <w:rPr>
          <w:rFonts w:ascii="Palatino Linotype" w:hAnsi="Palatino Linotype" w:cstheme="majorBidi"/>
          <w:lang w:val="id-ID"/>
        </w:rPr>
        <w:t xml:space="preserve"> Humanizing The Classroom: Models of teaching in Affective Education, New York: Praeger Publisher</w:t>
      </w:r>
      <w:r w:rsidRPr="0028224D">
        <w:rPr>
          <w:rFonts w:ascii="Palatino Linotype" w:hAnsi="Palatino Linotype" w:cstheme="majorBidi"/>
          <w:lang w:val="en-US"/>
        </w:rPr>
        <w:t>.</w:t>
      </w:r>
    </w:p>
    <w:p w14:paraId="6C92ABE3" w14:textId="77777777" w:rsidR="00BF6481" w:rsidRPr="0028224D" w:rsidRDefault="00BF6481" w:rsidP="006224F4">
      <w:pPr>
        <w:pStyle w:val="FootnoteText"/>
        <w:tabs>
          <w:tab w:val="left" w:pos="1560"/>
        </w:tabs>
        <w:ind w:left="567" w:hanging="567"/>
        <w:jc w:val="both"/>
        <w:rPr>
          <w:rFonts w:ascii="Palatino Linotype" w:hAnsi="Palatino Linotype" w:cstheme="majorBidi"/>
          <w:lang w:val="en-US"/>
        </w:rPr>
      </w:pPr>
    </w:p>
    <w:p w14:paraId="05AC40EC" w14:textId="51D910DC" w:rsidR="0028224D" w:rsidRDefault="0028224D" w:rsidP="00112EC1">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Pandey, Prabhat and Mishra Pandey Meenu, 2015. Research Mehodology: Tools and Techniques, Romania: Bridge center.</w:t>
      </w:r>
    </w:p>
    <w:p w14:paraId="0F68A942" w14:textId="77777777" w:rsidR="00BF6481" w:rsidRPr="0028224D" w:rsidRDefault="00BF6481" w:rsidP="00112EC1">
      <w:pPr>
        <w:pStyle w:val="FootnoteText"/>
        <w:tabs>
          <w:tab w:val="left" w:pos="1560"/>
        </w:tabs>
        <w:ind w:left="567" w:hanging="567"/>
        <w:jc w:val="both"/>
        <w:rPr>
          <w:rFonts w:ascii="Palatino Linotype" w:hAnsi="Palatino Linotype" w:cstheme="majorBidi"/>
        </w:rPr>
      </w:pPr>
    </w:p>
    <w:p w14:paraId="3C434659" w14:textId="3D31FA94"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Permenristekdikti No. 44 of 2015 Article 11.</w:t>
      </w:r>
    </w:p>
    <w:p w14:paraId="4166E30C"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7BEE890A" w14:textId="232110B0"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Permenristekdikti No. 44 of 2015 Article 14 Paragraph 3.</w:t>
      </w:r>
    </w:p>
    <w:p w14:paraId="4689F4CC"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090C3421" w14:textId="35810D2D"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Presidential Regulation Number 8 of 2012 concerning the Indonesian National Qualifications Framework (KKNI), Article 1.</w:t>
      </w:r>
    </w:p>
    <w:p w14:paraId="32E353BC"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34389441" w14:textId="4569CBD8"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R. C Doll. (1978). Curriculum improvement Decision making and process (4 ed) Boston: Allyn and Bacon</w:t>
      </w:r>
      <w:r w:rsidR="00BF6481">
        <w:rPr>
          <w:rFonts w:ascii="Palatino Linotype" w:hAnsi="Palatino Linotype" w:cstheme="majorBidi"/>
        </w:rPr>
        <w:t>.</w:t>
      </w:r>
    </w:p>
    <w:p w14:paraId="06BDF86F"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799C5947" w14:textId="40F0816E"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Rochma, I. (2004). Integrating Information Literacy info the Higher Education Curriculum: Practical Models for Transformation, San Francisco: Jossey-Bass, 2004.</w:t>
      </w:r>
    </w:p>
    <w:p w14:paraId="65A24142"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7E19E68F" w14:textId="78034AFC" w:rsidR="0028224D" w:rsidRDefault="0028224D" w:rsidP="006224F4">
      <w:pPr>
        <w:pStyle w:val="FootnoteText"/>
        <w:tabs>
          <w:tab w:val="left" w:pos="1560"/>
        </w:tabs>
        <w:ind w:left="567" w:hanging="567"/>
        <w:jc w:val="both"/>
        <w:rPr>
          <w:rFonts w:ascii="Palatino Linotype" w:hAnsi="Palatino Linotype" w:cstheme="majorBidi"/>
          <w:color w:val="000000"/>
        </w:rPr>
      </w:pPr>
      <w:r w:rsidRPr="0028224D">
        <w:rPr>
          <w:rFonts w:ascii="Palatino Linotype" w:hAnsi="Palatino Linotype" w:cstheme="majorBidi"/>
          <w:color w:val="000000"/>
        </w:rPr>
        <w:t xml:space="preserve">Setiawan, Deny. (2017).  Validator's View in the Implementation of Curriculum Oriented on the Indonesian National Qualification Framework (KKNI) Social Science Faculty, State University of Medan (Unimed) Medan, Indonesia, Journal of Humanities and Social Science, 22 (12), </w:t>
      </w:r>
      <w:r w:rsidR="00C413E0">
        <w:rPr>
          <w:rFonts w:ascii="Palatino Linotype" w:hAnsi="Palatino Linotype" w:cstheme="majorBidi"/>
          <w:color w:val="000000"/>
        </w:rPr>
        <w:t>35.</w:t>
      </w:r>
    </w:p>
    <w:p w14:paraId="6CB89DBA" w14:textId="77777777" w:rsidR="00BF6481" w:rsidRPr="0028224D" w:rsidRDefault="00BF6481" w:rsidP="006224F4">
      <w:pPr>
        <w:pStyle w:val="FootnoteText"/>
        <w:tabs>
          <w:tab w:val="left" w:pos="1560"/>
        </w:tabs>
        <w:ind w:left="567" w:hanging="567"/>
        <w:jc w:val="both"/>
        <w:rPr>
          <w:rFonts w:ascii="Palatino Linotype" w:hAnsi="Palatino Linotype" w:cstheme="majorBidi"/>
          <w:color w:val="000000"/>
        </w:rPr>
      </w:pPr>
    </w:p>
    <w:p w14:paraId="42AF0033" w14:textId="31608F32"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Shattock, M. (2003). Managing Successful University, England: Open University Press.</w:t>
      </w:r>
    </w:p>
    <w:p w14:paraId="60624F7F" w14:textId="77777777" w:rsidR="00C413E0" w:rsidRPr="0028224D" w:rsidRDefault="00C413E0" w:rsidP="006224F4">
      <w:pPr>
        <w:pStyle w:val="FootnoteText"/>
        <w:tabs>
          <w:tab w:val="left" w:pos="1560"/>
        </w:tabs>
        <w:ind w:left="567" w:hanging="567"/>
        <w:jc w:val="both"/>
        <w:rPr>
          <w:rFonts w:ascii="Palatino Linotype" w:hAnsi="Palatino Linotype" w:cstheme="majorBidi"/>
        </w:rPr>
      </w:pPr>
    </w:p>
    <w:p w14:paraId="4EA76EEE" w14:textId="0187D8BE"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Sutrisno and Suyadi. (2015). Higher Education Curriculum Design Referring to the Indonesian National Qualifications Framework, Bandung: Rosdakarya Karya.</w:t>
      </w:r>
    </w:p>
    <w:p w14:paraId="5392A15A"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08578877" w14:textId="3B44D99B" w:rsidR="0028224D" w:rsidRDefault="0028224D" w:rsidP="006224F4">
      <w:pPr>
        <w:pStyle w:val="FootnoteText"/>
        <w:tabs>
          <w:tab w:val="left" w:pos="1560"/>
        </w:tabs>
        <w:ind w:left="567" w:hanging="567"/>
        <w:jc w:val="both"/>
        <w:rPr>
          <w:rFonts w:ascii="Palatino Linotype" w:hAnsi="Palatino Linotype"/>
          <w:shd w:val="clear" w:color="auto" w:fill="FFFFFF"/>
        </w:rPr>
      </w:pPr>
      <w:r w:rsidRPr="0028224D">
        <w:rPr>
          <w:rFonts w:ascii="Palatino Linotype" w:hAnsi="Palatino Linotype" w:cstheme="majorBidi"/>
        </w:rPr>
        <w:t>Suwadi. (2016) Development of Islamic Religious Education Curriculum in Higher Education,</w:t>
      </w:r>
      <w:r w:rsidRPr="0028224D">
        <w:rPr>
          <w:rFonts w:ascii="Palatino Linotype" w:hAnsi="Palatino Linotype"/>
          <w:shd w:val="clear" w:color="auto" w:fill="FFFFFF"/>
        </w:rPr>
        <w:t>Journal of Islamic Religious Education, XIII( 2), .</w:t>
      </w:r>
    </w:p>
    <w:p w14:paraId="5B5CE16E" w14:textId="77777777" w:rsidR="00BF6481" w:rsidRPr="0028224D" w:rsidRDefault="00BF6481" w:rsidP="006224F4">
      <w:pPr>
        <w:pStyle w:val="FootnoteText"/>
        <w:tabs>
          <w:tab w:val="left" w:pos="1560"/>
        </w:tabs>
        <w:ind w:left="567" w:hanging="567"/>
        <w:jc w:val="both"/>
        <w:rPr>
          <w:rFonts w:ascii="Palatino Linotype" w:hAnsi="Palatino Linotype" w:cstheme="majorBidi"/>
          <w:iCs/>
        </w:rPr>
      </w:pPr>
    </w:p>
    <w:p w14:paraId="211AF534" w14:textId="154115CD" w:rsidR="0028224D" w:rsidRDefault="0028224D" w:rsidP="00112EC1">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Syaodih Sukmadinata, Nana. (1988). Principles and Foundations of Curriculum Development, Development Project for Education Personnel Institutions, Jakarta.</w:t>
      </w:r>
    </w:p>
    <w:p w14:paraId="7CEE0EF8" w14:textId="77777777" w:rsidR="00BF6481" w:rsidRPr="0028224D" w:rsidRDefault="00BF6481" w:rsidP="00112EC1">
      <w:pPr>
        <w:pStyle w:val="FootnoteText"/>
        <w:tabs>
          <w:tab w:val="left" w:pos="1560"/>
        </w:tabs>
        <w:ind w:left="567" w:hanging="567"/>
        <w:jc w:val="both"/>
        <w:rPr>
          <w:rFonts w:ascii="Palatino Linotype" w:hAnsi="Palatino Linotype" w:cstheme="majorBidi"/>
        </w:rPr>
      </w:pPr>
    </w:p>
    <w:p w14:paraId="223D99AB" w14:textId="53C13475" w:rsidR="0028224D" w:rsidRDefault="0028224D" w:rsidP="006224F4">
      <w:pPr>
        <w:pStyle w:val="FootnoteText"/>
        <w:tabs>
          <w:tab w:val="left" w:pos="1560"/>
        </w:tabs>
        <w:ind w:left="567" w:hanging="567"/>
        <w:jc w:val="both"/>
        <w:rPr>
          <w:rFonts w:ascii="Palatino Linotype" w:hAnsi="Palatino Linotype" w:cstheme="majorBidi"/>
        </w:rPr>
      </w:pPr>
      <w:r w:rsidRPr="0028224D">
        <w:rPr>
          <w:rFonts w:ascii="Palatino Linotype" w:hAnsi="Palatino Linotype" w:cstheme="majorBidi"/>
        </w:rPr>
        <w:t>Tayler, R. W, 1949. Basic Principles of Curriculum and Instruction, Chicago: The University of Chicago Press.</w:t>
      </w:r>
    </w:p>
    <w:p w14:paraId="360649CA" w14:textId="77777777" w:rsidR="00BF6481" w:rsidRPr="0028224D" w:rsidRDefault="00BF6481" w:rsidP="006224F4">
      <w:pPr>
        <w:pStyle w:val="FootnoteText"/>
        <w:tabs>
          <w:tab w:val="left" w:pos="1560"/>
        </w:tabs>
        <w:ind w:left="567" w:hanging="567"/>
        <w:jc w:val="both"/>
        <w:rPr>
          <w:rFonts w:ascii="Palatino Linotype" w:hAnsi="Palatino Linotype" w:cstheme="majorBidi"/>
        </w:rPr>
      </w:pPr>
    </w:p>
    <w:p w14:paraId="303CFD6E" w14:textId="77777777" w:rsidR="0028224D" w:rsidRPr="0028224D" w:rsidRDefault="0028224D" w:rsidP="006224F4">
      <w:pPr>
        <w:pStyle w:val="FootnoteText"/>
        <w:tabs>
          <w:tab w:val="left" w:pos="1560"/>
        </w:tabs>
        <w:ind w:left="567" w:hanging="567"/>
        <w:jc w:val="both"/>
        <w:rPr>
          <w:rFonts w:ascii="Palatino Linotype" w:hAnsi="Palatino Linotype"/>
        </w:rPr>
      </w:pPr>
      <w:r w:rsidRPr="0028224D">
        <w:rPr>
          <w:rFonts w:ascii="Palatino Linotype" w:hAnsi="Palatino Linotype"/>
        </w:rPr>
        <w:t>The University of Jordan Accreditation &amp; Quality Assurance Center, Curriculum For Doctorate Degree, AQAC-F-012-1, 2.</w:t>
      </w:r>
    </w:p>
    <w:p w14:paraId="30F1244B" w14:textId="77777777" w:rsidR="006224F4" w:rsidRPr="00613D51" w:rsidRDefault="006224F4" w:rsidP="006224F4">
      <w:pPr>
        <w:pStyle w:val="Alishlah22heading2"/>
      </w:pPr>
    </w:p>
    <w:p w14:paraId="77103160" w14:textId="13A9C9FF" w:rsidR="00143989" w:rsidRPr="00723B12" w:rsidRDefault="00143989" w:rsidP="002B31FD">
      <w:pPr>
        <w:pStyle w:val="Alishlah71References"/>
      </w:pPr>
    </w:p>
    <w:sectPr w:rsidR="00143989" w:rsidRPr="00723B12" w:rsidSect="001914CF">
      <w:headerReference w:type="default" r:id="rId17"/>
      <w:footerReference w:type="default" r:id="rId18"/>
      <w:headerReference w:type="first" r:id="rId19"/>
      <w:footerReference w:type="first" r:id="rId20"/>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D257" w14:textId="77777777" w:rsidR="003B6377" w:rsidRDefault="003B6377" w:rsidP="008E64A2">
      <w:pPr>
        <w:spacing w:after="0" w:line="240" w:lineRule="auto"/>
      </w:pPr>
      <w:r>
        <w:separator/>
      </w:r>
    </w:p>
    <w:p w14:paraId="4ED44BCA" w14:textId="77777777" w:rsidR="003B6377" w:rsidRDefault="003B6377"/>
  </w:endnote>
  <w:endnote w:type="continuationSeparator" w:id="0">
    <w:p w14:paraId="776CEB19" w14:textId="77777777" w:rsidR="003B6377" w:rsidRDefault="003B6377" w:rsidP="008E64A2">
      <w:pPr>
        <w:spacing w:after="0" w:line="240" w:lineRule="auto"/>
      </w:pPr>
      <w:r>
        <w:continuationSeparator/>
      </w:r>
    </w:p>
    <w:p w14:paraId="288410F3" w14:textId="77777777" w:rsidR="003B6377" w:rsidRDefault="003B6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EC9C"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5D70"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C571" w14:textId="77777777" w:rsidR="003B6377" w:rsidRDefault="003B6377" w:rsidP="008E64A2">
      <w:pPr>
        <w:spacing w:after="0" w:line="240" w:lineRule="auto"/>
      </w:pPr>
      <w:r>
        <w:separator/>
      </w:r>
    </w:p>
    <w:p w14:paraId="28AC850D" w14:textId="77777777" w:rsidR="003B6377" w:rsidRDefault="003B6377"/>
  </w:footnote>
  <w:footnote w:type="continuationSeparator" w:id="0">
    <w:p w14:paraId="271195C9" w14:textId="77777777" w:rsidR="003B6377" w:rsidRDefault="003B6377" w:rsidP="008E64A2">
      <w:pPr>
        <w:spacing w:after="0" w:line="240" w:lineRule="auto"/>
      </w:pPr>
      <w:r>
        <w:continuationSeparator/>
      </w:r>
    </w:p>
    <w:p w14:paraId="68ABFBE3" w14:textId="77777777" w:rsidR="003B6377" w:rsidRDefault="003B6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7887"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697195A" wp14:editId="7DB46BE8">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2C90A"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5DCC80D3" w14:textId="77777777" w:rsidR="00C64D3B" w:rsidRDefault="00C64D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B43D"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14:paraId="1B884D3F"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7082F7E"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D9C97CC" wp14:editId="4B7831F8">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DAC0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50B2D96"/>
    <w:multiLevelType w:val="hybridMultilevel"/>
    <w:tmpl w:val="89900194"/>
    <w:lvl w:ilvl="0" w:tplc="18583228">
      <w:start w:val="1"/>
      <w:numFmt w:val="decimal"/>
      <w:lvlText w:val="(%1)"/>
      <w:lvlJc w:val="left"/>
      <w:pPr>
        <w:ind w:left="1076" w:hanging="360"/>
      </w:pPr>
      <w:rPr>
        <w:rFonts w:hint="default"/>
      </w:rPr>
    </w:lvl>
    <w:lvl w:ilvl="1" w:tplc="38090019" w:tentative="1">
      <w:start w:val="1"/>
      <w:numFmt w:val="lowerLetter"/>
      <w:lvlText w:val="%2."/>
      <w:lvlJc w:val="left"/>
      <w:pPr>
        <w:ind w:left="1796" w:hanging="360"/>
      </w:pPr>
    </w:lvl>
    <w:lvl w:ilvl="2" w:tplc="3809001B" w:tentative="1">
      <w:start w:val="1"/>
      <w:numFmt w:val="lowerRoman"/>
      <w:lvlText w:val="%3."/>
      <w:lvlJc w:val="right"/>
      <w:pPr>
        <w:ind w:left="2516" w:hanging="180"/>
      </w:pPr>
    </w:lvl>
    <w:lvl w:ilvl="3" w:tplc="3809000F" w:tentative="1">
      <w:start w:val="1"/>
      <w:numFmt w:val="decimal"/>
      <w:lvlText w:val="%4."/>
      <w:lvlJc w:val="left"/>
      <w:pPr>
        <w:ind w:left="3236" w:hanging="360"/>
      </w:pPr>
    </w:lvl>
    <w:lvl w:ilvl="4" w:tplc="38090019" w:tentative="1">
      <w:start w:val="1"/>
      <w:numFmt w:val="lowerLetter"/>
      <w:lvlText w:val="%5."/>
      <w:lvlJc w:val="left"/>
      <w:pPr>
        <w:ind w:left="3956" w:hanging="360"/>
      </w:pPr>
    </w:lvl>
    <w:lvl w:ilvl="5" w:tplc="3809001B" w:tentative="1">
      <w:start w:val="1"/>
      <w:numFmt w:val="lowerRoman"/>
      <w:lvlText w:val="%6."/>
      <w:lvlJc w:val="right"/>
      <w:pPr>
        <w:ind w:left="4676" w:hanging="180"/>
      </w:pPr>
    </w:lvl>
    <w:lvl w:ilvl="6" w:tplc="3809000F" w:tentative="1">
      <w:start w:val="1"/>
      <w:numFmt w:val="decimal"/>
      <w:lvlText w:val="%7."/>
      <w:lvlJc w:val="left"/>
      <w:pPr>
        <w:ind w:left="5396" w:hanging="360"/>
      </w:pPr>
    </w:lvl>
    <w:lvl w:ilvl="7" w:tplc="38090019" w:tentative="1">
      <w:start w:val="1"/>
      <w:numFmt w:val="lowerLetter"/>
      <w:lvlText w:val="%8."/>
      <w:lvlJc w:val="left"/>
      <w:pPr>
        <w:ind w:left="6116" w:hanging="360"/>
      </w:pPr>
    </w:lvl>
    <w:lvl w:ilvl="8" w:tplc="3809001B" w:tentative="1">
      <w:start w:val="1"/>
      <w:numFmt w:val="lowerRoman"/>
      <w:lvlText w:val="%9."/>
      <w:lvlJc w:val="right"/>
      <w:pPr>
        <w:ind w:left="6836"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102039">
    <w:abstractNumId w:val="9"/>
  </w:num>
  <w:num w:numId="2" w16cid:durableId="1128232944">
    <w:abstractNumId w:val="11"/>
  </w:num>
  <w:num w:numId="3" w16cid:durableId="1441876958">
    <w:abstractNumId w:val="6"/>
  </w:num>
  <w:num w:numId="4" w16cid:durableId="1946771340">
    <w:abstractNumId w:val="5"/>
  </w:num>
  <w:num w:numId="5" w16cid:durableId="1986690884">
    <w:abstractNumId w:val="14"/>
  </w:num>
  <w:num w:numId="6" w16cid:durableId="1296368738">
    <w:abstractNumId w:val="17"/>
  </w:num>
  <w:num w:numId="7" w16cid:durableId="1541475361">
    <w:abstractNumId w:val="1"/>
  </w:num>
  <w:num w:numId="8" w16cid:durableId="917011713">
    <w:abstractNumId w:val="16"/>
  </w:num>
  <w:num w:numId="9" w16cid:durableId="739324140">
    <w:abstractNumId w:val="8"/>
  </w:num>
  <w:num w:numId="10" w16cid:durableId="1049918989">
    <w:abstractNumId w:val="15"/>
  </w:num>
  <w:num w:numId="11" w16cid:durableId="1037123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727179">
    <w:abstractNumId w:val="18"/>
  </w:num>
  <w:num w:numId="13" w16cid:durableId="72238252">
    <w:abstractNumId w:val="2"/>
  </w:num>
  <w:num w:numId="14" w16cid:durableId="966163753">
    <w:abstractNumId w:val="12"/>
  </w:num>
  <w:num w:numId="15" w16cid:durableId="1828394688">
    <w:abstractNumId w:val="13"/>
  </w:num>
  <w:num w:numId="16" w16cid:durableId="1530948580">
    <w:abstractNumId w:val="0"/>
  </w:num>
  <w:num w:numId="17" w16cid:durableId="1456218702">
    <w:abstractNumId w:val="4"/>
  </w:num>
  <w:num w:numId="18" w16cid:durableId="168064351">
    <w:abstractNumId w:val="7"/>
  </w:num>
  <w:num w:numId="19" w16cid:durableId="208020315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B6377"/>
    <w:rsid w:val="000061CE"/>
    <w:rsid w:val="00031DD5"/>
    <w:rsid w:val="000333AC"/>
    <w:rsid w:val="000355EA"/>
    <w:rsid w:val="00035C67"/>
    <w:rsid w:val="00056E9C"/>
    <w:rsid w:val="000735BB"/>
    <w:rsid w:val="00075197"/>
    <w:rsid w:val="000831BD"/>
    <w:rsid w:val="000857E8"/>
    <w:rsid w:val="000A13A3"/>
    <w:rsid w:val="000A36F0"/>
    <w:rsid w:val="000D0739"/>
    <w:rsid w:val="000D5EE8"/>
    <w:rsid w:val="000E2588"/>
    <w:rsid w:val="000E2C60"/>
    <w:rsid w:val="000E7A05"/>
    <w:rsid w:val="000F1812"/>
    <w:rsid w:val="000F66B9"/>
    <w:rsid w:val="001012EB"/>
    <w:rsid w:val="00112EC1"/>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224D"/>
    <w:rsid w:val="00284A48"/>
    <w:rsid w:val="00287854"/>
    <w:rsid w:val="00290481"/>
    <w:rsid w:val="002A02C2"/>
    <w:rsid w:val="002A2BCB"/>
    <w:rsid w:val="002A7ABC"/>
    <w:rsid w:val="002B31FD"/>
    <w:rsid w:val="002B59BA"/>
    <w:rsid w:val="002C3C11"/>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B6377"/>
    <w:rsid w:val="003C3B3B"/>
    <w:rsid w:val="003D061C"/>
    <w:rsid w:val="003D1450"/>
    <w:rsid w:val="003E5BB6"/>
    <w:rsid w:val="003F3A9E"/>
    <w:rsid w:val="004258A8"/>
    <w:rsid w:val="00432323"/>
    <w:rsid w:val="004333C2"/>
    <w:rsid w:val="00434F97"/>
    <w:rsid w:val="00435996"/>
    <w:rsid w:val="00444B72"/>
    <w:rsid w:val="004521BE"/>
    <w:rsid w:val="00457015"/>
    <w:rsid w:val="00457397"/>
    <w:rsid w:val="00461028"/>
    <w:rsid w:val="004642B9"/>
    <w:rsid w:val="004763B3"/>
    <w:rsid w:val="0048254D"/>
    <w:rsid w:val="004A39B9"/>
    <w:rsid w:val="004A4086"/>
    <w:rsid w:val="004C24AE"/>
    <w:rsid w:val="004C2768"/>
    <w:rsid w:val="004C2BBB"/>
    <w:rsid w:val="004C67A3"/>
    <w:rsid w:val="004C700A"/>
    <w:rsid w:val="004D00C2"/>
    <w:rsid w:val="004D0C98"/>
    <w:rsid w:val="004F29DF"/>
    <w:rsid w:val="004F6BCE"/>
    <w:rsid w:val="005027AD"/>
    <w:rsid w:val="00502FC8"/>
    <w:rsid w:val="00503F58"/>
    <w:rsid w:val="005041B5"/>
    <w:rsid w:val="0050557B"/>
    <w:rsid w:val="005145F9"/>
    <w:rsid w:val="00526694"/>
    <w:rsid w:val="005340DA"/>
    <w:rsid w:val="0055125A"/>
    <w:rsid w:val="0055535C"/>
    <w:rsid w:val="00561289"/>
    <w:rsid w:val="00566877"/>
    <w:rsid w:val="00566F99"/>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0339C"/>
    <w:rsid w:val="0061136D"/>
    <w:rsid w:val="0061196F"/>
    <w:rsid w:val="00617741"/>
    <w:rsid w:val="006224F4"/>
    <w:rsid w:val="00626D7A"/>
    <w:rsid w:val="00630559"/>
    <w:rsid w:val="006405DC"/>
    <w:rsid w:val="00642A67"/>
    <w:rsid w:val="00655540"/>
    <w:rsid w:val="006659EC"/>
    <w:rsid w:val="00674F13"/>
    <w:rsid w:val="00675603"/>
    <w:rsid w:val="00675E64"/>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06DD"/>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091"/>
    <w:rsid w:val="008E64A2"/>
    <w:rsid w:val="008F618A"/>
    <w:rsid w:val="00917C32"/>
    <w:rsid w:val="00921BF0"/>
    <w:rsid w:val="00922701"/>
    <w:rsid w:val="00926A4F"/>
    <w:rsid w:val="00935589"/>
    <w:rsid w:val="0093774D"/>
    <w:rsid w:val="0093781E"/>
    <w:rsid w:val="009408F4"/>
    <w:rsid w:val="00941210"/>
    <w:rsid w:val="009466DD"/>
    <w:rsid w:val="009540F8"/>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8719F"/>
    <w:rsid w:val="00A91453"/>
    <w:rsid w:val="00A96285"/>
    <w:rsid w:val="00A9708A"/>
    <w:rsid w:val="00A97F4A"/>
    <w:rsid w:val="00AA580B"/>
    <w:rsid w:val="00AB2854"/>
    <w:rsid w:val="00AB4892"/>
    <w:rsid w:val="00AB6B7A"/>
    <w:rsid w:val="00AC475D"/>
    <w:rsid w:val="00AC5858"/>
    <w:rsid w:val="00AC6EF0"/>
    <w:rsid w:val="00AD26B9"/>
    <w:rsid w:val="00AD7FAB"/>
    <w:rsid w:val="00AE2A82"/>
    <w:rsid w:val="00AE7180"/>
    <w:rsid w:val="00AF2F8D"/>
    <w:rsid w:val="00AF6218"/>
    <w:rsid w:val="00B00874"/>
    <w:rsid w:val="00B029BB"/>
    <w:rsid w:val="00B03D8F"/>
    <w:rsid w:val="00B04201"/>
    <w:rsid w:val="00B07DDB"/>
    <w:rsid w:val="00B147E8"/>
    <w:rsid w:val="00B1769F"/>
    <w:rsid w:val="00B232F3"/>
    <w:rsid w:val="00B23D62"/>
    <w:rsid w:val="00B30D46"/>
    <w:rsid w:val="00B35AB9"/>
    <w:rsid w:val="00B449B4"/>
    <w:rsid w:val="00B5764F"/>
    <w:rsid w:val="00B67ED6"/>
    <w:rsid w:val="00B7027E"/>
    <w:rsid w:val="00B72F3D"/>
    <w:rsid w:val="00B74337"/>
    <w:rsid w:val="00B943FF"/>
    <w:rsid w:val="00BA14D2"/>
    <w:rsid w:val="00BA707F"/>
    <w:rsid w:val="00BB6E10"/>
    <w:rsid w:val="00BD0A28"/>
    <w:rsid w:val="00BD0ABC"/>
    <w:rsid w:val="00BE398A"/>
    <w:rsid w:val="00BF0A78"/>
    <w:rsid w:val="00BF21AD"/>
    <w:rsid w:val="00BF2297"/>
    <w:rsid w:val="00BF4139"/>
    <w:rsid w:val="00BF4472"/>
    <w:rsid w:val="00BF6007"/>
    <w:rsid w:val="00BF6481"/>
    <w:rsid w:val="00C1416D"/>
    <w:rsid w:val="00C21EFA"/>
    <w:rsid w:val="00C361A9"/>
    <w:rsid w:val="00C36799"/>
    <w:rsid w:val="00C37B1B"/>
    <w:rsid w:val="00C413E0"/>
    <w:rsid w:val="00C4224C"/>
    <w:rsid w:val="00C52D9C"/>
    <w:rsid w:val="00C557F7"/>
    <w:rsid w:val="00C64D3B"/>
    <w:rsid w:val="00C66ECA"/>
    <w:rsid w:val="00C721BA"/>
    <w:rsid w:val="00C8406B"/>
    <w:rsid w:val="00C94847"/>
    <w:rsid w:val="00CA3B3C"/>
    <w:rsid w:val="00CC0C2B"/>
    <w:rsid w:val="00CC3DB2"/>
    <w:rsid w:val="00CC74BB"/>
    <w:rsid w:val="00CC7F21"/>
    <w:rsid w:val="00CD3AE9"/>
    <w:rsid w:val="00CE131B"/>
    <w:rsid w:val="00CE242C"/>
    <w:rsid w:val="00CF5425"/>
    <w:rsid w:val="00D13D39"/>
    <w:rsid w:val="00D2296B"/>
    <w:rsid w:val="00D264F2"/>
    <w:rsid w:val="00D31547"/>
    <w:rsid w:val="00D37209"/>
    <w:rsid w:val="00D51A98"/>
    <w:rsid w:val="00D74358"/>
    <w:rsid w:val="00D75604"/>
    <w:rsid w:val="00D77FAD"/>
    <w:rsid w:val="00D81206"/>
    <w:rsid w:val="00D90DB0"/>
    <w:rsid w:val="00DA0836"/>
    <w:rsid w:val="00DA2631"/>
    <w:rsid w:val="00DC0643"/>
    <w:rsid w:val="00DC4733"/>
    <w:rsid w:val="00DD295B"/>
    <w:rsid w:val="00DE2B7D"/>
    <w:rsid w:val="00DF215F"/>
    <w:rsid w:val="00E00922"/>
    <w:rsid w:val="00E05855"/>
    <w:rsid w:val="00E1438C"/>
    <w:rsid w:val="00E22B8E"/>
    <w:rsid w:val="00E45249"/>
    <w:rsid w:val="00E45C91"/>
    <w:rsid w:val="00E517C5"/>
    <w:rsid w:val="00E56B59"/>
    <w:rsid w:val="00E85AC8"/>
    <w:rsid w:val="00E86DF2"/>
    <w:rsid w:val="00EA7D37"/>
    <w:rsid w:val="00EB687A"/>
    <w:rsid w:val="00EE35A7"/>
    <w:rsid w:val="00EF47B8"/>
    <w:rsid w:val="00EF7714"/>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B210D"/>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D747"/>
  <w15:chartTrackingRefBased/>
  <w15:docId w15:val="{B6B9BBD9-222D-4045-8A67-2DAD6472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Subhead1">
    <w:name w:val="Subhead 1"/>
    <w:basedOn w:val="Normal"/>
    <w:rsid w:val="00EB687A"/>
    <w:pPr>
      <w:tabs>
        <w:tab w:val="left" w:pos="720"/>
        <w:tab w:val="left" w:pos="1440"/>
        <w:tab w:val="left" w:pos="2160"/>
        <w:tab w:val="left" w:pos="2880"/>
        <w:tab w:val="left" w:pos="3600"/>
        <w:tab w:val="left" w:pos="4320"/>
      </w:tabs>
      <w:autoSpaceDE w:val="0"/>
      <w:autoSpaceDN w:val="0"/>
      <w:adjustRightInd w:val="0"/>
      <w:spacing w:after="0" w:line="288" w:lineRule="auto"/>
    </w:pPr>
    <w:rPr>
      <w:rFonts w:ascii="Arial" w:eastAsia="Times New Roman" w:hAnsi="Arial" w:cs="Arial"/>
      <w:b/>
      <w:bCs/>
      <w:caps/>
      <w:color w:val="000000"/>
      <w:sz w:val="24"/>
      <w:szCs w:val="24"/>
      <w:lang w:val="en-US"/>
    </w:rPr>
  </w:style>
  <w:style w:type="paragraph" w:styleId="EndnoteText">
    <w:name w:val="endnote text"/>
    <w:basedOn w:val="Normal"/>
    <w:link w:val="EndnoteTextChar"/>
    <w:semiHidden/>
    <w:rsid w:val="00457397"/>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457397"/>
    <w:rPr>
      <w:rFonts w:ascii="Times New Roman" w:eastAsia="Times New Roman" w:hAnsi="Times New Roman" w:cs="Times New Roman"/>
      <w:sz w:val="20"/>
      <w:szCs w:val="20"/>
      <w:lang w:val="en-US"/>
    </w:rPr>
  </w:style>
  <w:style w:type="paragraph" w:customStyle="1" w:styleId="MDPI31text">
    <w:name w:val="MDPI_3.1_text"/>
    <w:qFormat/>
    <w:rsid w:val="00B943F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citetbl">
    <w:name w:val="cite_tbl"/>
    <w:basedOn w:val="DefaultParagraphFont"/>
    <w:rsid w:val="00B943FF"/>
    <w:rPr>
      <w:color w:val="auto"/>
      <w:sz w:val="22"/>
      <w:bdr w:val="none" w:sz="0" w:space="0" w:color="auto"/>
      <w:shd w:val="clear" w:color="auto" w:fill="FF9999"/>
    </w:rPr>
  </w:style>
  <w:style w:type="paragraph" w:customStyle="1" w:styleId="MDPI51figurecaption">
    <w:name w:val="MDPI_5.1_figure_caption"/>
    <w:basedOn w:val="Normal"/>
    <w:qFormat/>
    <w:rsid w:val="002C3C1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20946592">
      <w:bodyDiv w:val="1"/>
      <w:marLeft w:val="0"/>
      <w:marRight w:val="0"/>
      <w:marTop w:val="0"/>
      <w:marBottom w:val="0"/>
      <w:divBdr>
        <w:top w:val="none" w:sz="0" w:space="0" w:color="auto"/>
        <w:left w:val="none" w:sz="0" w:space="0" w:color="auto"/>
        <w:bottom w:val="none" w:sz="0" w:space="0" w:color="auto"/>
        <w:right w:val="none" w:sz="0" w:space="0" w:color="auto"/>
      </w:divBdr>
    </w:div>
    <w:div w:id="265504167">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70033649">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28433679">
      <w:bodyDiv w:val="1"/>
      <w:marLeft w:val="0"/>
      <w:marRight w:val="0"/>
      <w:marTop w:val="0"/>
      <w:marBottom w:val="0"/>
      <w:divBdr>
        <w:top w:val="none" w:sz="0" w:space="0" w:color="auto"/>
        <w:left w:val="none" w:sz="0" w:space="0" w:color="auto"/>
        <w:bottom w:val="none" w:sz="0" w:space="0" w:color="auto"/>
        <w:right w:val="none" w:sz="0" w:space="0" w:color="auto"/>
      </w:divBdr>
    </w:div>
    <w:div w:id="438526100">
      <w:bodyDiv w:val="1"/>
      <w:marLeft w:val="0"/>
      <w:marRight w:val="0"/>
      <w:marTop w:val="0"/>
      <w:marBottom w:val="0"/>
      <w:divBdr>
        <w:top w:val="none" w:sz="0" w:space="0" w:color="auto"/>
        <w:left w:val="none" w:sz="0" w:space="0" w:color="auto"/>
        <w:bottom w:val="none" w:sz="0" w:space="0" w:color="auto"/>
        <w:right w:val="none" w:sz="0" w:space="0" w:color="auto"/>
      </w:divBdr>
    </w:div>
    <w:div w:id="471019689">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23804221">
      <w:bodyDiv w:val="1"/>
      <w:marLeft w:val="0"/>
      <w:marRight w:val="0"/>
      <w:marTop w:val="0"/>
      <w:marBottom w:val="0"/>
      <w:divBdr>
        <w:top w:val="none" w:sz="0" w:space="0" w:color="auto"/>
        <w:left w:val="none" w:sz="0" w:space="0" w:color="auto"/>
        <w:bottom w:val="none" w:sz="0" w:space="0" w:color="auto"/>
        <w:right w:val="none" w:sz="0" w:space="0" w:color="auto"/>
      </w:divBdr>
    </w:div>
    <w:div w:id="639654430">
      <w:bodyDiv w:val="1"/>
      <w:marLeft w:val="0"/>
      <w:marRight w:val="0"/>
      <w:marTop w:val="0"/>
      <w:marBottom w:val="0"/>
      <w:divBdr>
        <w:top w:val="none" w:sz="0" w:space="0" w:color="auto"/>
        <w:left w:val="none" w:sz="0" w:space="0" w:color="auto"/>
        <w:bottom w:val="none" w:sz="0" w:space="0" w:color="auto"/>
        <w:right w:val="none" w:sz="0" w:space="0" w:color="auto"/>
      </w:divBdr>
    </w:div>
    <w:div w:id="1027684326">
      <w:bodyDiv w:val="1"/>
      <w:marLeft w:val="0"/>
      <w:marRight w:val="0"/>
      <w:marTop w:val="0"/>
      <w:marBottom w:val="0"/>
      <w:divBdr>
        <w:top w:val="none" w:sz="0" w:space="0" w:color="auto"/>
        <w:left w:val="none" w:sz="0" w:space="0" w:color="auto"/>
        <w:bottom w:val="none" w:sz="0" w:space="0" w:color="auto"/>
        <w:right w:val="none" w:sz="0" w:space="0" w:color="auto"/>
      </w:divBdr>
    </w:div>
    <w:div w:id="1061833923">
      <w:bodyDiv w:val="1"/>
      <w:marLeft w:val="0"/>
      <w:marRight w:val="0"/>
      <w:marTop w:val="0"/>
      <w:marBottom w:val="0"/>
      <w:divBdr>
        <w:top w:val="none" w:sz="0" w:space="0" w:color="auto"/>
        <w:left w:val="none" w:sz="0" w:space="0" w:color="auto"/>
        <w:bottom w:val="none" w:sz="0" w:space="0" w:color="auto"/>
        <w:right w:val="none" w:sz="0" w:space="0" w:color="auto"/>
      </w:divBdr>
    </w:div>
    <w:div w:id="152201466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05923388">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almahira@yahoo.com" TargetMode="External"/><Relationship Id="rId13" Type="http://schemas.openxmlformats.org/officeDocument/2006/relationships/hyperlink" Target="mailto:aidaalmahira@yahoo.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ukiman@uin-suka.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risno63@yahoo.co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0</TotalTime>
  <Pages>14</Pages>
  <Words>7733</Words>
  <Characters>44080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Aida Almahira</cp:lastModifiedBy>
  <cp:revision>2</cp:revision>
  <cp:lastPrinted>2022-03-12T14:54:00Z</cp:lastPrinted>
  <dcterms:created xsi:type="dcterms:W3CDTF">2022-05-16T06:43:00Z</dcterms:created>
  <dcterms:modified xsi:type="dcterms:W3CDTF">2022-05-16T06:43:00Z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