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57481" w14:textId="77777777" w:rsidR="00701D40" w:rsidRDefault="00701D40" w:rsidP="00701D40">
      <w:pPr>
        <w:spacing w:after="0"/>
        <w:rPr>
          <w:rFonts w:ascii="Palatino Linotype" w:eastAsia="Times New Roman" w:hAnsi="Palatino Linotype" w:cs="Times New Roman"/>
          <w:b/>
          <w:sz w:val="24"/>
          <w:szCs w:val="24"/>
        </w:rPr>
      </w:pPr>
    </w:p>
    <w:p w14:paraId="2A50028A" w14:textId="1B3B7339" w:rsidR="00261613" w:rsidRPr="00261613" w:rsidRDefault="00261613" w:rsidP="000C1BB3">
      <w:pPr>
        <w:spacing w:after="0"/>
        <w:jc w:val="both"/>
        <w:rPr>
          <w:rFonts w:ascii="Palatino Linotype" w:eastAsia="Times New Roman" w:hAnsi="Palatino Linotype" w:cs="Times New Roman"/>
          <w:b/>
          <w:sz w:val="24"/>
          <w:szCs w:val="24"/>
        </w:rPr>
      </w:pPr>
      <w:r w:rsidRPr="00261613">
        <w:rPr>
          <w:rFonts w:ascii="Palatino Linotype" w:eastAsia="Times New Roman" w:hAnsi="Palatino Linotype" w:cs="Times New Roman"/>
          <w:b/>
          <w:sz w:val="24"/>
          <w:szCs w:val="24"/>
        </w:rPr>
        <w:t>Immersive Virtual Reality-Based</w:t>
      </w:r>
      <w:r w:rsidR="000C1BB3">
        <w:rPr>
          <w:rFonts w:ascii="Palatino Linotype" w:eastAsia="Times New Roman" w:hAnsi="Palatino Linotype" w:cs="Times New Roman"/>
          <w:b/>
          <w:sz w:val="24"/>
          <w:szCs w:val="24"/>
        </w:rPr>
        <w:t xml:space="preserve"> </w:t>
      </w:r>
      <w:r w:rsidRPr="00261613">
        <w:rPr>
          <w:rFonts w:ascii="Palatino Linotype" w:eastAsia="Times New Roman" w:hAnsi="Palatino Linotype" w:cs="Times New Roman"/>
          <w:b/>
          <w:sz w:val="24"/>
          <w:szCs w:val="24"/>
        </w:rPr>
        <w:t>Development</w:t>
      </w:r>
      <w:r w:rsidR="00701D40">
        <w:rPr>
          <w:rFonts w:ascii="Palatino Linotype" w:eastAsia="Times New Roman" w:hAnsi="Palatino Linotype" w:cs="Times New Roman"/>
          <w:b/>
          <w:sz w:val="24"/>
          <w:szCs w:val="24"/>
        </w:rPr>
        <w:t xml:space="preserve"> </w:t>
      </w:r>
      <w:r w:rsidRPr="00261613">
        <w:rPr>
          <w:rFonts w:ascii="Palatino Linotype" w:eastAsia="Times New Roman" w:hAnsi="Palatino Linotype" w:cs="Times New Roman"/>
          <w:b/>
          <w:sz w:val="24"/>
          <w:szCs w:val="24"/>
        </w:rPr>
        <w:t xml:space="preserve">Experiential Learning </w:t>
      </w:r>
      <w:r w:rsidR="000C1BB3">
        <w:rPr>
          <w:rFonts w:ascii="Palatino Linotype" w:eastAsia="Times New Roman" w:hAnsi="Palatino Linotype" w:cs="Times New Roman"/>
          <w:b/>
          <w:sz w:val="24"/>
          <w:szCs w:val="24"/>
        </w:rPr>
        <w:t>o</w:t>
      </w:r>
      <w:r w:rsidRPr="00261613">
        <w:rPr>
          <w:rFonts w:ascii="Palatino Linotype" w:eastAsia="Times New Roman" w:hAnsi="Palatino Linotype" w:cs="Times New Roman"/>
          <w:b/>
          <w:sz w:val="24"/>
          <w:szCs w:val="24"/>
        </w:rPr>
        <w:t xml:space="preserve">n Communication Skills </w:t>
      </w:r>
      <w:r w:rsidR="000C1BB3">
        <w:rPr>
          <w:rFonts w:ascii="Palatino Linotype" w:eastAsia="Times New Roman" w:hAnsi="Palatino Linotype" w:cs="Times New Roman"/>
          <w:b/>
          <w:sz w:val="24"/>
          <w:szCs w:val="24"/>
        </w:rPr>
        <w:t>a</w:t>
      </w:r>
      <w:r w:rsidRPr="00261613">
        <w:rPr>
          <w:rFonts w:ascii="Palatino Linotype" w:eastAsia="Times New Roman" w:hAnsi="Palatino Linotype" w:cs="Times New Roman"/>
          <w:b/>
          <w:sz w:val="24"/>
          <w:szCs w:val="24"/>
        </w:rPr>
        <w:t>nd</w:t>
      </w:r>
      <w:r w:rsidR="00701D40">
        <w:rPr>
          <w:rFonts w:ascii="Palatino Linotype" w:eastAsia="Times New Roman" w:hAnsi="Palatino Linotype" w:cs="Times New Roman"/>
          <w:b/>
          <w:sz w:val="24"/>
          <w:szCs w:val="24"/>
        </w:rPr>
        <w:t xml:space="preserve"> </w:t>
      </w:r>
      <w:r w:rsidRPr="00261613">
        <w:rPr>
          <w:rFonts w:ascii="Palatino Linotype" w:eastAsia="Times New Roman" w:hAnsi="Palatino Linotype" w:cs="Times New Roman"/>
          <w:b/>
          <w:sz w:val="24"/>
          <w:szCs w:val="24"/>
        </w:rPr>
        <w:t xml:space="preserve">Solving The Problems </w:t>
      </w:r>
      <w:r w:rsidR="000C1BB3">
        <w:rPr>
          <w:rFonts w:ascii="Palatino Linotype" w:eastAsia="Times New Roman" w:hAnsi="Palatino Linotype" w:cs="Times New Roman"/>
          <w:b/>
          <w:sz w:val="24"/>
          <w:szCs w:val="24"/>
        </w:rPr>
        <w:t>o</w:t>
      </w:r>
      <w:r w:rsidRPr="00261613">
        <w:rPr>
          <w:rFonts w:ascii="Palatino Linotype" w:eastAsia="Times New Roman" w:hAnsi="Palatino Linotype" w:cs="Times New Roman"/>
          <w:b/>
          <w:sz w:val="24"/>
          <w:szCs w:val="24"/>
        </w:rPr>
        <w:t xml:space="preserve">f Slow Learner Students </w:t>
      </w:r>
      <w:r w:rsidR="000C1BB3">
        <w:rPr>
          <w:rFonts w:ascii="Palatino Linotype" w:eastAsia="Times New Roman" w:hAnsi="Palatino Linotype" w:cs="Times New Roman"/>
          <w:b/>
          <w:sz w:val="24"/>
          <w:szCs w:val="24"/>
        </w:rPr>
        <w:t>i</w:t>
      </w:r>
      <w:r w:rsidRPr="00261613">
        <w:rPr>
          <w:rFonts w:ascii="Palatino Linotype" w:eastAsia="Times New Roman" w:hAnsi="Palatino Linotype" w:cs="Times New Roman"/>
          <w:b/>
          <w:sz w:val="24"/>
          <w:szCs w:val="24"/>
        </w:rPr>
        <w:t>n Elementary School Inclusive</w:t>
      </w:r>
    </w:p>
    <w:p w14:paraId="4E944CB8" w14:textId="77777777" w:rsidR="00261613" w:rsidRPr="00261613" w:rsidRDefault="00261613" w:rsidP="00261613">
      <w:pPr>
        <w:pStyle w:val="Alishlah13authornames"/>
        <w:rPr>
          <w:lang w:val="en-GB"/>
        </w:rPr>
      </w:pPr>
    </w:p>
    <w:p w14:paraId="7229F831" w14:textId="77777777" w:rsidR="00701D40" w:rsidRPr="00701D40" w:rsidRDefault="00701D40" w:rsidP="00701D40">
      <w:pPr>
        <w:rPr>
          <w:rFonts w:ascii="Palatino Linotype" w:eastAsia="Times New Roman" w:hAnsi="Palatino Linotype" w:cs="Times New Roman"/>
          <w:b/>
          <w:sz w:val="20"/>
          <w:szCs w:val="20"/>
          <w:vertAlign w:val="superscript"/>
        </w:rPr>
      </w:pPr>
      <w:r w:rsidRPr="00701D40">
        <w:rPr>
          <w:rFonts w:ascii="Palatino Linotype" w:eastAsia="Times New Roman" w:hAnsi="Palatino Linotype" w:cs="Times New Roman"/>
          <w:b/>
          <w:sz w:val="20"/>
          <w:szCs w:val="20"/>
        </w:rPr>
        <w:t>Imada Cahyani Elvirawati</w:t>
      </w:r>
      <w:r w:rsidRPr="00701D40">
        <w:rPr>
          <w:rFonts w:ascii="Palatino Linotype" w:eastAsia="Times New Roman" w:hAnsi="Palatino Linotype" w:cs="Times New Roman"/>
          <w:b/>
          <w:sz w:val="20"/>
          <w:szCs w:val="20"/>
          <w:vertAlign w:val="superscript"/>
        </w:rPr>
        <w:t>1</w:t>
      </w:r>
      <w:r w:rsidRPr="00701D40">
        <w:rPr>
          <w:rFonts w:ascii="Palatino Linotype" w:eastAsia="Times New Roman" w:hAnsi="Palatino Linotype" w:cs="Times New Roman"/>
          <w:b/>
          <w:sz w:val="20"/>
          <w:szCs w:val="20"/>
        </w:rPr>
        <w:t>. Reza Rachmadtullah</w:t>
      </w:r>
      <w:r w:rsidRPr="00701D40">
        <w:rPr>
          <w:rFonts w:ascii="Palatino Linotype" w:eastAsia="Times New Roman" w:hAnsi="Palatino Linotype" w:cs="Times New Roman"/>
          <w:b/>
          <w:sz w:val="20"/>
          <w:szCs w:val="20"/>
          <w:vertAlign w:val="superscript"/>
        </w:rPr>
        <w:t>2</w:t>
      </w:r>
      <w:r w:rsidRPr="00701D40">
        <w:rPr>
          <w:rFonts w:ascii="Palatino Linotype" w:eastAsia="Times New Roman" w:hAnsi="Palatino Linotype" w:cs="Times New Roman"/>
          <w:b/>
          <w:sz w:val="20"/>
          <w:szCs w:val="20"/>
        </w:rPr>
        <w:t>, Cholifah Tur Rosidah</w:t>
      </w:r>
      <w:r w:rsidRPr="00701D40">
        <w:rPr>
          <w:rFonts w:ascii="Palatino Linotype" w:eastAsia="Times New Roman" w:hAnsi="Palatino Linotype" w:cs="Times New Roman"/>
          <w:b/>
          <w:sz w:val="20"/>
          <w:szCs w:val="20"/>
          <w:vertAlign w:val="superscript"/>
        </w:rPr>
        <w:t>3</w:t>
      </w:r>
    </w:p>
    <w:p w14:paraId="026CCCF5" w14:textId="768028ED" w:rsidR="008E64A2" w:rsidRDefault="00BE398A" w:rsidP="00784B9B">
      <w:pPr>
        <w:pStyle w:val="Alishlah16affiliation"/>
        <w:rPr>
          <w:color w:val="auto"/>
          <w:lang w:val="en-GB"/>
        </w:rPr>
      </w:pPr>
      <w:r w:rsidRPr="00A75CB1">
        <w:rPr>
          <w:color w:val="auto"/>
          <w:vertAlign w:val="superscript"/>
          <w:lang w:val="en-GB"/>
        </w:rPr>
        <w:t>1</w:t>
      </w:r>
      <w:r w:rsidRPr="00A75CB1">
        <w:rPr>
          <w:color w:val="auto"/>
          <w:lang w:val="en-GB"/>
        </w:rPr>
        <w:tab/>
      </w:r>
      <w:r w:rsidR="00A271EF">
        <w:rPr>
          <w:color w:val="auto"/>
          <w:lang w:val="en-GB"/>
        </w:rPr>
        <w:t>Universitas PGRI Adi Buana Surabaya</w:t>
      </w:r>
      <w:r w:rsidR="00A271EF" w:rsidRPr="00A271EF">
        <w:rPr>
          <w:color w:val="auto"/>
          <w:vertAlign w:val="superscript"/>
          <w:lang w:val="en-GB"/>
        </w:rPr>
        <w:t>1</w:t>
      </w:r>
      <w:r w:rsidR="002B31FD" w:rsidRPr="002B31FD">
        <w:rPr>
          <w:color w:val="auto"/>
          <w:lang w:val="en-GB"/>
        </w:rPr>
        <w:t xml:space="preserve">; </w:t>
      </w:r>
      <w:r w:rsidR="007E0038">
        <w:rPr>
          <w:color w:val="auto"/>
          <w:lang w:val="en-GB"/>
        </w:rPr>
        <w:t>imada</w:t>
      </w:r>
      <w:r w:rsidR="002A202B">
        <w:rPr>
          <w:color w:val="auto"/>
          <w:lang w:val="en-GB"/>
        </w:rPr>
        <w:t>cahyanielvirawati@gmai.com</w:t>
      </w:r>
    </w:p>
    <w:p w14:paraId="22FF8F79" w14:textId="5394DC53" w:rsidR="00B72F3D" w:rsidRDefault="00B72F3D" w:rsidP="00784B9B">
      <w:pPr>
        <w:pStyle w:val="Alishlah16affiliation"/>
        <w:rPr>
          <w:color w:val="auto"/>
          <w:lang w:val="en-GB"/>
        </w:rPr>
      </w:pPr>
      <w:r>
        <w:rPr>
          <w:color w:val="auto"/>
          <w:vertAlign w:val="superscript"/>
          <w:lang w:val="en-GB"/>
        </w:rPr>
        <w:t>2</w:t>
      </w:r>
      <w:r w:rsidRPr="00A75CB1">
        <w:rPr>
          <w:color w:val="auto"/>
          <w:lang w:val="en-GB"/>
        </w:rPr>
        <w:tab/>
      </w:r>
      <w:r w:rsidR="00797901">
        <w:rPr>
          <w:color w:val="auto"/>
          <w:lang w:val="en-GB"/>
        </w:rPr>
        <w:t>Universitas PGRI Adi Buana Surabaya</w:t>
      </w:r>
      <w:r w:rsidR="00797901" w:rsidRPr="00A271EF">
        <w:rPr>
          <w:color w:val="auto"/>
          <w:vertAlign w:val="superscript"/>
          <w:lang w:val="en-GB"/>
        </w:rPr>
        <w:t>1</w:t>
      </w:r>
      <w:r w:rsidR="00797901" w:rsidRPr="002B31FD">
        <w:rPr>
          <w:color w:val="auto"/>
          <w:lang w:val="en-GB"/>
        </w:rPr>
        <w:t xml:space="preserve">; </w:t>
      </w:r>
      <w:r w:rsidR="00797901">
        <w:rPr>
          <w:color w:val="auto"/>
          <w:lang w:val="en-GB"/>
        </w:rPr>
        <w:t>reza@unipasby.ac.id</w:t>
      </w:r>
    </w:p>
    <w:p w14:paraId="330BCEF7" w14:textId="59CA4172" w:rsidR="00797901" w:rsidRDefault="00797901" w:rsidP="00784B9B">
      <w:pPr>
        <w:pStyle w:val="Alishlah16affiliation"/>
        <w:rPr>
          <w:color w:val="auto"/>
          <w:lang w:val="en-GB"/>
        </w:rPr>
      </w:pPr>
      <w:r w:rsidRPr="00797901">
        <w:rPr>
          <w:color w:val="auto"/>
          <w:vertAlign w:val="superscript"/>
          <w:lang w:val="en-GB"/>
        </w:rPr>
        <w:t>3</w:t>
      </w:r>
      <w:r>
        <w:rPr>
          <w:color w:val="auto"/>
          <w:vertAlign w:val="superscript"/>
          <w:lang w:val="en-GB"/>
        </w:rPr>
        <w:t xml:space="preserve">     </w:t>
      </w:r>
      <w:r>
        <w:rPr>
          <w:color w:val="auto"/>
          <w:lang w:val="en-GB"/>
        </w:rPr>
        <w:t>Universitas PGRI Adi Buana Surabaya</w:t>
      </w:r>
      <w:r w:rsidRPr="00A271EF">
        <w:rPr>
          <w:color w:val="auto"/>
          <w:vertAlign w:val="superscript"/>
          <w:lang w:val="en-GB"/>
        </w:rPr>
        <w:t>1</w:t>
      </w:r>
      <w:r w:rsidRPr="002B31FD">
        <w:rPr>
          <w:color w:val="auto"/>
          <w:lang w:val="en-GB"/>
        </w:rPr>
        <w:t xml:space="preserve">; </w:t>
      </w:r>
      <w:r w:rsidR="007E0038">
        <w:rPr>
          <w:color w:val="auto"/>
          <w:lang w:val="en-GB"/>
        </w:rPr>
        <w:t>cholifah</w:t>
      </w:r>
      <w:r w:rsidR="007E0038">
        <w:rPr>
          <w:color w:val="auto"/>
          <w:lang w:val="en-GB"/>
        </w:rPr>
        <w:t>@unipasby.ac.id</w:t>
      </w:r>
    </w:p>
    <w:p w14:paraId="412FDED7" w14:textId="77777777" w:rsidR="00784B9B" w:rsidRPr="00A75CB1" w:rsidRDefault="00784B9B" w:rsidP="00BE398A">
      <w:pPr>
        <w:pStyle w:val="Alishlah16affiliation"/>
        <w:rPr>
          <w:color w:val="auto"/>
          <w:lang w:val="en-GB"/>
        </w:rPr>
      </w:pPr>
    </w:p>
    <w:tbl>
      <w:tblPr>
        <w:tblStyle w:val="KisiTabel"/>
        <w:tblW w:w="8845" w:type="dxa"/>
        <w:jc w:val="center"/>
        <w:tblLook w:val="04A0" w:firstRow="1" w:lastRow="0" w:firstColumn="1" w:lastColumn="0" w:noHBand="0" w:noVBand="1"/>
      </w:tblPr>
      <w:tblGrid>
        <w:gridCol w:w="2787"/>
        <w:gridCol w:w="282"/>
        <w:gridCol w:w="5776"/>
      </w:tblGrid>
      <w:tr w:rsidR="0048254D" w:rsidRPr="0048254D" w14:paraId="71BB53E5" w14:textId="77777777" w:rsidTr="0048254D">
        <w:trPr>
          <w:jc w:val="center"/>
        </w:trPr>
        <w:tc>
          <w:tcPr>
            <w:tcW w:w="2787" w:type="dxa"/>
            <w:tcBorders>
              <w:top w:val="double" w:sz="4" w:space="0" w:color="auto"/>
              <w:left w:val="nil"/>
              <w:bottom w:val="single" w:sz="4" w:space="0" w:color="auto"/>
              <w:right w:val="nil"/>
            </w:tcBorders>
          </w:tcPr>
          <w:p w14:paraId="6484AC54"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50D404A1"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70C286D4"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1C851284" w14:textId="77777777" w:rsidTr="0048254D">
        <w:trPr>
          <w:trHeight w:val="1268"/>
          <w:jc w:val="center"/>
        </w:trPr>
        <w:tc>
          <w:tcPr>
            <w:tcW w:w="2787" w:type="dxa"/>
            <w:tcBorders>
              <w:top w:val="single" w:sz="4" w:space="0" w:color="auto"/>
              <w:left w:val="nil"/>
              <w:bottom w:val="single" w:sz="4" w:space="0" w:color="auto"/>
              <w:right w:val="nil"/>
            </w:tcBorders>
          </w:tcPr>
          <w:p w14:paraId="13AAAC0B" w14:textId="6DF21648" w:rsidR="00675572" w:rsidRPr="00FB54B0" w:rsidRDefault="0048254D" w:rsidP="00FB54B0">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r w:rsidR="00FB54B0">
              <w:rPr>
                <w:rFonts w:ascii="Palatino Linotype" w:hAnsi="Palatino Linotype"/>
                <w:b/>
                <w:i/>
                <w:sz w:val="18"/>
                <w:szCs w:val="18"/>
              </w:rPr>
              <w:t xml:space="preserve"> </w:t>
            </w:r>
            <w:r w:rsidR="00675572" w:rsidRPr="00675572">
              <w:rPr>
                <w:rFonts w:ascii="Palatino Linotype" w:eastAsia="Times New Roman" w:hAnsi="Palatino Linotype" w:cs="Times New Roman"/>
                <w:sz w:val="18"/>
                <w:szCs w:val="18"/>
              </w:rPr>
              <w:t>Immersive Virtual Reality</w:t>
            </w:r>
            <w:r w:rsidR="00675572">
              <w:rPr>
                <w:rFonts w:ascii="Palatino Linotype" w:eastAsia="Times New Roman" w:hAnsi="Palatino Linotype" w:cs="Times New Roman"/>
                <w:sz w:val="18"/>
                <w:szCs w:val="18"/>
              </w:rPr>
              <w:t>;</w:t>
            </w:r>
            <w:r w:rsidR="00675572" w:rsidRPr="00675572">
              <w:rPr>
                <w:rFonts w:ascii="Palatino Linotype" w:eastAsia="Times New Roman" w:hAnsi="Palatino Linotype" w:cs="Times New Roman"/>
                <w:sz w:val="18"/>
                <w:szCs w:val="18"/>
              </w:rPr>
              <w:t xml:space="preserve"> Experiential Learning, Slow Learners</w:t>
            </w:r>
            <w:r w:rsidR="00675572">
              <w:rPr>
                <w:rFonts w:ascii="Palatino Linotype" w:eastAsia="Times New Roman" w:hAnsi="Palatino Linotype" w:cs="Times New Roman"/>
                <w:sz w:val="18"/>
                <w:szCs w:val="18"/>
              </w:rPr>
              <w:t>;</w:t>
            </w:r>
            <w:r w:rsidR="00675572" w:rsidRPr="00675572">
              <w:rPr>
                <w:rFonts w:ascii="Palatino Linotype" w:eastAsia="Times New Roman" w:hAnsi="Palatino Linotype" w:cs="Times New Roman"/>
                <w:sz w:val="18"/>
                <w:szCs w:val="18"/>
              </w:rPr>
              <w:t xml:space="preserve"> Communication, Problem Solving</w:t>
            </w:r>
            <w:r w:rsidR="00675572">
              <w:rPr>
                <w:rFonts w:ascii="Palatino Linotype" w:eastAsia="Times New Roman" w:hAnsi="Palatino Linotype" w:cs="Times New Roman"/>
                <w:sz w:val="18"/>
                <w:szCs w:val="18"/>
              </w:rPr>
              <w:t>;</w:t>
            </w:r>
            <w:r w:rsidR="00675572" w:rsidRPr="00675572">
              <w:rPr>
                <w:rFonts w:ascii="Palatino Linotype" w:eastAsia="Times New Roman" w:hAnsi="Palatino Linotype" w:cs="Times New Roman"/>
                <w:sz w:val="18"/>
                <w:szCs w:val="18"/>
              </w:rPr>
              <w:t xml:space="preserve"> Inclusive Education</w:t>
            </w:r>
          </w:p>
          <w:p w14:paraId="4EC19234" w14:textId="77777777" w:rsidR="0048254D" w:rsidRPr="0048254D" w:rsidRDefault="0048254D" w:rsidP="00675572">
            <w:pPr>
              <w:pStyle w:val="Alishlah18keywords"/>
            </w:pPr>
          </w:p>
        </w:tc>
        <w:tc>
          <w:tcPr>
            <w:tcW w:w="282" w:type="dxa"/>
            <w:vMerge w:val="restart"/>
            <w:tcBorders>
              <w:top w:val="nil"/>
              <w:left w:val="nil"/>
              <w:bottom w:val="nil"/>
              <w:right w:val="nil"/>
            </w:tcBorders>
          </w:tcPr>
          <w:p w14:paraId="7312B03A"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2EFF8B05" w14:textId="5AF5BECA" w:rsidR="0048254D" w:rsidRPr="002A202B" w:rsidRDefault="002A202B" w:rsidP="00E45249">
            <w:pPr>
              <w:pStyle w:val="Alishlah17abstract"/>
            </w:pPr>
            <w:r w:rsidRPr="000C1BB3">
              <w:rPr>
                <w:sz w:val="18"/>
                <w:szCs w:val="18"/>
              </w:rPr>
              <w:t xml:space="preserve">This research aims to develop Immersive Virtual Reality-based Experiential Learning as a learning media </w:t>
            </w:r>
            <w:r w:rsidRPr="000C1BB3">
              <w:rPr>
                <w:i/>
                <w:sz w:val="18"/>
                <w:szCs w:val="18"/>
              </w:rPr>
              <w:t>to</w:t>
            </w:r>
            <w:r w:rsidRPr="000C1BB3">
              <w:rPr>
                <w:sz w:val="18"/>
                <w:szCs w:val="18"/>
              </w:rPr>
              <w:t xml:space="preserve"> improve students' communication and problem-solving skills in inclusive elementary schools. The research approach used is Design-Based</w:t>
            </w:r>
            <w:r w:rsidRPr="000C1BB3">
              <w:rPr>
                <w:i/>
                <w:sz w:val="18"/>
                <w:szCs w:val="18"/>
              </w:rPr>
              <w:t xml:space="preserve"> Research, which</w:t>
            </w:r>
            <w:r w:rsidRPr="000C1BB3">
              <w:rPr>
                <w:sz w:val="18"/>
                <w:szCs w:val="18"/>
              </w:rPr>
              <w:t xml:space="preserve"> was carried out through the stages of needs analysis, design, implementation, and reflection. The research subjects consisted of accompanying teachers and students, a</w:t>
            </w:r>
            <w:r w:rsidRPr="000C1BB3">
              <w:rPr>
                <w:i/>
                <w:sz w:val="18"/>
                <w:szCs w:val="18"/>
              </w:rPr>
              <w:t xml:space="preserve"> slow learner from</w:t>
            </w:r>
            <w:r w:rsidRPr="000C1BB3">
              <w:rPr>
                <w:sz w:val="18"/>
                <w:szCs w:val="18"/>
              </w:rPr>
              <w:t xml:space="preserve"> several inclusive elementary schools in East Java. The research instruments included expert validation sheets, observations, interviews, and questionnaires. The results showed that media-immersive, Virtual reality-based experiential learning is highly suitable for learning. The implementation of this media has been proven to improve students' communication skills and problem-solving abilities, especially for slow</w:t>
            </w:r>
            <w:r w:rsidRPr="000C1BB3">
              <w:rPr>
                <w:i/>
                <w:sz w:val="18"/>
                <w:szCs w:val="18"/>
              </w:rPr>
              <w:t xml:space="preserve"> learners</w:t>
            </w:r>
            <w:r w:rsidRPr="000C1BB3">
              <w:rPr>
                <w:sz w:val="18"/>
                <w:szCs w:val="18"/>
              </w:rPr>
              <w:t>. Immersive and interactive virtual learning environments provide contextual, enjoyable learning experiences and support the creation of meaningful learning processes for students with special learning needs.</w:t>
            </w:r>
          </w:p>
        </w:tc>
      </w:tr>
      <w:tr w:rsidR="0048254D" w:rsidRPr="0048254D" w14:paraId="7471A77D"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3824014F"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585305BF" w14:textId="77777777" w:rsidR="0048254D" w:rsidRPr="006A6719" w:rsidRDefault="0048254D" w:rsidP="00E45249">
            <w:pPr>
              <w:pStyle w:val="Alishlah14history"/>
            </w:pPr>
            <w:r w:rsidRPr="006A6719">
              <w:t xml:space="preserve">Received </w:t>
            </w:r>
            <w:r w:rsidR="00FA43FF" w:rsidRPr="00FA43FF">
              <w:t>2021-08-14</w:t>
            </w:r>
          </w:p>
          <w:p w14:paraId="04104642" w14:textId="77777777" w:rsidR="0048254D" w:rsidRPr="006A6719" w:rsidRDefault="0048254D" w:rsidP="00E45249">
            <w:pPr>
              <w:pStyle w:val="Alishlah14history"/>
            </w:pPr>
            <w:r w:rsidRPr="006A6719">
              <w:t xml:space="preserve">Revised </w:t>
            </w:r>
            <w:r w:rsidR="00675603" w:rsidRPr="006A6719">
              <w:tab/>
            </w:r>
            <w:r w:rsidR="00FA43FF" w:rsidRPr="00FA43FF">
              <w:t>2021-11-12</w:t>
            </w:r>
          </w:p>
          <w:p w14:paraId="7F640B98" w14:textId="77777777" w:rsidR="0048254D" w:rsidRPr="004A39B9" w:rsidRDefault="0048254D" w:rsidP="004A39B9">
            <w:pPr>
              <w:pStyle w:val="Alishlah14history"/>
              <w:rPr>
                <w:lang w:val="en-AU"/>
              </w:rPr>
            </w:pPr>
            <w:r w:rsidRPr="006A6719">
              <w:t xml:space="preserve">Accepted </w:t>
            </w:r>
            <w:r w:rsidR="00FA43FF" w:rsidRPr="00FA43FF">
              <w:t>2022-01-17</w:t>
            </w:r>
          </w:p>
        </w:tc>
        <w:tc>
          <w:tcPr>
            <w:tcW w:w="282" w:type="dxa"/>
            <w:vMerge/>
            <w:tcBorders>
              <w:top w:val="nil"/>
              <w:left w:val="nil"/>
              <w:bottom w:val="nil"/>
              <w:right w:val="nil"/>
            </w:tcBorders>
          </w:tcPr>
          <w:p w14:paraId="3C1DBA35"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5B7D63FC"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32EDFE01" w14:textId="77777777" w:rsidTr="0048254D">
        <w:trPr>
          <w:trHeight w:val="70"/>
          <w:jc w:val="center"/>
        </w:trPr>
        <w:tc>
          <w:tcPr>
            <w:tcW w:w="2787" w:type="dxa"/>
            <w:vMerge/>
            <w:tcBorders>
              <w:top w:val="single" w:sz="4" w:space="0" w:color="auto"/>
              <w:left w:val="nil"/>
              <w:bottom w:val="single" w:sz="4" w:space="0" w:color="auto"/>
              <w:right w:val="nil"/>
            </w:tcBorders>
          </w:tcPr>
          <w:p w14:paraId="47336AA9"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1A8F9FCD"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12F23D1D"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8"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721F3981"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48863564" wp14:editId="5FBB1CC9">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322FEB2B" w14:textId="77777777" w:rsidTr="0048254D">
        <w:trPr>
          <w:jc w:val="center"/>
        </w:trPr>
        <w:tc>
          <w:tcPr>
            <w:tcW w:w="8845" w:type="dxa"/>
            <w:gridSpan w:val="3"/>
            <w:tcBorders>
              <w:top w:val="nil"/>
              <w:left w:val="nil"/>
              <w:bottom w:val="double" w:sz="4" w:space="0" w:color="auto"/>
              <w:right w:val="nil"/>
            </w:tcBorders>
          </w:tcPr>
          <w:p w14:paraId="6F3634AB" w14:textId="77777777" w:rsidR="0048254D" w:rsidRPr="00E45249" w:rsidRDefault="0048254D" w:rsidP="00E45249">
            <w:pPr>
              <w:pStyle w:val="Alishlah16affiliation"/>
              <w:ind w:left="0" w:firstLine="10"/>
              <w:rPr>
                <w:b/>
                <w:bCs/>
              </w:rPr>
            </w:pPr>
            <w:bookmarkStart w:id="0" w:name="_Hlk97159440"/>
            <w:r w:rsidRPr="00E45249">
              <w:rPr>
                <w:b/>
                <w:bCs/>
              </w:rPr>
              <w:t>Corresponding Author</w:t>
            </w:r>
            <w:bookmarkEnd w:id="0"/>
            <w:r w:rsidRPr="00E45249">
              <w:rPr>
                <w:b/>
                <w:bCs/>
              </w:rPr>
              <w:t>:</w:t>
            </w:r>
          </w:p>
          <w:p w14:paraId="6D37EEF2" w14:textId="77777777" w:rsidR="00675572" w:rsidRPr="00675572" w:rsidRDefault="00675572" w:rsidP="00675572">
            <w:pPr>
              <w:pStyle w:val="Alishlah2authorcorrespondence"/>
              <w:ind w:left="31" w:firstLine="0"/>
              <w:rPr>
                <w:b/>
                <w:sz w:val="16"/>
                <w:szCs w:val="16"/>
                <w:vertAlign w:val="superscript"/>
              </w:rPr>
            </w:pPr>
            <w:r w:rsidRPr="00675572">
              <w:rPr>
                <w:b/>
                <w:sz w:val="16"/>
                <w:szCs w:val="16"/>
              </w:rPr>
              <w:t>Reza Rachmadtullah</w:t>
            </w:r>
            <w:r w:rsidRPr="00675572">
              <w:rPr>
                <w:b/>
                <w:sz w:val="16"/>
                <w:szCs w:val="16"/>
                <w:vertAlign w:val="superscript"/>
              </w:rPr>
              <w:t>2</w:t>
            </w:r>
          </w:p>
          <w:p w14:paraId="51B54549" w14:textId="014C710E" w:rsidR="0048254D" w:rsidRPr="00675572" w:rsidRDefault="00675572" w:rsidP="00675572">
            <w:pPr>
              <w:pStyle w:val="Alishlah16affiliation"/>
              <w:ind w:left="31" w:firstLine="0"/>
              <w:rPr>
                <w:color w:val="auto"/>
                <w:lang w:val="en-GB"/>
              </w:rPr>
            </w:pPr>
            <w:r w:rsidRPr="00675572">
              <w:rPr>
                <w:color w:val="auto"/>
                <w:sz w:val="16"/>
                <w:szCs w:val="16"/>
                <w:lang w:val="en-GB"/>
              </w:rPr>
              <w:t>Universitas PGRI Adi Buana Surabaya</w:t>
            </w:r>
            <w:r w:rsidRPr="00675572">
              <w:rPr>
                <w:color w:val="auto"/>
                <w:sz w:val="16"/>
                <w:szCs w:val="16"/>
                <w:vertAlign w:val="superscript"/>
                <w:lang w:val="en-GB"/>
              </w:rPr>
              <w:t>1</w:t>
            </w:r>
            <w:r w:rsidRPr="00675572">
              <w:rPr>
                <w:color w:val="auto"/>
                <w:sz w:val="16"/>
                <w:szCs w:val="16"/>
                <w:lang w:val="en-GB"/>
              </w:rPr>
              <w:t>; reza@unipasby.ac.id</w:t>
            </w:r>
          </w:p>
        </w:tc>
      </w:tr>
    </w:tbl>
    <w:p w14:paraId="75CBB074" w14:textId="77777777" w:rsidR="002659B5" w:rsidRDefault="0048254D" w:rsidP="00FB54B0">
      <w:pPr>
        <w:pStyle w:val="Alishlah21heading1"/>
        <w:ind w:left="284"/>
        <w:rPr>
          <w:lang w:val="en-GB"/>
        </w:rPr>
      </w:pPr>
      <w:r w:rsidRPr="00A75CB1">
        <w:rPr>
          <w:lang w:val="en-GB"/>
        </w:rPr>
        <w:t>INTRODUCTION</w:t>
      </w:r>
    </w:p>
    <w:p w14:paraId="0E9D0E24" w14:textId="77777777" w:rsidR="002659B5" w:rsidRPr="00837A65" w:rsidRDefault="002659B5" w:rsidP="002659B5">
      <w:pPr>
        <w:spacing w:after="0" w:line="240" w:lineRule="auto"/>
        <w:ind w:firstLine="720"/>
        <w:jc w:val="both"/>
        <w:rPr>
          <w:rFonts w:ascii="Palatino Linotype" w:eastAsia="Times New Roman" w:hAnsi="Palatino Linotype" w:cs="Times New Roman"/>
          <w:sz w:val="20"/>
          <w:szCs w:val="20"/>
        </w:rPr>
      </w:pPr>
      <w:r w:rsidRPr="00837A65">
        <w:rPr>
          <w:rFonts w:ascii="Palatino Linotype" w:eastAsia="Times New Roman" w:hAnsi="Palatino Linotype" w:cs="Times New Roman"/>
          <w:sz w:val="20"/>
          <w:szCs w:val="20"/>
        </w:rPr>
        <w:t xml:space="preserve">Inclusive education describes an equitable education system, which affirms that every student has the same right to receive quality educational services regardless of differences in ability, background, or physical or mental condition (Chusna &amp; Harsiwi, 2024). In an inclusive elementary school environment, student diversity is a wealth that must be valued, including students with special learning needs, such as slow learners (Samodro Adjie &amp; Malawi, 2024). Slow learners have below-average intellectual abilities but are not classified as having intellectual disabilities. They are still able to participate in regular classroom learning, but require more time to understand concepts, process information, and apply knowledge to everyday life (Rahmawaty et al., 2023). Their learning process tends to be more effective when presented in a concrete, gradual manner, and accompanied by consistent guidance (Sukinah et al., 2024). Therefore, teachers in inclusive classrooms need to implement adaptive and flexible learning strategies, adapting methods, media, and assessment formats to align with the characteristics and learning styles of slow learners (Wahyuningsih et al., 2023). These </w:t>
      </w:r>
      <w:r w:rsidRPr="00837A65">
        <w:rPr>
          <w:rFonts w:ascii="Palatino Linotype" w:eastAsia="Times New Roman" w:hAnsi="Palatino Linotype" w:cs="Times New Roman"/>
          <w:sz w:val="20"/>
          <w:szCs w:val="20"/>
        </w:rPr>
        <w:lastRenderedPageBreak/>
        <w:t>efforts not only reflect equitable educational practices but also demonstrate a commitment to the values ​​of empathy and respect for differences, so that all students can grow and develop optimally in a learning environment that is welcoming and supportive of diversity (Wanabuliandari et al., 2025).</w:t>
      </w:r>
    </w:p>
    <w:p w14:paraId="3A342351" w14:textId="77777777" w:rsidR="002659B5" w:rsidRPr="00837A65" w:rsidRDefault="002659B5" w:rsidP="002659B5">
      <w:pPr>
        <w:spacing w:after="0" w:line="240" w:lineRule="auto"/>
        <w:ind w:firstLine="720"/>
        <w:jc w:val="both"/>
        <w:rPr>
          <w:rFonts w:ascii="Palatino Linotype" w:eastAsia="Times New Roman" w:hAnsi="Palatino Linotype" w:cs="Times New Roman"/>
          <w:sz w:val="20"/>
          <w:szCs w:val="20"/>
        </w:rPr>
      </w:pPr>
      <w:r w:rsidRPr="00837A65">
        <w:rPr>
          <w:rFonts w:ascii="Palatino Linotype" w:eastAsia="Times New Roman" w:hAnsi="Palatino Linotype" w:cs="Times New Roman"/>
          <w:sz w:val="20"/>
          <w:szCs w:val="20"/>
        </w:rPr>
        <w:t xml:space="preserve">Field research shows that the learning process for slow learners still faces various complex obstacles (Latifah et al., 2023). Many teachers still employ conventional learning methods that focus on verbal, one-way delivery of material, without considering students' diverse learning needs and characteristics (Mumpuniarti et al., 2020). The learning media used are generally limited to textbooks and simple aids that are less engaging, less interactive, and unable to facilitate active student engagement in learning activities (Hartini et al., 2017). These conditions affect slow learners' low motivation and participation in class, making it difficult for them to develop essential skills, particularly communication and problem-solving </w:t>
      </w:r>
      <w:r>
        <w:rPr>
          <w:rFonts w:ascii="Palatino Linotype" w:eastAsia="Times New Roman" w:hAnsi="Palatino Linotype" w:cs="Times New Roman"/>
          <w:sz w:val="20"/>
          <w:szCs w:val="20"/>
        </w:rPr>
        <w:t>(</w:t>
      </w:r>
      <w:r w:rsidRPr="00837A65">
        <w:rPr>
          <w:rFonts w:ascii="Palatino Linotype" w:eastAsia="Times New Roman" w:hAnsi="Palatino Linotype" w:cs="Times New Roman"/>
          <w:sz w:val="20"/>
          <w:szCs w:val="20"/>
        </w:rPr>
        <w:t>Ariyanti et al., 2025). Yet, these two skills play a crucial role in supporting their academic and social success. Poor communication skills make it difficult for slow learners to express their opinions, interact with peers, or understand teachers' instructions (Eka Yuliana et al., 2024). Meanwhile, weak problem-solving skills lead them to be passive and dependent on others for help when facing learning difficulties (Okterina et al., 2025). This situation highlights the importance of innovation in more contextual, interactive, and student-centred learning strategies to optimally develop slow learners' potential in an inclusive educational environment.</w:t>
      </w:r>
    </w:p>
    <w:p w14:paraId="7D3BA2A7" w14:textId="77777777" w:rsidR="002659B5" w:rsidRPr="00837A65" w:rsidRDefault="002659B5" w:rsidP="002659B5">
      <w:pPr>
        <w:spacing w:after="0" w:line="240" w:lineRule="auto"/>
        <w:ind w:firstLine="720"/>
        <w:jc w:val="both"/>
        <w:rPr>
          <w:rFonts w:ascii="Palatino Linotype" w:eastAsia="Times New Roman" w:hAnsi="Palatino Linotype" w:cs="Times New Roman"/>
          <w:sz w:val="20"/>
          <w:szCs w:val="20"/>
        </w:rPr>
      </w:pPr>
      <w:r w:rsidRPr="00837A65">
        <w:rPr>
          <w:rFonts w:ascii="Palatino Linotype" w:eastAsia="Times New Roman" w:hAnsi="Palatino Linotype" w:cs="Times New Roman"/>
          <w:sz w:val="20"/>
          <w:szCs w:val="20"/>
        </w:rPr>
        <w:t>The rapid development of educational technology in the current digital era offers significant opportunities to address the learning challenges faced by slow learners (Sari &amp; Munir, 2024). One potential innovation is Immersive Virtual Reality (IVR), a virtual reality-based learning technology that enables students to learn in a realistic, interactive, and real-world three-dimensional environment (Satria &amp; Sutabri, 2025). With IVR, students are no longer passive listeners; they can engage directly in immersive learning experiences, exploring, interacting, and practising the concepts they are learning in concrete ways (Sukesi et al., 2024). This approach is particularly relevant for slow learners, who tend to require authentic, repetitive, and multisensory learning experiences to understand the material more deeply. Through safe, enjoyable simulations, students can practice communicating, making decisions, and solving problems in a variety of everyday-life situations without fear of making mistakes (Aprianti et al., 2025). Thus, the use of Immersive Virtual Reality technology not only functions as a visual aid but also as an adaptive learning medium that is able to foster self-confidence, increase learning engagement, and develop critical thinking and social skills of slow learner students in the context of inclusive education (Nurliasari et al., 2025).</w:t>
      </w:r>
    </w:p>
    <w:p w14:paraId="73DBE4C4" w14:textId="77777777" w:rsidR="002659B5" w:rsidRPr="00837A65" w:rsidRDefault="002659B5" w:rsidP="000C1BB3">
      <w:pPr>
        <w:spacing w:after="0" w:line="240" w:lineRule="auto"/>
        <w:ind w:firstLine="720"/>
        <w:jc w:val="both"/>
        <w:rPr>
          <w:rFonts w:ascii="Palatino Linotype" w:eastAsia="Times New Roman" w:hAnsi="Palatino Linotype" w:cs="Times New Roman"/>
          <w:sz w:val="20"/>
          <w:szCs w:val="20"/>
        </w:rPr>
      </w:pPr>
      <w:r w:rsidRPr="00837A65">
        <w:rPr>
          <w:rFonts w:ascii="Palatino Linotype" w:eastAsia="Times New Roman" w:hAnsi="Palatino Linotype" w:cs="Times New Roman"/>
          <w:sz w:val="20"/>
          <w:szCs w:val="20"/>
        </w:rPr>
        <w:t>To make technology-based learning more meaningful, an appropriate pedagogical approach is required, one of which is experiential learning. This approach emphasises the importance of a learning process involving four main stages: direct experience (concrete experience), reflection (reflective observation), concept formation (abstract conceptualisation), and application in real situations (active experimentation) (Fadliyah et al., n.d.). Through these stages, students not only passively receive information but also truly understand the meaning of their learning experiences. When Immersive Virtual Reality (IVR) is combined with experiential learning principles, the learning process becomes much more active, contextual, and relevant to the needs of slow learners (Huda et al., 2023). Realistic virtual environments allow students to experience learning situations firsthand, for example, practising communicating in specific social contexts, solving problems in everyday life simulations, or developing skills through interactive visual exploration (Sukesi et al., 2024). After these experiences, students can be encouraged to reflect and discuss their feelings and learning, further deepening the internalisation of knowledge. Thus, integrating IVR and experiential learning not only helps slow learners grasp concepts concretely but also fosters self-confidence, critical thinking, and social skills, which are essential for their success in learning and interacting in the real world.</w:t>
      </w:r>
    </w:p>
    <w:p w14:paraId="55E41608" w14:textId="77777777" w:rsidR="002659B5" w:rsidRPr="00837A65" w:rsidRDefault="002659B5" w:rsidP="002659B5">
      <w:pPr>
        <w:spacing w:after="0" w:line="240" w:lineRule="auto"/>
        <w:ind w:firstLine="720"/>
        <w:jc w:val="both"/>
        <w:rPr>
          <w:rFonts w:ascii="Palatino Linotype" w:eastAsia="Times New Roman" w:hAnsi="Palatino Linotype" w:cs="Times New Roman"/>
          <w:sz w:val="20"/>
          <w:szCs w:val="20"/>
        </w:rPr>
      </w:pPr>
      <w:r w:rsidRPr="00837A65">
        <w:rPr>
          <w:rFonts w:ascii="Palatino Linotype" w:eastAsia="Times New Roman" w:hAnsi="Palatino Linotype" w:cs="Times New Roman"/>
          <w:sz w:val="20"/>
          <w:szCs w:val="20"/>
        </w:rPr>
        <w:t xml:space="preserve">Several previous studies have shown that the use of Virtual Reality (VR) technology in learning can positively impact student motivation, learning outcomes, and social skills (Nurliasari et al., 2025). This technology has been proven to create engaging, interactive, and immersive learning experiences, thus encouraging students to participate more actively in the learning process. However, although VR's </w:t>
      </w:r>
      <w:r w:rsidRPr="00837A65">
        <w:rPr>
          <w:rFonts w:ascii="Palatino Linotype" w:eastAsia="Times New Roman" w:hAnsi="Palatino Linotype" w:cs="Times New Roman"/>
          <w:sz w:val="20"/>
          <w:szCs w:val="20"/>
        </w:rPr>
        <w:lastRenderedPageBreak/>
        <w:t>potential is widely recognised, research specifically developing Immersive Virtual Reality (IVR) media based on an experiential learning approach to improve communication and problem-solving skills in slow learners in inclusive elementary schools is still very limited (Huda et al., 2023). In fact, the combination of IVR and experiential learning is believed to provide concrete and repetitive learning experiences that are tailored to the characteristics and learning needs of slow learners (Andryansyah &amp; Ningsih, 2021). The limited research in this area demonstrates the urgent need to introduce more adaptive, contextual, and inclusive learning innovations to ensure that every student, without exception, has an equal opportunity to develop their full potential through the use of modern educational technology.</w:t>
      </w:r>
    </w:p>
    <w:p w14:paraId="09367F2F" w14:textId="369DBD27" w:rsidR="00727D5A" w:rsidRPr="002659B5" w:rsidRDefault="002659B5" w:rsidP="002659B5">
      <w:pPr>
        <w:spacing w:line="240" w:lineRule="auto"/>
        <w:ind w:firstLine="720"/>
        <w:jc w:val="both"/>
        <w:rPr>
          <w:rFonts w:ascii="Palatino Linotype" w:eastAsia="Times New Roman" w:hAnsi="Palatino Linotype" w:cs="Times New Roman"/>
          <w:sz w:val="20"/>
          <w:szCs w:val="20"/>
        </w:rPr>
      </w:pPr>
      <w:r w:rsidRPr="00837A65">
        <w:rPr>
          <w:rFonts w:ascii="Palatino Linotype" w:eastAsia="Times New Roman" w:hAnsi="Palatino Linotype" w:cs="Times New Roman"/>
          <w:sz w:val="20"/>
          <w:szCs w:val="20"/>
        </w:rPr>
        <w:t>Based on the description, this study aims to develop an Immersive Virtual Reality (IVR) learning medium grounded in experiential learning to improve communication and problem-solving skills among slow-learning students in inclusive elementary schools (Zakiah et al., 2022). The development of this medium is expected to provide a more concrete, interactive, and meaningful learning experience for students, enabling them to be actively involved in the learning process based on their characteristics and learning needs. Through the application of IVR combined with the principles of experiential learning, slow-learning students are expected to have the opportunity to learn directly through experience, reflection, and the application of concepts in contexts that resemble real situations (Handayani et al., 2023). Furthermore, the results of this study are expected to provide innovative solutions for teachers in creating compelling, engaging, and inclusive learning processes, while supporting the realisation of the principle of education for all, where every student has the same right to obtain quality learning experiences and to empower their potential optimally.</w:t>
      </w:r>
    </w:p>
    <w:p w14:paraId="1A8806A1" w14:textId="59514187" w:rsidR="00A74D69" w:rsidRPr="00A74D69" w:rsidRDefault="005B5AEC" w:rsidP="00FB54B0">
      <w:pPr>
        <w:pStyle w:val="Alishlah21heading1"/>
        <w:ind w:left="426" w:hanging="426"/>
        <w:rPr>
          <w:rFonts w:eastAsia="Arial"/>
        </w:rPr>
      </w:pPr>
      <w:r w:rsidRPr="00723B12">
        <w:rPr>
          <w:rFonts w:eastAsia="Arial"/>
        </w:rPr>
        <w:t xml:space="preserve">METHODS </w:t>
      </w:r>
    </w:p>
    <w:p w14:paraId="2043028D" w14:textId="15AB4DAF" w:rsidR="00A74D69" w:rsidRPr="00837A65" w:rsidRDefault="00A74D69" w:rsidP="00A74D69">
      <w:pPr>
        <w:spacing w:line="240" w:lineRule="auto"/>
        <w:rPr>
          <w:rFonts w:ascii="Palatino Linotype" w:eastAsia="Times New Roman" w:hAnsi="Palatino Linotype" w:cs="Times New Roman"/>
          <w:b/>
          <w:sz w:val="20"/>
          <w:szCs w:val="20"/>
        </w:rPr>
      </w:pPr>
      <w:r>
        <w:rPr>
          <w:rFonts w:ascii="Palatino Linotype" w:eastAsia="Times New Roman" w:hAnsi="Palatino Linotype" w:cs="Times New Roman"/>
          <w:b/>
          <w:sz w:val="20"/>
          <w:szCs w:val="20"/>
        </w:rPr>
        <w:t xml:space="preserve">2.1. </w:t>
      </w:r>
      <w:r w:rsidRPr="00837A65">
        <w:rPr>
          <w:rFonts w:ascii="Palatino Linotype" w:eastAsia="Times New Roman" w:hAnsi="Palatino Linotype" w:cs="Times New Roman"/>
          <w:b/>
          <w:sz w:val="20"/>
          <w:szCs w:val="20"/>
        </w:rPr>
        <w:t>Research Design</w:t>
      </w:r>
    </w:p>
    <w:p w14:paraId="45C58CC0" w14:textId="77777777" w:rsidR="00A74D69" w:rsidRPr="00837A65" w:rsidRDefault="00A74D69" w:rsidP="00A74D69">
      <w:pPr>
        <w:spacing w:line="240" w:lineRule="auto"/>
        <w:ind w:firstLine="567"/>
        <w:jc w:val="both"/>
        <w:rPr>
          <w:rFonts w:ascii="Palatino Linotype" w:eastAsia="Times New Roman" w:hAnsi="Palatino Linotype" w:cs="Times New Roman"/>
          <w:sz w:val="20"/>
          <w:szCs w:val="20"/>
        </w:rPr>
      </w:pPr>
      <w:r w:rsidRPr="00837A65">
        <w:rPr>
          <w:rFonts w:ascii="Palatino Linotype" w:eastAsia="Times New Roman" w:hAnsi="Palatino Linotype" w:cs="Times New Roman"/>
          <w:sz w:val="20"/>
          <w:szCs w:val="20"/>
        </w:rPr>
        <w:t>This research uses Design-Based Research (DBR</w:t>
      </w:r>
      <w:r w:rsidRPr="00837A65">
        <w:rPr>
          <w:rFonts w:ascii="Palatino Linotype" w:eastAsia="Times New Roman" w:hAnsi="Palatino Linotype" w:cs="Times New Roman"/>
          <w:b/>
          <w:sz w:val="20"/>
          <w:szCs w:val="20"/>
        </w:rPr>
        <w:t xml:space="preserve">) </w:t>
      </w:r>
      <w:r w:rsidRPr="00837A65">
        <w:rPr>
          <w:rFonts w:ascii="Palatino Linotype" w:eastAsia="Times New Roman" w:hAnsi="Palatino Linotype" w:cs="Times New Roman"/>
          <w:sz w:val="20"/>
          <w:szCs w:val="20"/>
        </w:rPr>
        <w:t>as the primary approach. DBR is a research method oriented toward the development and refinement of educational products through an iterative process that involves direct collaboration between researchers and practitioners in real-life learning contexts. According to Reeves (2006), DBR has cyclical characteristics: problem identification, solution design, field implementation, and reflection to refine the design. The main objective of this approach is not only to produce innovative products but also to provide a theoretical understanding of the learning process. The reason for using the DBR design in this study is that the product developed —Immersive Virtual Reality based on Experiential Learning —requires a process of repeated trials and improvements to meet the needs of slow learners in inclusive elementary schools. This approach allows researchers to evaluate the effectiveness and feasibility of the product in a real-life context through direct teacher and student involvement, while ensuring the resulting product has high practical and empirical validity.</w:t>
      </w:r>
    </w:p>
    <w:p w14:paraId="3BB1FD43" w14:textId="51487C67" w:rsidR="00A74D69" w:rsidRPr="00A74D69" w:rsidRDefault="00A74D69" w:rsidP="00A74D69">
      <w:pPr>
        <w:spacing w:line="240" w:lineRule="auto"/>
        <w:rPr>
          <w:rFonts w:ascii="Palatino Linotype" w:eastAsia="Times New Roman" w:hAnsi="Palatino Linotype" w:cs="Times New Roman"/>
          <w:sz w:val="20"/>
          <w:szCs w:val="20"/>
        </w:rPr>
      </w:pPr>
      <w:r w:rsidRPr="00837A65">
        <w:rPr>
          <w:rFonts w:ascii="Palatino Linotype" w:eastAsia="Times New Roman" w:hAnsi="Palatino Linotype" w:cs="Times New Roman"/>
          <w:sz w:val="20"/>
          <w:szCs w:val="20"/>
        </w:rPr>
        <w:t xml:space="preserve"> </w:t>
      </w:r>
      <w:r w:rsidRPr="00A74D69">
        <w:rPr>
          <w:rFonts w:ascii="Palatino Linotype" w:eastAsia="Times New Roman" w:hAnsi="Palatino Linotype" w:cs="Times New Roman"/>
          <w:b/>
          <w:bCs/>
          <w:sz w:val="20"/>
          <w:szCs w:val="20"/>
        </w:rPr>
        <w:t>2.2</w:t>
      </w:r>
      <w:r>
        <w:rPr>
          <w:rFonts w:ascii="Palatino Linotype" w:eastAsia="Times New Roman" w:hAnsi="Palatino Linotype" w:cs="Times New Roman"/>
          <w:sz w:val="20"/>
          <w:szCs w:val="20"/>
        </w:rPr>
        <w:t xml:space="preserve">. </w:t>
      </w:r>
      <w:r w:rsidRPr="00837A65">
        <w:rPr>
          <w:rFonts w:ascii="Palatino Linotype" w:eastAsia="Times New Roman" w:hAnsi="Palatino Linotype" w:cs="Times New Roman"/>
          <w:b/>
          <w:sz w:val="20"/>
          <w:szCs w:val="20"/>
        </w:rPr>
        <w:t>Participants</w:t>
      </w:r>
    </w:p>
    <w:p w14:paraId="5E91F43D" w14:textId="6E0001AD" w:rsidR="00A74D69" w:rsidRPr="00837A65" w:rsidRDefault="00A74D69" w:rsidP="00FB54B0">
      <w:pPr>
        <w:spacing w:line="240" w:lineRule="auto"/>
        <w:ind w:firstLine="426"/>
        <w:jc w:val="both"/>
        <w:rPr>
          <w:rFonts w:ascii="Palatino Linotype" w:eastAsia="Times New Roman" w:hAnsi="Palatino Linotype" w:cs="Times New Roman"/>
          <w:sz w:val="20"/>
          <w:szCs w:val="20"/>
        </w:rPr>
      </w:pPr>
      <w:r w:rsidRPr="00837A65">
        <w:rPr>
          <w:rFonts w:ascii="Palatino Linotype" w:eastAsia="Times New Roman" w:hAnsi="Palatino Linotype" w:cs="Times New Roman"/>
          <w:sz w:val="20"/>
          <w:szCs w:val="20"/>
        </w:rPr>
        <w:t>This study involved two mentor teachers from an inclusive elementary school and ten slow-learning students who served as trial subjects. The study was conducted at 10 inclusive elementary schools across East Java, selected based on their willingness to participate and their representativeness of inclusive learning conditions in the area. Participants were selected using purposive sampling, taking into account the teachers' experience in teaching students with special needs and the students' ability to engage in technology-based learning.</w:t>
      </w:r>
    </w:p>
    <w:p w14:paraId="2053B927" w14:textId="78F775E8" w:rsidR="00A74D69" w:rsidRPr="00837A65" w:rsidRDefault="00A74D69" w:rsidP="00A74D69">
      <w:pPr>
        <w:spacing w:line="240" w:lineRule="auto"/>
        <w:rPr>
          <w:rFonts w:ascii="Palatino Linotype" w:eastAsia="Times New Roman" w:hAnsi="Palatino Linotype" w:cs="Times New Roman"/>
          <w:b/>
          <w:sz w:val="20"/>
          <w:szCs w:val="20"/>
        </w:rPr>
      </w:pPr>
      <w:r>
        <w:rPr>
          <w:rFonts w:ascii="Palatino Linotype" w:eastAsia="Times New Roman" w:hAnsi="Palatino Linotype" w:cs="Times New Roman"/>
          <w:b/>
          <w:sz w:val="20"/>
          <w:szCs w:val="20"/>
        </w:rPr>
        <w:t xml:space="preserve">2.3. </w:t>
      </w:r>
      <w:r w:rsidRPr="00837A65">
        <w:rPr>
          <w:rFonts w:ascii="Palatino Linotype" w:eastAsia="Times New Roman" w:hAnsi="Palatino Linotype" w:cs="Times New Roman"/>
          <w:b/>
          <w:sz w:val="20"/>
          <w:szCs w:val="20"/>
        </w:rPr>
        <w:t>Research Instruments</w:t>
      </w:r>
    </w:p>
    <w:p w14:paraId="46F2E3B6" w14:textId="77777777" w:rsidR="00A74D69" w:rsidRPr="00837A65" w:rsidRDefault="00A74D69" w:rsidP="00A74D69">
      <w:pPr>
        <w:spacing w:line="240" w:lineRule="auto"/>
        <w:ind w:firstLine="567"/>
        <w:jc w:val="both"/>
        <w:rPr>
          <w:rFonts w:ascii="Palatino Linotype" w:eastAsia="Times New Roman" w:hAnsi="Palatino Linotype" w:cs="Times New Roman"/>
          <w:sz w:val="20"/>
          <w:szCs w:val="20"/>
        </w:rPr>
      </w:pPr>
      <w:r w:rsidRPr="00837A65">
        <w:rPr>
          <w:rFonts w:ascii="Palatino Linotype" w:eastAsia="Times New Roman" w:hAnsi="Palatino Linotype" w:cs="Times New Roman"/>
          <w:sz w:val="20"/>
          <w:szCs w:val="20"/>
        </w:rPr>
        <w:t>Product Feasibility Instrument: This instrument assesses the feasibility of the media.</w:t>
      </w:r>
      <w:r w:rsidRPr="00837A65">
        <w:rPr>
          <w:rFonts w:ascii="Palatino Linotype" w:eastAsia="Times New Roman" w:hAnsi="Palatino Linotype" w:cs="Times New Roman"/>
          <w:i/>
          <w:sz w:val="20"/>
          <w:szCs w:val="20"/>
        </w:rPr>
        <w:t>Immersive Virtual Reality berbasis Experiential Learning</w:t>
      </w:r>
      <w:r w:rsidRPr="00837A65">
        <w:rPr>
          <w:rFonts w:ascii="Palatino Linotype" w:eastAsia="Times New Roman" w:hAnsi="Palatino Linotype" w:cs="Times New Roman"/>
          <w:sz w:val="20"/>
          <w:szCs w:val="20"/>
        </w:rPr>
        <w:t xml:space="preserve">. The aspects evaluated include: (a) quality of learning content, (b) visual appearance and interactivity, (c) integration with experiential learning principles, </w:t>
      </w:r>
      <w:r w:rsidRPr="00837A65">
        <w:rPr>
          <w:rFonts w:ascii="Palatino Linotype" w:eastAsia="Times New Roman" w:hAnsi="Palatino Linotype" w:cs="Times New Roman"/>
          <w:sz w:val="20"/>
          <w:szCs w:val="20"/>
        </w:rPr>
        <w:lastRenderedPageBreak/>
        <w:t>and (d) ease of use for teachers and students. The assessment was conducted by media experts, learning experts, and inclusive education practitioners using a 1–5 Likert scale validation sheet.</w:t>
      </w:r>
      <w:r w:rsidRPr="00837A65">
        <w:rPr>
          <w:rFonts w:ascii="Palatino Linotype" w:eastAsia="Times New Roman" w:hAnsi="Palatino Linotype" w:cs="Times New Roman"/>
          <w:b/>
          <w:sz w:val="20"/>
          <w:szCs w:val="20"/>
        </w:rPr>
        <w:t xml:space="preserve"> </w:t>
      </w:r>
      <w:r w:rsidRPr="00837A65">
        <w:rPr>
          <w:rFonts w:ascii="Palatino Linotype" w:eastAsia="Times New Roman" w:hAnsi="Palatino Linotype" w:cs="Times New Roman"/>
          <w:sz w:val="20"/>
          <w:szCs w:val="20"/>
        </w:rPr>
        <w:t xml:space="preserve">Communication and Problem-Solving Skills Instrument: This instrument is designed around communication skill indicators, including the ability to convey ideas clearly, listen and respond appropriately, and collaborate in a virtual context. Meanwhile, problem-solving skills are measured through the ability to recognise problems, design a solution strategy, and implement solutions independently in activities. </w:t>
      </w:r>
      <w:r w:rsidRPr="00837A65">
        <w:rPr>
          <w:rFonts w:ascii="Palatino Linotype" w:eastAsia="Times New Roman" w:hAnsi="Palatino Linotype" w:cs="Times New Roman"/>
          <w:i/>
          <w:sz w:val="20"/>
          <w:szCs w:val="20"/>
        </w:rPr>
        <w:t>This</w:t>
      </w:r>
      <w:r w:rsidRPr="00837A65">
        <w:rPr>
          <w:rFonts w:ascii="Palatino Linotype" w:eastAsia="Times New Roman" w:hAnsi="Palatino Linotype" w:cs="Times New Roman"/>
          <w:sz w:val="20"/>
          <w:szCs w:val="20"/>
        </w:rPr>
        <w:t xml:space="preserve"> instrument consists of an observation sheet and a teacher questionnaire developed based on the theory of social and cognitive skills of slow learner students.</w:t>
      </w:r>
    </w:p>
    <w:p w14:paraId="4F7C3441" w14:textId="7DDB3241" w:rsidR="00A74D69" w:rsidRPr="00A74D69" w:rsidRDefault="00A74D69" w:rsidP="00A74D69">
      <w:pPr>
        <w:spacing w:line="240" w:lineRule="auto"/>
        <w:rPr>
          <w:rFonts w:ascii="Palatino Linotype" w:eastAsia="Times New Roman" w:hAnsi="Palatino Linotype" w:cs="Times New Roman"/>
          <w:sz w:val="20"/>
          <w:szCs w:val="20"/>
        </w:rPr>
      </w:pPr>
      <w:r w:rsidRPr="00837A65">
        <w:rPr>
          <w:rFonts w:ascii="Palatino Linotype" w:eastAsia="Times New Roman" w:hAnsi="Palatino Linotype" w:cs="Times New Roman"/>
          <w:sz w:val="20"/>
          <w:szCs w:val="20"/>
        </w:rPr>
        <w:t xml:space="preserve"> </w:t>
      </w:r>
      <w:r w:rsidRPr="00A74D69">
        <w:rPr>
          <w:rFonts w:ascii="Palatino Linotype" w:eastAsia="Times New Roman" w:hAnsi="Palatino Linotype" w:cs="Times New Roman"/>
          <w:b/>
          <w:bCs/>
          <w:sz w:val="20"/>
          <w:szCs w:val="20"/>
        </w:rPr>
        <w:t>2.4</w:t>
      </w:r>
      <w:r>
        <w:rPr>
          <w:rFonts w:ascii="Palatino Linotype" w:eastAsia="Times New Roman" w:hAnsi="Palatino Linotype" w:cs="Times New Roman"/>
          <w:sz w:val="20"/>
          <w:szCs w:val="20"/>
        </w:rPr>
        <w:t xml:space="preserve">. </w:t>
      </w:r>
      <w:r w:rsidRPr="00837A65">
        <w:rPr>
          <w:rFonts w:ascii="Palatino Linotype" w:eastAsia="Times New Roman" w:hAnsi="Palatino Linotype" w:cs="Times New Roman"/>
          <w:b/>
          <w:sz w:val="20"/>
          <w:szCs w:val="20"/>
        </w:rPr>
        <w:t>Data Collection</w:t>
      </w:r>
    </w:p>
    <w:p w14:paraId="6AED85CA" w14:textId="77777777" w:rsidR="00A74D69" w:rsidRPr="00837A65" w:rsidRDefault="00A74D69" w:rsidP="00A74D69">
      <w:pPr>
        <w:spacing w:line="240" w:lineRule="auto"/>
        <w:ind w:firstLine="567"/>
        <w:jc w:val="both"/>
        <w:rPr>
          <w:rFonts w:ascii="Palatino Linotype" w:eastAsia="Times New Roman" w:hAnsi="Palatino Linotype" w:cs="Times New Roman"/>
          <w:sz w:val="20"/>
          <w:szCs w:val="20"/>
        </w:rPr>
      </w:pPr>
      <w:r w:rsidRPr="00837A65">
        <w:rPr>
          <w:rFonts w:ascii="Palatino Linotype" w:eastAsia="Times New Roman" w:hAnsi="Palatino Linotype" w:cs="Times New Roman"/>
          <w:sz w:val="20"/>
          <w:szCs w:val="20"/>
        </w:rPr>
        <w:t>Data collection was carried out through several techniques according to the characteristics of DBR, namely Participatory observation, used to record student activities and responses while using Immersive Virtual Reality media, In-depth interviews, conducted with teachers to obtain qualitative information related to the effectiveness of the media and changes in student learning behavior, Questionnaires and validation sheets, used to collect quantitative data about product feasibility from experts and practitioners, Documentation, including student assignment results, interaction screenshots, and teacher reflection notes during the implementation process. The data collection procedure was carried out in stages following the DBR cycle, starting with needs data (initial analysis), then trial data (implementation), and finally reflection data (product revision).</w:t>
      </w:r>
    </w:p>
    <w:p w14:paraId="6FF033DC" w14:textId="11DDF5C5" w:rsidR="00A74D69" w:rsidRPr="00837A65" w:rsidRDefault="00A74D69" w:rsidP="00A74D69">
      <w:pPr>
        <w:spacing w:line="240" w:lineRule="auto"/>
        <w:rPr>
          <w:rFonts w:ascii="Palatino Linotype" w:eastAsia="Times New Roman" w:hAnsi="Palatino Linotype" w:cs="Times New Roman"/>
          <w:b/>
          <w:sz w:val="20"/>
          <w:szCs w:val="20"/>
        </w:rPr>
      </w:pPr>
      <w:r>
        <w:rPr>
          <w:rFonts w:ascii="Palatino Linotype" w:eastAsia="Times New Roman" w:hAnsi="Palatino Linotype" w:cs="Times New Roman"/>
          <w:b/>
          <w:sz w:val="20"/>
          <w:szCs w:val="20"/>
        </w:rPr>
        <w:t xml:space="preserve">2.5. </w:t>
      </w:r>
      <w:r w:rsidRPr="00837A65">
        <w:rPr>
          <w:rFonts w:ascii="Palatino Linotype" w:eastAsia="Times New Roman" w:hAnsi="Palatino Linotype" w:cs="Times New Roman"/>
          <w:b/>
          <w:sz w:val="20"/>
          <w:szCs w:val="20"/>
        </w:rPr>
        <w:t>Data analysis</w:t>
      </w:r>
    </w:p>
    <w:p w14:paraId="777D62C4" w14:textId="10B5A42A" w:rsidR="00A74D69" w:rsidRPr="00A74D69" w:rsidRDefault="00A74D69" w:rsidP="00A74D69">
      <w:pPr>
        <w:spacing w:line="240" w:lineRule="auto"/>
        <w:ind w:firstLine="567"/>
        <w:jc w:val="both"/>
        <w:rPr>
          <w:rFonts w:ascii="Palatino Linotype" w:eastAsia="Times New Roman" w:hAnsi="Palatino Linotype" w:cs="Times New Roman"/>
          <w:sz w:val="20"/>
          <w:szCs w:val="20"/>
        </w:rPr>
      </w:pPr>
      <w:r w:rsidRPr="00837A65">
        <w:rPr>
          <w:rFonts w:ascii="Palatino Linotype" w:eastAsia="Times New Roman" w:hAnsi="Palatino Linotype" w:cs="Times New Roman"/>
          <w:sz w:val="20"/>
          <w:szCs w:val="20"/>
        </w:rPr>
        <w:t>Data analysis was conducted using a mixed-methods approach, in accordance with the exploratory and reflective characteristics of DBR. Qualitative data from observations and interviews were analysed using the Miles and Huberman model, including data reduction, data presentation, and conclusion drawing. This analysis aimed to identify interaction patterns, obstacles, and students' learning experiences while using the media. Quantitative data from validation and questionnaires were analysed using descriptive statistics to assess the product's feasibility and calculate the percentage of improvement in communication and problem-solving skills. The analysis results from both approaches were integrated in the design reflection stage to generate recommendations for more optimal product development.</w:t>
      </w:r>
    </w:p>
    <w:p w14:paraId="1BE6FEB7" w14:textId="77777777" w:rsidR="005B5AEC" w:rsidRPr="00723B12" w:rsidRDefault="005B5AEC" w:rsidP="00FB54B0">
      <w:pPr>
        <w:pStyle w:val="Alishlah21heading1"/>
        <w:ind w:left="284" w:hanging="284"/>
        <w:rPr>
          <w:rFonts w:eastAsia="Arial"/>
        </w:rPr>
      </w:pPr>
      <w:r>
        <w:rPr>
          <w:rFonts w:eastAsia="Arial"/>
        </w:rPr>
        <w:t xml:space="preserve">FINDINGS </w:t>
      </w:r>
      <w:r w:rsidRPr="00723B12">
        <w:rPr>
          <w:rFonts w:eastAsia="Arial"/>
        </w:rPr>
        <w:t>AND DISCUSSION</w:t>
      </w:r>
    </w:p>
    <w:p w14:paraId="3CF1A019" w14:textId="0C86B109" w:rsidR="004A6662" w:rsidRDefault="004A6662" w:rsidP="004A6662">
      <w:pPr>
        <w:pStyle w:val="Alishlah21heading1"/>
        <w:numPr>
          <w:ilvl w:val="0"/>
          <w:numId w:val="0"/>
        </w:numPr>
        <w:spacing w:before="0" w:after="0" w:line="240" w:lineRule="auto"/>
        <w:jc w:val="both"/>
        <w:rPr>
          <w:b w:val="0"/>
          <w:bCs/>
        </w:rPr>
      </w:pPr>
      <w:r>
        <w:rPr>
          <w:rFonts w:eastAsia="Arial"/>
        </w:rPr>
        <w:t>Findings</w:t>
      </w:r>
    </w:p>
    <w:p w14:paraId="036F3871" w14:textId="67D04B9C" w:rsidR="001E0DB9" w:rsidRDefault="001E0DB9" w:rsidP="00FB54B0">
      <w:pPr>
        <w:pStyle w:val="Alishlah21heading1"/>
        <w:numPr>
          <w:ilvl w:val="0"/>
          <w:numId w:val="0"/>
        </w:numPr>
        <w:spacing w:before="0"/>
        <w:ind w:firstLine="567"/>
        <w:jc w:val="both"/>
        <w:rPr>
          <w:b w:val="0"/>
          <w:bCs/>
        </w:rPr>
      </w:pPr>
      <w:r w:rsidRPr="001E0DB9">
        <w:rPr>
          <w:b w:val="0"/>
          <w:bCs/>
        </w:rPr>
        <w:t>The initial stage of this research focused on analysing needs and identifying student learning problems—slow</w:t>
      </w:r>
      <w:r w:rsidRPr="001E0DB9">
        <w:rPr>
          <w:b w:val="0"/>
          <w:bCs/>
          <w:i/>
        </w:rPr>
        <w:t xml:space="preserve"> learner in</w:t>
      </w:r>
      <w:r w:rsidRPr="001E0DB9">
        <w:rPr>
          <w:b w:val="0"/>
          <w:bCs/>
        </w:rPr>
        <w:t xml:space="preserve"> inclusive elementary schools. Based on observations in 10 inclusive schools in East Java, most students are slow learners. They have difficulty understanding complex verbal instructions, are less able to express ideas clearly, and often experience confusion when asked to solve real-world problems. The teacher also stated that conventional learning media have not provided meaningful, interactive learning experiences for these students. Interviews with two accompanying teachers indicate that the use of direct experience-based media is essential for inclusive learning. Teacher 1 (SDN Inklusif Surabaya) discloses:</w:t>
      </w:r>
    </w:p>
    <w:p w14:paraId="75A79184" w14:textId="05CC2334" w:rsidR="001E0DB9" w:rsidRPr="001E0DB9" w:rsidRDefault="001E0DB9" w:rsidP="005F3DB9">
      <w:pPr>
        <w:pStyle w:val="Alishlah21heading1"/>
        <w:numPr>
          <w:ilvl w:val="0"/>
          <w:numId w:val="0"/>
        </w:numPr>
        <w:ind w:left="1843"/>
        <w:jc w:val="both"/>
        <w:rPr>
          <w:b w:val="0"/>
          <w:bCs/>
          <w:i/>
          <w:iCs/>
        </w:rPr>
      </w:pPr>
      <w:r w:rsidRPr="001E0DB9">
        <w:rPr>
          <w:b w:val="0"/>
          <w:bCs/>
          <w:i/>
          <w:iCs/>
        </w:rPr>
        <w:t>"Children are slow learners" In my class, people often have difficulty understanding the material if it's only explained on the blackboard. They only understand it through hands-on practice or by experiencing the situation themselves (Respondent GR 1)."</w:t>
      </w:r>
    </w:p>
    <w:p w14:paraId="38867B27" w14:textId="1B026753" w:rsidR="001E0DB9" w:rsidRPr="003A2E83" w:rsidRDefault="001E0DB9" w:rsidP="00FB54B0">
      <w:pPr>
        <w:pStyle w:val="Alishlah21heading1"/>
        <w:numPr>
          <w:ilvl w:val="0"/>
          <w:numId w:val="0"/>
        </w:numPr>
        <w:spacing w:before="0"/>
        <w:rPr>
          <w:b w:val="0"/>
          <w:bCs/>
        </w:rPr>
      </w:pPr>
      <w:r w:rsidRPr="003A2E83">
        <w:rPr>
          <w:b w:val="0"/>
          <w:bCs/>
        </w:rPr>
        <w:t>Meanwhile, Teacher 2 (</w:t>
      </w:r>
      <w:r w:rsidR="005F3DB9">
        <w:rPr>
          <w:b w:val="0"/>
          <w:bCs/>
        </w:rPr>
        <w:t>Sidoarjo</w:t>
      </w:r>
      <w:r w:rsidRPr="003A2E83">
        <w:rPr>
          <w:b w:val="0"/>
          <w:bCs/>
        </w:rPr>
        <w:t xml:space="preserve"> Inclusive Elementary School) added:</w:t>
      </w:r>
    </w:p>
    <w:p w14:paraId="1A2F46EF" w14:textId="77777777" w:rsidR="001E0DB9" w:rsidRPr="001E0DB9" w:rsidRDefault="001E0DB9" w:rsidP="005F3DB9">
      <w:pPr>
        <w:pStyle w:val="Alishlah21heading1"/>
        <w:numPr>
          <w:ilvl w:val="0"/>
          <w:numId w:val="0"/>
        </w:numPr>
        <w:ind w:left="1843"/>
        <w:jc w:val="both"/>
        <w:rPr>
          <w:b w:val="0"/>
          <w:bCs/>
          <w:i/>
          <w:iCs/>
        </w:rPr>
      </w:pPr>
      <w:r w:rsidRPr="001E0DB9">
        <w:rPr>
          <w:b w:val="0"/>
          <w:bCs/>
          <w:i/>
          <w:iCs/>
        </w:rPr>
        <w:lastRenderedPageBreak/>
        <w:t>"Experiential approaches like real-life simulations can help children learn more actively. If they can see and try things directly in a virtual environment, it's easier for them to understand (Respondent GR 2)."</w:t>
      </w:r>
    </w:p>
    <w:p w14:paraId="2E842E68" w14:textId="77777777" w:rsidR="001E0DB9" w:rsidRDefault="001E0DB9" w:rsidP="00985BE9">
      <w:pPr>
        <w:pStyle w:val="Alishlah21heading1"/>
        <w:numPr>
          <w:ilvl w:val="0"/>
          <w:numId w:val="0"/>
        </w:numPr>
        <w:spacing w:after="0"/>
        <w:ind w:firstLine="567"/>
        <w:jc w:val="both"/>
        <w:rPr>
          <w:b w:val="0"/>
          <w:bCs/>
        </w:rPr>
      </w:pPr>
      <w:r w:rsidRPr="001E0DB9">
        <w:rPr>
          <w:b w:val="0"/>
          <w:bCs/>
        </w:rPr>
        <w:t xml:space="preserve">Based on these findings, the researchers designed an initial prototype of Immersive Virtual Reality-based Experiential Learning (IVR-EL) featuring an interactive 3D learning environment. Each learning scenario is designed so that students can directly experience the stages of the learning process, namely experiencing, reflecting, understanding concepts, and applying them in new contexts. After the initial implementation, follow-up interviews were conducted with three students. One of them was a </w:t>
      </w:r>
      <w:r w:rsidRPr="001E0DB9">
        <w:rPr>
          <w:b w:val="0"/>
          <w:bCs/>
          <w:i/>
        </w:rPr>
        <w:t>slow learner</w:t>
      </w:r>
      <w:r w:rsidRPr="001E0DB9">
        <w:rPr>
          <w:b w:val="0"/>
          <w:bCs/>
        </w:rPr>
        <w:t>. Student A (grade 5) stated that he felt “more enjoyable learning in the virtual world because he could see directly and try new things without being afraid of making mistakes.” Student B (grade 6) said that learning using VR made him “not get bored quickly and wanted to try other things.”</w:t>
      </w:r>
    </w:p>
    <w:p w14:paraId="626C3F7E" w14:textId="0C763962" w:rsidR="001E0DB9" w:rsidRPr="00985BE9" w:rsidRDefault="001E0DB9" w:rsidP="00985BE9">
      <w:pPr>
        <w:pStyle w:val="Alishlah21heading1"/>
        <w:numPr>
          <w:ilvl w:val="0"/>
          <w:numId w:val="0"/>
        </w:numPr>
        <w:spacing w:before="0" w:after="0"/>
        <w:ind w:firstLine="567"/>
        <w:jc w:val="both"/>
        <w:rPr>
          <w:b w:val="0"/>
          <w:bCs/>
        </w:rPr>
      </w:pPr>
      <w:r w:rsidRPr="00985BE9">
        <w:rPr>
          <w:b w:val="0"/>
          <w:bCs/>
        </w:rPr>
        <w:t>Meanwhile, Student C (grade 4) said, “With VR glasses, I can learn while playing and easily understand the teacher’s story.” In general, these findings indicate that IVR-EL media can increase students’ focus, engagement, and confidence in communicating and solving problems in virtual learning scenarios. Product Immersive</w:t>
      </w:r>
      <w:r w:rsidRPr="00985BE9">
        <w:rPr>
          <w:b w:val="0"/>
          <w:bCs/>
          <w:i/>
        </w:rPr>
        <w:t xml:space="preserve"> Virtual Reality berbasis Experiential Learning, then</w:t>
      </w:r>
      <w:r w:rsidRPr="00985BE9">
        <w:rPr>
          <w:b w:val="0"/>
          <w:bCs/>
        </w:rPr>
        <w:t xml:space="preserve"> validated by three experts, namely: (1) learning media expert, (2) inclusive education material expert, and (3) educational technology expert. The validation instrument uses a Likert scale of 1–5, with 1 = very inappropriate and 5 = very appropriate.</w:t>
      </w:r>
    </w:p>
    <w:p w14:paraId="6DCCAA13" w14:textId="77777777" w:rsidR="001E0DB9" w:rsidRPr="00985BE9" w:rsidRDefault="001E0DB9" w:rsidP="00471010">
      <w:pPr>
        <w:pStyle w:val="Alishlah21heading1"/>
        <w:numPr>
          <w:ilvl w:val="0"/>
          <w:numId w:val="0"/>
        </w:numPr>
        <w:spacing w:after="0"/>
        <w:jc w:val="center"/>
        <w:rPr>
          <w:b w:val="0"/>
          <w:bCs/>
        </w:rPr>
      </w:pPr>
      <w:r w:rsidRPr="00985BE9">
        <w:rPr>
          <w:b w:val="0"/>
          <w:bCs/>
        </w:rPr>
        <w:t>Table 1. Expert Validation Results for IVR-EL Products</w:t>
      </w:r>
    </w:p>
    <w:tbl>
      <w:tblPr>
        <w:tblW w:w="8789" w:type="dxa"/>
        <w:tblBorders>
          <w:top w:val="single" w:sz="6" w:space="0" w:color="000000"/>
          <w:left w:val="single" w:sz="6" w:space="0" w:color="000000"/>
          <w:bottom w:val="single" w:sz="6" w:space="0" w:color="000000"/>
          <w:right w:val="single" w:sz="6" w:space="0" w:color="000000"/>
          <w:insideH w:val="single" w:sz="6" w:space="0" w:color="000000"/>
          <w:insideV w:val="single" w:sz="4" w:space="0" w:color="auto"/>
        </w:tblBorders>
        <w:tblLayout w:type="fixed"/>
        <w:tblLook w:val="0600" w:firstRow="0" w:lastRow="0" w:firstColumn="0" w:lastColumn="0" w:noHBand="1" w:noVBand="1"/>
      </w:tblPr>
      <w:tblGrid>
        <w:gridCol w:w="2404"/>
        <w:gridCol w:w="1143"/>
        <w:gridCol w:w="1556"/>
        <w:gridCol w:w="1392"/>
        <w:gridCol w:w="964"/>
        <w:gridCol w:w="1330"/>
      </w:tblGrid>
      <w:tr w:rsidR="00FB54B0" w:rsidRPr="00FF5AAA" w14:paraId="18F03F6E" w14:textId="77777777" w:rsidTr="00FB54B0">
        <w:trPr>
          <w:trHeight w:val="555"/>
        </w:trPr>
        <w:tc>
          <w:tcPr>
            <w:tcW w:w="2404" w:type="dxa"/>
            <w:tcBorders>
              <w:left w:val="nil"/>
              <w:right w:val="nil"/>
            </w:tcBorders>
            <w:tcMar>
              <w:top w:w="0" w:type="dxa"/>
              <w:left w:w="100" w:type="dxa"/>
              <w:bottom w:w="0" w:type="dxa"/>
              <w:right w:w="100" w:type="dxa"/>
            </w:tcMar>
          </w:tcPr>
          <w:p w14:paraId="5FA58AEB" w14:textId="77777777"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Rated aspect</w:t>
            </w:r>
          </w:p>
        </w:tc>
        <w:tc>
          <w:tcPr>
            <w:tcW w:w="1143" w:type="dxa"/>
            <w:tcBorders>
              <w:left w:val="nil"/>
              <w:right w:val="nil"/>
            </w:tcBorders>
            <w:tcMar>
              <w:top w:w="0" w:type="dxa"/>
              <w:left w:w="100" w:type="dxa"/>
              <w:bottom w:w="0" w:type="dxa"/>
              <w:right w:w="100" w:type="dxa"/>
            </w:tcMar>
          </w:tcPr>
          <w:p w14:paraId="6CCF487D" w14:textId="77777777"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Media Member</w:t>
            </w:r>
          </w:p>
        </w:tc>
        <w:tc>
          <w:tcPr>
            <w:tcW w:w="1556" w:type="dxa"/>
            <w:tcBorders>
              <w:left w:val="nil"/>
              <w:right w:val="nil"/>
            </w:tcBorders>
            <w:tcMar>
              <w:top w:w="0" w:type="dxa"/>
              <w:left w:w="100" w:type="dxa"/>
              <w:bottom w:w="0" w:type="dxa"/>
              <w:right w:w="100" w:type="dxa"/>
            </w:tcMar>
          </w:tcPr>
          <w:p w14:paraId="671CCB8F" w14:textId="77777777"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Subject Matter Expert</w:t>
            </w:r>
          </w:p>
        </w:tc>
        <w:tc>
          <w:tcPr>
            <w:tcW w:w="1392" w:type="dxa"/>
            <w:tcBorders>
              <w:left w:val="nil"/>
              <w:right w:val="nil"/>
            </w:tcBorders>
            <w:tcMar>
              <w:top w:w="0" w:type="dxa"/>
              <w:left w:w="100" w:type="dxa"/>
              <w:bottom w:w="0" w:type="dxa"/>
              <w:right w:w="100" w:type="dxa"/>
            </w:tcMar>
          </w:tcPr>
          <w:p w14:paraId="56BA1938" w14:textId="77777777"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Technologist</w:t>
            </w:r>
          </w:p>
        </w:tc>
        <w:tc>
          <w:tcPr>
            <w:tcW w:w="964" w:type="dxa"/>
            <w:tcBorders>
              <w:left w:val="nil"/>
              <w:right w:val="nil"/>
            </w:tcBorders>
            <w:tcMar>
              <w:top w:w="0" w:type="dxa"/>
              <w:left w:w="100" w:type="dxa"/>
              <w:bottom w:w="0" w:type="dxa"/>
              <w:right w:w="100" w:type="dxa"/>
            </w:tcMar>
          </w:tcPr>
          <w:p w14:paraId="3C66653E" w14:textId="77777777"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Rate-rate</w:t>
            </w:r>
          </w:p>
        </w:tc>
        <w:tc>
          <w:tcPr>
            <w:tcW w:w="1330" w:type="dxa"/>
            <w:tcBorders>
              <w:left w:val="nil"/>
              <w:right w:val="nil"/>
            </w:tcBorders>
            <w:tcMar>
              <w:top w:w="0" w:type="dxa"/>
              <w:left w:w="100" w:type="dxa"/>
              <w:bottom w:w="0" w:type="dxa"/>
              <w:right w:w="100" w:type="dxa"/>
            </w:tcMar>
          </w:tcPr>
          <w:p w14:paraId="3F46C494" w14:textId="77777777"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Criteria</w:t>
            </w:r>
          </w:p>
        </w:tc>
      </w:tr>
      <w:tr w:rsidR="00FB54B0" w:rsidRPr="00FF5AAA" w14:paraId="1CA95934" w14:textId="77777777" w:rsidTr="00FB54B0">
        <w:trPr>
          <w:trHeight w:val="555"/>
        </w:trPr>
        <w:tc>
          <w:tcPr>
            <w:tcW w:w="2404" w:type="dxa"/>
            <w:tcBorders>
              <w:left w:val="nil"/>
              <w:right w:val="nil"/>
            </w:tcBorders>
            <w:tcMar>
              <w:top w:w="0" w:type="dxa"/>
              <w:left w:w="100" w:type="dxa"/>
              <w:bottom w:w="0" w:type="dxa"/>
              <w:right w:w="100" w:type="dxa"/>
            </w:tcMar>
          </w:tcPr>
          <w:p w14:paraId="53BE1462" w14:textId="77777777" w:rsidR="001E0DB9" w:rsidRPr="00FF5AAA" w:rsidRDefault="001E0DB9" w:rsidP="004A6662">
            <w:pPr>
              <w:spacing w:after="0" w:line="240" w:lineRule="auto"/>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Suitability of learning content</w:t>
            </w:r>
          </w:p>
        </w:tc>
        <w:tc>
          <w:tcPr>
            <w:tcW w:w="1143" w:type="dxa"/>
            <w:tcBorders>
              <w:left w:val="nil"/>
              <w:right w:val="nil"/>
            </w:tcBorders>
            <w:tcMar>
              <w:top w:w="0" w:type="dxa"/>
              <w:left w:w="100" w:type="dxa"/>
              <w:bottom w:w="0" w:type="dxa"/>
              <w:right w:w="100" w:type="dxa"/>
            </w:tcMar>
          </w:tcPr>
          <w:p w14:paraId="3E20E0FF" w14:textId="37A35C9B"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FF5AAA" w:rsidRPr="00FF5AAA">
              <w:rPr>
                <w:rFonts w:ascii="Palatino Linotype" w:eastAsia="Times New Roman" w:hAnsi="Palatino Linotype" w:cs="Times New Roman"/>
                <w:sz w:val="18"/>
                <w:szCs w:val="18"/>
              </w:rPr>
              <w:t>6</w:t>
            </w:r>
          </w:p>
        </w:tc>
        <w:tc>
          <w:tcPr>
            <w:tcW w:w="1556" w:type="dxa"/>
            <w:tcBorders>
              <w:left w:val="nil"/>
              <w:right w:val="nil"/>
            </w:tcBorders>
            <w:tcMar>
              <w:top w:w="0" w:type="dxa"/>
              <w:left w:w="100" w:type="dxa"/>
              <w:bottom w:w="0" w:type="dxa"/>
              <w:right w:w="100" w:type="dxa"/>
            </w:tcMar>
          </w:tcPr>
          <w:p w14:paraId="0E6477F9" w14:textId="42892ED2"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702C4C" w:rsidRPr="00FF5AAA">
              <w:rPr>
                <w:rFonts w:ascii="Palatino Linotype" w:eastAsia="Times New Roman" w:hAnsi="Palatino Linotype" w:cs="Times New Roman"/>
                <w:sz w:val="18"/>
                <w:szCs w:val="18"/>
              </w:rPr>
              <w:t>8</w:t>
            </w:r>
          </w:p>
        </w:tc>
        <w:tc>
          <w:tcPr>
            <w:tcW w:w="1392" w:type="dxa"/>
            <w:tcBorders>
              <w:left w:val="nil"/>
              <w:right w:val="nil"/>
            </w:tcBorders>
            <w:tcMar>
              <w:top w:w="0" w:type="dxa"/>
              <w:left w:w="100" w:type="dxa"/>
              <w:bottom w:w="0" w:type="dxa"/>
              <w:right w:w="100" w:type="dxa"/>
            </w:tcMar>
          </w:tcPr>
          <w:p w14:paraId="3F5B3D0F" w14:textId="6333E07B"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702C4C" w:rsidRPr="00FF5AAA">
              <w:rPr>
                <w:rFonts w:ascii="Palatino Linotype" w:eastAsia="Times New Roman" w:hAnsi="Palatino Linotype" w:cs="Times New Roman"/>
                <w:sz w:val="18"/>
                <w:szCs w:val="18"/>
              </w:rPr>
              <w:t>8</w:t>
            </w:r>
          </w:p>
        </w:tc>
        <w:tc>
          <w:tcPr>
            <w:tcW w:w="964" w:type="dxa"/>
            <w:tcBorders>
              <w:left w:val="nil"/>
              <w:right w:val="nil"/>
            </w:tcBorders>
            <w:tcMar>
              <w:top w:w="0" w:type="dxa"/>
              <w:left w:w="100" w:type="dxa"/>
              <w:bottom w:w="0" w:type="dxa"/>
              <w:right w:w="100" w:type="dxa"/>
            </w:tcMar>
          </w:tcPr>
          <w:p w14:paraId="2A424BBB" w14:textId="3CE8F143"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4A6662">
              <w:rPr>
                <w:rFonts w:ascii="Palatino Linotype" w:eastAsia="Times New Roman" w:hAnsi="Palatino Linotype" w:cs="Times New Roman"/>
                <w:sz w:val="18"/>
                <w:szCs w:val="18"/>
              </w:rPr>
              <w:t>8</w:t>
            </w:r>
          </w:p>
        </w:tc>
        <w:tc>
          <w:tcPr>
            <w:tcW w:w="1330" w:type="dxa"/>
            <w:tcBorders>
              <w:left w:val="nil"/>
              <w:right w:val="nil"/>
            </w:tcBorders>
            <w:tcMar>
              <w:top w:w="0" w:type="dxa"/>
              <w:left w:w="100" w:type="dxa"/>
              <w:bottom w:w="0" w:type="dxa"/>
              <w:right w:w="100" w:type="dxa"/>
            </w:tcMar>
          </w:tcPr>
          <w:p w14:paraId="4C601242" w14:textId="77777777" w:rsidR="001E0DB9" w:rsidRPr="00FF5AAA" w:rsidRDefault="001E0DB9" w:rsidP="004A6662">
            <w:pPr>
              <w:spacing w:after="0" w:line="240" w:lineRule="auto"/>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Very Worthy</w:t>
            </w:r>
          </w:p>
        </w:tc>
      </w:tr>
      <w:tr w:rsidR="00FB54B0" w:rsidRPr="00FF5AAA" w14:paraId="58B146B6" w14:textId="77777777" w:rsidTr="00FB54B0">
        <w:trPr>
          <w:trHeight w:val="555"/>
        </w:trPr>
        <w:tc>
          <w:tcPr>
            <w:tcW w:w="2404" w:type="dxa"/>
            <w:tcBorders>
              <w:left w:val="nil"/>
              <w:right w:val="nil"/>
            </w:tcBorders>
            <w:tcMar>
              <w:top w:w="0" w:type="dxa"/>
              <w:left w:w="100" w:type="dxa"/>
              <w:bottom w:w="0" w:type="dxa"/>
              <w:right w:w="100" w:type="dxa"/>
            </w:tcMar>
          </w:tcPr>
          <w:p w14:paraId="27CFD099" w14:textId="77777777" w:rsidR="001E0DB9" w:rsidRPr="00FF5AAA" w:rsidRDefault="001E0DB9" w:rsidP="004A6662">
            <w:pPr>
              <w:spacing w:after="0" w:line="240" w:lineRule="auto"/>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Visual design and interactivity</w:t>
            </w:r>
          </w:p>
        </w:tc>
        <w:tc>
          <w:tcPr>
            <w:tcW w:w="1143" w:type="dxa"/>
            <w:tcBorders>
              <w:left w:val="nil"/>
              <w:right w:val="nil"/>
            </w:tcBorders>
            <w:tcMar>
              <w:top w:w="0" w:type="dxa"/>
              <w:left w:w="100" w:type="dxa"/>
              <w:bottom w:w="0" w:type="dxa"/>
              <w:right w:w="100" w:type="dxa"/>
            </w:tcMar>
          </w:tcPr>
          <w:p w14:paraId="6A82339A" w14:textId="56E9BDCB"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FF5AAA" w:rsidRPr="00FF5AAA">
              <w:rPr>
                <w:rFonts w:ascii="Palatino Linotype" w:eastAsia="Times New Roman" w:hAnsi="Palatino Linotype" w:cs="Times New Roman"/>
                <w:sz w:val="18"/>
                <w:szCs w:val="18"/>
              </w:rPr>
              <w:t>8</w:t>
            </w:r>
          </w:p>
        </w:tc>
        <w:tc>
          <w:tcPr>
            <w:tcW w:w="1556" w:type="dxa"/>
            <w:tcBorders>
              <w:left w:val="nil"/>
              <w:right w:val="nil"/>
            </w:tcBorders>
            <w:tcMar>
              <w:top w:w="0" w:type="dxa"/>
              <w:left w:w="100" w:type="dxa"/>
              <w:bottom w:w="0" w:type="dxa"/>
              <w:right w:w="100" w:type="dxa"/>
            </w:tcMar>
          </w:tcPr>
          <w:p w14:paraId="200299BA" w14:textId="643BCFC5"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FF5AAA" w:rsidRPr="00FF5AAA">
              <w:rPr>
                <w:rFonts w:ascii="Palatino Linotype" w:eastAsia="Times New Roman" w:hAnsi="Palatino Linotype" w:cs="Times New Roman"/>
                <w:sz w:val="18"/>
                <w:szCs w:val="18"/>
              </w:rPr>
              <w:t>8</w:t>
            </w:r>
          </w:p>
        </w:tc>
        <w:tc>
          <w:tcPr>
            <w:tcW w:w="1392" w:type="dxa"/>
            <w:tcBorders>
              <w:left w:val="nil"/>
              <w:right w:val="nil"/>
            </w:tcBorders>
            <w:tcMar>
              <w:top w:w="0" w:type="dxa"/>
              <w:left w:w="100" w:type="dxa"/>
              <w:bottom w:w="0" w:type="dxa"/>
              <w:right w:w="100" w:type="dxa"/>
            </w:tcMar>
          </w:tcPr>
          <w:p w14:paraId="1ED034F0" w14:textId="6BE9BB99"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702C4C" w:rsidRPr="00FF5AAA">
              <w:rPr>
                <w:rFonts w:ascii="Palatino Linotype" w:eastAsia="Times New Roman" w:hAnsi="Palatino Linotype" w:cs="Times New Roman"/>
                <w:sz w:val="18"/>
                <w:szCs w:val="18"/>
              </w:rPr>
              <w:t>9</w:t>
            </w:r>
          </w:p>
        </w:tc>
        <w:tc>
          <w:tcPr>
            <w:tcW w:w="964" w:type="dxa"/>
            <w:tcBorders>
              <w:left w:val="nil"/>
              <w:right w:val="nil"/>
            </w:tcBorders>
            <w:tcMar>
              <w:top w:w="0" w:type="dxa"/>
              <w:left w:w="100" w:type="dxa"/>
              <w:bottom w:w="0" w:type="dxa"/>
              <w:right w:w="100" w:type="dxa"/>
            </w:tcMar>
          </w:tcPr>
          <w:p w14:paraId="348B8FCA" w14:textId="6FE8A95F"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702C4C" w:rsidRPr="00FF5AAA">
              <w:rPr>
                <w:rFonts w:ascii="Palatino Linotype" w:eastAsia="Times New Roman" w:hAnsi="Palatino Linotype" w:cs="Times New Roman"/>
                <w:sz w:val="18"/>
                <w:szCs w:val="18"/>
              </w:rPr>
              <w:t>7</w:t>
            </w:r>
          </w:p>
        </w:tc>
        <w:tc>
          <w:tcPr>
            <w:tcW w:w="1330" w:type="dxa"/>
            <w:tcBorders>
              <w:left w:val="nil"/>
              <w:right w:val="nil"/>
            </w:tcBorders>
            <w:tcMar>
              <w:top w:w="0" w:type="dxa"/>
              <w:left w:w="100" w:type="dxa"/>
              <w:bottom w:w="0" w:type="dxa"/>
              <w:right w:w="100" w:type="dxa"/>
            </w:tcMar>
          </w:tcPr>
          <w:p w14:paraId="6917FF7D" w14:textId="77777777" w:rsidR="001E0DB9" w:rsidRPr="00FF5AAA" w:rsidRDefault="001E0DB9" w:rsidP="004A6662">
            <w:pPr>
              <w:spacing w:after="0" w:line="240" w:lineRule="auto"/>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Very Worthy</w:t>
            </w:r>
          </w:p>
        </w:tc>
      </w:tr>
      <w:tr w:rsidR="00FB54B0" w:rsidRPr="00FF5AAA" w14:paraId="47A9C8AF" w14:textId="77777777" w:rsidTr="00FB54B0">
        <w:trPr>
          <w:trHeight w:val="555"/>
        </w:trPr>
        <w:tc>
          <w:tcPr>
            <w:tcW w:w="2404" w:type="dxa"/>
            <w:tcBorders>
              <w:left w:val="nil"/>
              <w:right w:val="nil"/>
            </w:tcBorders>
            <w:tcMar>
              <w:top w:w="0" w:type="dxa"/>
              <w:left w:w="100" w:type="dxa"/>
              <w:bottom w:w="0" w:type="dxa"/>
              <w:right w:w="100" w:type="dxa"/>
            </w:tcMar>
          </w:tcPr>
          <w:p w14:paraId="23F287F7" w14:textId="77777777" w:rsidR="001E0DB9" w:rsidRPr="00FF5AAA" w:rsidRDefault="001E0DB9" w:rsidP="004A6662">
            <w:pPr>
              <w:spacing w:after="0" w:line="240" w:lineRule="auto"/>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Integration of experiential learning principles</w:t>
            </w:r>
          </w:p>
        </w:tc>
        <w:tc>
          <w:tcPr>
            <w:tcW w:w="1143" w:type="dxa"/>
            <w:tcBorders>
              <w:left w:val="nil"/>
              <w:right w:val="nil"/>
            </w:tcBorders>
            <w:tcMar>
              <w:top w:w="0" w:type="dxa"/>
              <w:left w:w="100" w:type="dxa"/>
              <w:bottom w:w="0" w:type="dxa"/>
              <w:right w:w="100" w:type="dxa"/>
            </w:tcMar>
          </w:tcPr>
          <w:p w14:paraId="2A56CC06" w14:textId="3CB48D40"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FF5AAA" w:rsidRPr="00FF5AAA">
              <w:rPr>
                <w:rFonts w:ascii="Palatino Linotype" w:eastAsia="Times New Roman" w:hAnsi="Palatino Linotype" w:cs="Times New Roman"/>
                <w:sz w:val="18"/>
                <w:szCs w:val="18"/>
              </w:rPr>
              <w:t>7</w:t>
            </w:r>
          </w:p>
        </w:tc>
        <w:tc>
          <w:tcPr>
            <w:tcW w:w="1556" w:type="dxa"/>
            <w:tcBorders>
              <w:left w:val="nil"/>
              <w:right w:val="nil"/>
            </w:tcBorders>
            <w:tcMar>
              <w:top w:w="0" w:type="dxa"/>
              <w:left w:w="100" w:type="dxa"/>
              <w:bottom w:w="0" w:type="dxa"/>
              <w:right w:w="100" w:type="dxa"/>
            </w:tcMar>
          </w:tcPr>
          <w:p w14:paraId="5EDDCBFC" w14:textId="109143E1"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FF5AAA" w:rsidRPr="00FF5AAA">
              <w:rPr>
                <w:rFonts w:ascii="Palatino Linotype" w:eastAsia="Times New Roman" w:hAnsi="Palatino Linotype" w:cs="Times New Roman"/>
                <w:sz w:val="18"/>
                <w:szCs w:val="18"/>
              </w:rPr>
              <w:t>8</w:t>
            </w:r>
          </w:p>
        </w:tc>
        <w:tc>
          <w:tcPr>
            <w:tcW w:w="1392" w:type="dxa"/>
            <w:tcBorders>
              <w:left w:val="nil"/>
              <w:right w:val="nil"/>
            </w:tcBorders>
            <w:tcMar>
              <w:top w:w="0" w:type="dxa"/>
              <w:left w:w="100" w:type="dxa"/>
              <w:bottom w:w="0" w:type="dxa"/>
              <w:right w:w="100" w:type="dxa"/>
            </w:tcMar>
          </w:tcPr>
          <w:p w14:paraId="7DE75929" w14:textId="13D76653"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FF5AAA" w:rsidRPr="00FF5AAA">
              <w:rPr>
                <w:rFonts w:ascii="Palatino Linotype" w:eastAsia="Times New Roman" w:hAnsi="Palatino Linotype" w:cs="Times New Roman"/>
                <w:sz w:val="18"/>
                <w:szCs w:val="18"/>
              </w:rPr>
              <w:t>8</w:t>
            </w:r>
          </w:p>
        </w:tc>
        <w:tc>
          <w:tcPr>
            <w:tcW w:w="964" w:type="dxa"/>
            <w:tcBorders>
              <w:left w:val="nil"/>
              <w:right w:val="nil"/>
            </w:tcBorders>
            <w:tcMar>
              <w:top w:w="0" w:type="dxa"/>
              <w:left w:w="100" w:type="dxa"/>
              <w:bottom w:w="0" w:type="dxa"/>
              <w:right w:w="100" w:type="dxa"/>
            </w:tcMar>
          </w:tcPr>
          <w:p w14:paraId="2F547933" w14:textId="5A4629CA"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FF5AAA" w:rsidRPr="00FF5AAA">
              <w:rPr>
                <w:rFonts w:ascii="Palatino Linotype" w:eastAsia="Times New Roman" w:hAnsi="Palatino Linotype" w:cs="Times New Roman"/>
                <w:sz w:val="18"/>
                <w:szCs w:val="18"/>
              </w:rPr>
              <w:t>7</w:t>
            </w:r>
          </w:p>
        </w:tc>
        <w:tc>
          <w:tcPr>
            <w:tcW w:w="1330" w:type="dxa"/>
            <w:tcBorders>
              <w:left w:val="nil"/>
              <w:right w:val="nil"/>
            </w:tcBorders>
            <w:tcMar>
              <w:top w:w="0" w:type="dxa"/>
              <w:left w:w="100" w:type="dxa"/>
              <w:bottom w:w="0" w:type="dxa"/>
              <w:right w:w="100" w:type="dxa"/>
            </w:tcMar>
          </w:tcPr>
          <w:p w14:paraId="56BA6461" w14:textId="77777777" w:rsidR="001E0DB9" w:rsidRPr="00FF5AAA" w:rsidRDefault="001E0DB9" w:rsidP="004A6662">
            <w:pPr>
              <w:spacing w:after="0" w:line="240" w:lineRule="auto"/>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Very Worthy</w:t>
            </w:r>
          </w:p>
        </w:tc>
      </w:tr>
      <w:tr w:rsidR="00FB54B0" w:rsidRPr="00FF5AAA" w14:paraId="3FBF1AFA" w14:textId="77777777" w:rsidTr="00FB54B0">
        <w:trPr>
          <w:trHeight w:val="281"/>
        </w:trPr>
        <w:tc>
          <w:tcPr>
            <w:tcW w:w="2404" w:type="dxa"/>
            <w:tcBorders>
              <w:left w:val="nil"/>
              <w:right w:val="nil"/>
            </w:tcBorders>
            <w:tcMar>
              <w:top w:w="0" w:type="dxa"/>
              <w:left w:w="100" w:type="dxa"/>
              <w:bottom w:w="0" w:type="dxa"/>
              <w:right w:w="100" w:type="dxa"/>
            </w:tcMar>
          </w:tcPr>
          <w:p w14:paraId="5784CD8B" w14:textId="77777777" w:rsidR="001E0DB9" w:rsidRPr="00FF5AAA" w:rsidRDefault="001E0DB9" w:rsidP="004A6662">
            <w:pPr>
              <w:spacing w:after="0" w:line="240" w:lineRule="auto"/>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Ease of use</w:t>
            </w:r>
          </w:p>
        </w:tc>
        <w:tc>
          <w:tcPr>
            <w:tcW w:w="1143" w:type="dxa"/>
            <w:tcBorders>
              <w:left w:val="nil"/>
              <w:right w:val="nil"/>
            </w:tcBorders>
            <w:tcMar>
              <w:top w:w="0" w:type="dxa"/>
              <w:left w:w="100" w:type="dxa"/>
              <w:bottom w:w="0" w:type="dxa"/>
              <w:right w:w="100" w:type="dxa"/>
            </w:tcMar>
          </w:tcPr>
          <w:p w14:paraId="1CCE43E3" w14:textId="2B9A5363"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702C4C" w:rsidRPr="00FF5AAA">
              <w:rPr>
                <w:rFonts w:ascii="Palatino Linotype" w:eastAsia="Times New Roman" w:hAnsi="Palatino Linotype" w:cs="Times New Roman"/>
                <w:sz w:val="18"/>
                <w:szCs w:val="18"/>
              </w:rPr>
              <w:t>6</w:t>
            </w:r>
          </w:p>
        </w:tc>
        <w:tc>
          <w:tcPr>
            <w:tcW w:w="1556" w:type="dxa"/>
            <w:tcBorders>
              <w:left w:val="nil"/>
              <w:right w:val="nil"/>
            </w:tcBorders>
            <w:tcMar>
              <w:top w:w="0" w:type="dxa"/>
              <w:left w:w="100" w:type="dxa"/>
              <w:bottom w:w="0" w:type="dxa"/>
              <w:right w:w="100" w:type="dxa"/>
            </w:tcMar>
          </w:tcPr>
          <w:p w14:paraId="300F0EA4" w14:textId="1AAC3CED"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FF5AAA" w:rsidRPr="00FF5AAA">
              <w:rPr>
                <w:rFonts w:ascii="Palatino Linotype" w:eastAsia="Times New Roman" w:hAnsi="Palatino Linotype" w:cs="Times New Roman"/>
                <w:sz w:val="18"/>
                <w:szCs w:val="18"/>
              </w:rPr>
              <w:t>8</w:t>
            </w:r>
          </w:p>
        </w:tc>
        <w:tc>
          <w:tcPr>
            <w:tcW w:w="1392" w:type="dxa"/>
            <w:tcBorders>
              <w:left w:val="nil"/>
              <w:right w:val="nil"/>
            </w:tcBorders>
            <w:tcMar>
              <w:top w:w="0" w:type="dxa"/>
              <w:left w:w="100" w:type="dxa"/>
              <w:bottom w:w="0" w:type="dxa"/>
              <w:right w:w="100" w:type="dxa"/>
            </w:tcMar>
          </w:tcPr>
          <w:p w14:paraId="4CB185BD" w14:textId="7BA551FE"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702C4C" w:rsidRPr="00FF5AAA">
              <w:rPr>
                <w:rFonts w:ascii="Palatino Linotype" w:eastAsia="Times New Roman" w:hAnsi="Palatino Linotype" w:cs="Times New Roman"/>
                <w:sz w:val="18"/>
                <w:szCs w:val="18"/>
              </w:rPr>
              <w:t>7</w:t>
            </w:r>
          </w:p>
        </w:tc>
        <w:tc>
          <w:tcPr>
            <w:tcW w:w="964" w:type="dxa"/>
            <w:tcBorders>
              <w:left w:val="nil"/>
              <w:right w:val="nil"/>
            </w:tcBorders>
            <w:tcMar>
              <w:top w:w="0" w:type="dxa"/>
              <w:left w:w="100" w:type="dxa"/>
              <w:bottom w:w="0" w:type="dxa"/>
              <w:right w:w="100" w:type="dxa"/>
            </w:tcMar>
          </w:tcPr>
          <w:p w14:paraId="51648D88" w14:textId="2877C50E"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FF5AAA" w:rsidRPr="00FF5AAA">
              <w:rPr>
                <w:rFonts w:ascii="Palatino Linotype" w:eastAsia="Times New Roman" w:hAnsi="Palatino Linotype" w:cs="Times New Roman"/>
                <w:sz w:val="18"/>
                <w:szCs w:val="18"/>
              </w:rPr>
              <w:t>8</w:t>
            </w:r>
          </w:p>
        </w:tc>
        <w:tc>
          <w:tcPr>
            <w:tcW w:w="1330" w:type="dxa"/>
            <w:tcBorders>
              <w:left w:val="nil"/>
              <w:right w:val="nil"/>
            </w:tcBorders>
            <w:tcMar>
              <w:top w:w="0" w:type="dxa"/>
              <w:left w:w="100" w:type="dxa"/>
              <w:bottom w:w="0" w:type="dxa"/>
              <w:right w:w="100" w:type="dxa"/>
            </w:tcMar>
          </w:tcPr>
          <w:p w14:paraId="19968D80" w14:textId="77777777" w:rsidR="001E0DB9" w:rsidRPr="00FF5AAA" w:rsidRDefault="001E0DB9" w:rsidP="004A6662">
            <w:pPr>
              <w:spacing w:after="0" w:line="240" w:lineRule="auto"/>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Very Worthy</w:t>
            </w:r>
          </w:p>
        </w:tc>
      </w:tr>
      <w:tr w:rsidR="00FB54B0" w:rsidRPr="00FF5AAA" w14:paraId="14F089EB" w14:textId="77777777" w:rsidTr="00FB54B0">
        <w:trPr>
          <w:trHeight w:val="555"/>
        </w:trPr>
        <w:tc>
          <w:tcPr>
            <w:tcW w:w="2404" w:type="dxa"/>
            <w:tcBorders>
              <w:left w:val="nil"/>
              <w:right w:val="nil"/>
            </w:tcBorders>
            <w:tcMar>
              <w:top w:w="0" w:type="dxa"/>
              <w:left w:w="100" w:type="dxa"/>
              <w:bottom w:w="0" w:type="dxa"/>
              <w:right w:w="100" w:type="dxa"/>
            </w:tcMar>
          </w:tcPr>
          <w:p w14:paraId="217ABA7F" w14:textId="77777777" w:rsidR="001E0DB9" w:rsidRPr="00FF5AAA" w:rsidRDefault="001E0DB9" w:rsidP="004A6662">
            <w:pPr>
              <w:spacing w:after="0" w:line="240" w:lineRule="auto"/>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Suitability for slow learner students</w:t>
            </w:r>
          </w:p>
        </w:tc>
        <w:tc>
          <w:tcPr>
            <w:tcW w:w="1143" w:type="dxa"/>
            <w:tcBorders>
              <w:left w:val="nil"/>
              <w:right w:val="nil"/>
            </w:tcBorders>
            <w:tcMar>
              <w:top w:w="0" w:type="dxa"/>
              <w:left w:w="100" w:type="dxa"/>
              <w:bottom w:w="0" w:type="dxa"/>
              <w:right w:w="100" w:type="dxa"/>
            </w:tcMar>
          </w:tcPr>
          <w:p w14:paraId="7C514D29" w14:textId="6AD03B96"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FF5AAA" w:rsidRPr="00FF5AAA">
              <w:rPr>
                <w:rFonts w:ascii="Palatino Linotype" w:eastAsia="Times New Roman" w:hAnsi="Palatino Linotype" w:cs="Times New Roman"/>
                <w:sz w:val="18"/>
                <w:szCs w:val="18"/>
              </w:rPr>
              <w:t>8</w:t>
            </w:r>
          </w:p>
        </w:tc>
        <w:tc>
          <w:tcPr>
            <w:tcW w:w="1556" w:type="dxa"/>
            <w:tcBorders>
              <w:left w:val="nil"/>
              <w:right w:val="nil"/>
            </w:tcBorders>
            <w:tcMar>
              <w:top w:w="0" w:type="dxa"/>
              <w:left w:w="100" w:type="dxa"/>
              <w:bottom w:w="0" w:type="dxa"/>
              <w:right w:w="100" w:type="dxa"/>
            </w:tcMar>
          </w:tcPr>
          <w:p w14:paraId="560A127B" w14:textId="014F5077"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FF5AAA" w:rsidRPr="00FF5AAA">
              <w:rPr>
                <w:rFonts w:ascii="Palatino Linotype" w:eastAsia="Times New Roman" w:hAnsi="Palatino Linotype" w:cs="Times New Roman"/>
                <w:sz w:val="18"/>
                <w:szCs w:val="18"/>
              </w:rPr>
              <w:t>7</w:t>
            </w:r>
          </w:p>
        </w:tc>
        <w:tc>
          <w:tcPr>
            <w:tcW w:w="1392" w:type="dxa"/>
            <w:tcBorders>
              <w:left w:val="nil"/>
              <w:right w:val="nil"/>
            </w:tcBorders>
            <w:tcMar>
              <w:top w:w="0" w:type="dxa"/>
              <w:left w:w="100" w:type="dxa"/>
              <w:bottom w:w="0" w:type="dxa"/>
              <w:right w:w="100" w:type="dxa"/>
            </w:tcMar>
          </w:tcPr>
          <w:p w14:paraId="5B73EACC" w14:textId="3DEF476F"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FF5AAA" w:rsidRPr="00FF5AAA">
              <w:rPr>
                <w:rFonts w:ascii="Palatino Linotype" w:eastAsia="Times New Roman" w:hAnsi="Palatino Linotype" w:cs="Times New Roman"/>
                <w:sz w:val="18"/>
                <w:szCs w:val="18"/>
              </w:rPr>
              <w:t>8</w:t>
            </w:r>
          </w:p>
        </w:tc>
        <w:tc>
          <w:tcPr>
            <w:tcW w:w="964" w:type="dxa"/>
            <w:tcBorders>
              <w:left w:val="nil"/>
              <w:right w:val="nil"/>
            </w:tcBorders>
            <w:tcMar>
              <w:top w:w="0" w:type="dxa"/>
              <w:left w:w="100" w:type="dxa"/>
              <w:bottom w:w="0" w:type="dxa"/>
              <w:right w:w="100" w:type="dxa"/>
            </w:tcMar>
          </w:tcPr>
          <w:p w14:paraId="09038674" w14:textId="5507CCA4" w:rsidR="001E0DB9" w:rsidRPr="00FF5AAA" w:rsidRDefault="001E0DB9" w:rsidP="004A6662">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4.</w:t>
            </w:r>
            <w:r w:rsidR="00FF5AAA" w:rsidRPr="00FF5AAA">
              <w:rPr>
                <w:rFonts w:ascii="Palatino Linotype" w:eastAsia="Times New Roman" w:hAnsi="Palatino Linotype" w:cs="Times New Roman"/>
                <w:sz w:val="18"/>
                <w:szCs w:val="18"/>
              </w:rPr>
              <w:t>8</w:t>
            </w:r>
          </w:p>
        </w:tc>
        <w:tc>
          <w:tcPr>
            <w:tcW w:w="1330" w:type="dxa"/>
            <w:tcBorders>
              <w:left w:val="nil"/>
              <w:right w:val="nil"/>
            </w:tcBorders>
            <w:tcMar>
              <w:top w:w="0" w:type="dxa"/>
              <w:left w:w="100" w:type="dxa"/>
              <w:bottom w:w="0" w:type="dxa"/>
              <w:right w:w="100" w:type="dxa"/>
            </w:tcMar>
          </w:tcPr>
          <w:p w14:paraId="6749CAA8" w14:textId="77777777" w:rsidR="001E0DB9" w:rsidRPr="00FF5AAA" w:rsidRDefault="001E0DB9" w:rsidP="004A6662">
            <w:pPr>
              <w:spacing w:after="0" w:line="240" w:lineRule="auto"/>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Very Worthy</w:t>
            </w:r>
          </w:p>
        </w:tc>
      </w:tr>
    </w:tbl>
    <w:p w14:paraId="287BA340" w14:textId="652362BE" w:rsidR="004728A8" w:rsidRDefault="004728A8" w:rsidP="004728A8">
      <w:pPr>
        <w:pStyle w:val="Alishlah21heading1"/>
        <w:numPr>
          <w:ilvl w:val="0"/>
          <w:numId w:val="0"/>
        </w:numPr>
        <w:ind w:firstLine="426"/>
        <w:jc w:val="both"/>
        <w:rPr>
          <w:b w:val="0"/>
          <w:bCs/>
        </w:rPr>
      </w:pPr>
      <w:bookmarkStart w:id="1" w:name="_f9y03f9gve6g" w:colFirst="0" w:colLast="0"/>
      <w:bookmarkEnd w:id="1"/>
      <w:r w:rsidRPr="004728A8">
        <w:rPr>
          <w:b w:val="0"/>
          <w:bCs/>
        </w:rPr>
        <w:t>Table</w:t>
      </w:r>
      <w:r>
        <w:rPr>
          <w:b w:val="0"/>
          <w:bCs/>
        </w:rPr>
        <w:t xml:space="preserve"> 1</w:t>
      </w:r>
      <w:r w:rsidRPr="004728A8">
        <w:rPr>
          <w:b w:val="0"/>
          <w:bCs/>
        </w:rPr>
        <w:t xml:space="preserve"> shows the expert validation results for the Immersive Virtual Reality-based Experiential Learning (IVR-EL) product from three validator groups: media experts, material experts, and technology experts. Overall, all assessed aspects were categorized as "very suitable," meaning the product met high quality standards in terms of content, appearance, and usability.</w:t>
      </w:r>
      <w:r>
        <w:rPr>
          <w:b w:val="0"/>
          <w:bCs/>
        </w:rPr>
        <w:t xml:space="preserve"> </w:t>
      </w:r>
      <w:r w:rsidRPr="004728A8">
        <w:rPr>
          <w:b w:val="0"/>
          <w:bCs/>
        </w:rPr>
        <w:t>The learning content suitability aspect was rated very good because the material presented was relevant and aligned with learning objectives. The visual design and interactivity also received high ratings, indicating the media's attractive appearance and ability to actively engage users.</w:t>
      </w:r>
      <w:r>
        <w:rPr>
          <w:b w:val="0"/>
          <w:bCs/>
        </w:rPr>
        <w:t xml:space="preserve"> </w:t>
      </w:r>
      <w:r w:rsidRPr="004728A8">
        <w:rPr>
          <w:b w:val="0"/>
          <w:bCs/>
        </w:rPr>
        <w:t>Furthermore, the integration of experiential learning principles demonstrated that the product successfully implemented experiential learning effectively. Ease of use received high praise, indicating the media is easy to operate by users of various ability backgrounds.</w:t>
      </w:r>
      <w:r>
        <w:rPr>
          <w:b w:val="0"/>
          <w:bCs/>
        </w:rPr>
        <w:t xml:space="preserve"> </w:t>
      </w:r>
      <w:r w:rsidRPr="004728A8">
        <w:rPr>
          <w:b w:val="0"/>
          <w:bCs/>
        </w:rPr>
        <w:t>Finally, the suitability aspect for slow learners received a very positive score, indicating that the IVR-EL product is adaptive to the learning needs of students with mild learning disabilities. Overall, the expert validation results confirm that the IVR-EL product is highly suitable for use in inclusive elementary schools.</w:t>
      </w:r>
    </w:p>
    <w:p w14:paraId="566798ED" w14:textId="77777777" w:rsidR="00FB54B0" w:rsidRDefault="00FB54B0" w:rsidP="004728A8">
      <w:pPr>
        <w:pStyle w:val="Alishlah21heading1"/>
        <w:numPr>
          <w:ilvl w:val="0"/>
          <w:numId w:val="0"/>
        </w:numPr>
        <w:ind w:firstLine="426"/>
        <w:jc w:val="center"/>
        <w:rPr>
          <w:b w:val="0"/>
          <w:bCs/>
        </w:rPr>
      </w:pPr>
    </w:p>
    <w:p w14:paraId="3B3E2F38" w14:textId="725C34EF" w:rsidR="001E0DB9" w:rsidRPr="004728A8" w:rsidRDefault="001E0DB9" w:rsidP="004728A8">
      <w:pPr>
        <w:pStyle w:val="Alishlah21heading1"/>
        <w:numPr>
          <w:ilvl w:val="0"/>
          <w:numId w:val="0"/>
        </w:numPr>
        <w:ind w:firstLine="426"/>
        <w:jc w:val="center"/>
        <w:rPr>
          <w:b w:val="0"/>
          <w:bCs/>
        </w:rPr>
      </w:pPr>
      <w:r w:rsidRPr="004728A8">
        <w:rPr>
          <w:b w:val="0"/>
          <w:bCs/>
        </w:rPr>
        <w:t>Table 2. Paired Sample t-test results</w:t>
      </w:r>
    </w:p>
    <w:tbl>
      <w:tblPr>
        <w:tblW w:w="7100" w:type="dxa"/>
        <w:jc w:val="center"/>
        <w:tblBorders>
          <w:top w:val="nil"/>
          <w:left w:val="nil"/>
          <w:bottom w:val="nil"/>
          <w:right w:val="nil"/>
          <w:insideH w:val="nil"/>
          <w:insideV w:val="nil"/>
        </w:tblBorders>
        <w:tblLayout w:type="fixed"/>
        <w:tblLook w:val="0600" w:firstRow="0" w:lastRow="0" w:firstColumn="0" w:lastColumn="0" w:noHBand="1" w:noVBand="1"/>
      </w:tblPr>
      <w:tblGrid>
        <w:gridCol w:w="2262"/>
        <w:gridCol w:w="1214"/>
        <w:gridCol w:w="938"/>
        <w:gridCol w:w="1365"/>
        <w:gridCol w:w="1321"/>
      </w:tblGrid>
      <w:tr w:rsidR="00471010" w:rsidRPr="00837A65" w14:paraId="7118615A" w14:textId="77777777" w:rsidTr="00FB54B0">
        <w:trPr>
          <w:trHeight w:val="528"/>
          <w:jc w:val="center"/>
        </w:trPr>
        <w:tc>
          <w:tcPr>
            <w:tcW w:w="2262" w:type="dxa"/>
            <w:tcBorders>
              <w:top w:val="single" w:sz="6" w:space="0" w:color="000000"/>
              <w:left w:val="nil"/>
              <w:bottom w:val="single" w:sz="6" w:space="0" w:color="000000"/>
              <w:right w:val="nil"/>
            </w:tcBorders>
            <w:tcMar>
              <w:top w:w="0" w:type="dxa"/>
              <w:left w:w="100" w:type="dxa"/>
              <w:bottom w:w="0" w:type="dxa"/>
              <w:right w:w="100" w:type="dxa"/>
            </w:tcMar>
          </w:tcPr>
          <w:p w14:paraId="5BA64F02" w14:textId="77777777" w:rsidR="00471010" w:rsidRPr="00FF5AAA" w:rsidRDefault="00471010" w:rsidP="00F26CCF">
            <w:pPr>
              <w:spacing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lastRenderedPageBreak/>
              <w:t>Variables</w:t>
            </w:r>
          </w:p>
        </w:tc>
        <w:tc>
          <w:tcPr>
            <w:tcW w:w="1214" w:type="dxa"/>
            <w:tcBorders>
              <w:top w:val="single" w:sz="6" w:space="0" w:color="000000"/>
              <w:left w:val="nil"/>
              <w:bottom w:val="single" w:sz="6" w:space="0" w:color="000000"/>
              <w:right w:val="nil"/>
            </w:tcBorders>
            <w:tcMar>
              <w:top w:w="0" w:type="dxa"/>
              <w:left w:w="100" w:type="dxa"/>
              <w:bottom w:w="0" w:type="dxa"/>
              <w:right w:w="100" w:type="dxa"/>
            </w:tcMar>
          </w:tcPr>
          <w:p w14:paraId="585DC6F5" w14:textId="77777777" w:rsidR="00471010" w:rsidRDefault="00471010" w:rsidP="003A2E83">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Rate-rate</w:t>
            </w:r>
          </w:p>
          <w:p w14:paraId="1631ED80" w14:textId="4716FFBD" w:rsidR="00471010" w:rsidRPr="00FF5AAA" w:rsidRDefault="00471010" w:rsidP="003A2E83">
            <w:pPr>
              <w:spacing w:after="0"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Pre</w:t>
            </w:r>
            <w:r>
              <w:rPr>
                <w:rFonts w:ascii="Palatino Linotype" w:eastAsia="Times New Roman" w:hAnsi="Palatino Linotype" w:cs="Times New Roman"/>
                <w:sz w:val="18"/>
                <w:szCs w:val="18"/>
              </w:rPr>
              <w:t>-tetst</w:t>
            </w:r>
          </w:p>
        </w:tc>
        <w:tc>
          <w:tcPr>
            <w:tcW w:w="938" w:type="dxa"/>
            <w:tcBorders>
              <w:top w:val="single" w:sz="6" w:space="0" w:color="000000"/>
              <w:left w:val="nil"/>
              <w:bottom w:val="single" w:sz="6" w:space="0" w:color="000000"/>
              <w:right w:val="nil"/>
            </w:tcBorders>
            <w:tcMar>
              <w:top w:w="0" w:type="dxa"/>
              <w:left w:w="100" w:type="dxa"/>
              <w:bottom w:w="0" w:type="dxa"/>
              <w:right w:w="100" w:type="dxa"/>
            </w:tcMar>
          </w:tcPr>
          <w:p w14:paraId="1470FEF3" w14:textId="3A5C1FDE" w:rsidR="00471010" w:rsidRPr="00FF5AAA" w:rsidRDefault="00471010" w:rsidP="00F26CCF">
            <w:pPr>
              <w:spacing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Rate-rate Post</w:t>
            </w:r>
            <w:r>
              <w:rPr>
                <w:rFonts w:ascii="Palatino Linotype" w:eastAsia="Times New Roman" w:hAnsi="Palatino Linotype" w:cs="Times New Roman"/>
                <w:sz w:val="18"/>
                <w:szCs w:val="18"/>
              </w:rPr>
              <w:t>-test</w:t>
            </w:r>
          </w:p>
        </w:tc>
        <w:tc>
          <w:tcPr>
            <w:tcW w:w="1365" w:type="dxa"/>
            <w:tcBorders>
              <w:top w:val="single" w:sz="6" w:space="0" w:color="000000"/>
              <w:left w:val="nil"/>
              <w:bottom w:val="single" w:sz="6" w:space="0" w:color="000000"/>
              <w:right w:val="nil"/>
            </w:tcBorders>
            <w:tcMar>
              <w:top w:w="0" w:type="dxa"/>
              <w:left w:w="100" w:type="dxa"/>
              <w:bottom w:w="0" w:type="dxa"/>
              <w:right w:w="100" w:type="dxa"/>
            </w:tcMar>
          </w:tcPr>
          <w:p w14:paraId="42EE195E" w14:textId="396C8678" w:rsidR="00471010" w:rsidRPr="00FF5AAA" w:rsidRDefault="00471010" w:rsidP="00F26CCF">
            <w:pPr>
              <w:spacing w:line="240" w:lineRule="auto"/>
              <w:jc w:val="center"/>
              <w:rPr>
                <w:rFonts w:ascii="Palatino Linotype" w:eastAsia="Times New Roman" w:hAnsi="Palatino Linotype" w:cs="Times New Roman"/>
                <w:sz w:val="18"/>
                <w:szCs w:val="18"/>
              </w:rPr>
            </w:pPr>
            <w:r>
              <w:rPr>
                <w:rFonts w:ascii="Palatino Linotype" w:eastAsia="Times New Roman" w:hAnsi="Palatino Linotype" w:cs="Times New Roman"/>
                <w:sz w:val="18"/>
                <w:szCs w:val="18"/>
              </w:rPr>
              <w:t>Sig</w:t>
            </w:r>
            <w:r w:rsidRPr="00FF5AAA">
              <w:rPr>
                <w:rFonts w:ascii="Palatino Linotype" w:eastAsia="Times New Roman" w:hAnsi="Palatino Linotype" w:cs="Times New Roman"/>
                <w:sz w:val="18"/>
                <w:szCs w:val="18"/>
              </w:rPr>
              <w:t>. (p)</w:t>
            </w:r>
          </w:p>
        </w:tc>
        <w:tc>
          <w:tcPr>
            <w:tcW w:w="1321" w:type="dxa"/>
            <w:tcBorders>
              <w:top w:val="single" w:sz="6" w:space="0" w:color="000000"/>
              <w:left w:val="nil"/>
              <w:bottom w:val="single" w:sz="6" w:space="0" w:color="000000"/>
              <w:right w:val="nil"/>
            </w:tcBorders>
            <w:tcMar>
              <w:top w:w="0" w:type="dxa"/>
              <w:left w:w="100" w:type="dxa"/>
              <w:bottom w:w="0" w:type="dxa"/>
              <w:right w:w="100" w:type="dxa"/>
            </w:tcMar>
          </w:tcPr>
          <w:p w14:paraId="43500D3B" w14:textId="77777777" w:rsidR="00471010" w:rsidRPr="00FF5AAA" w:rsidRDefault="00471010" w:rsidP="00F26CCF">
            <w:pPr>
              <w:spacing w:line="240" w:lineRule="auto"/>
              <w:jc w:val="center"/>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Information</w:t>
            </w:r>
          </w:p>
        </w:tc>
      </w:tr>
      <w:tr w:rsidR="00471010" w:rsidRPr="00837A65" w14:paraId="551FCA18" w14:textId="77777777" w:rsidTr="00471010">
        <w:trPr>
          <w:trHeight w:val="158"/>
          <w:jc w:val="center"/>
        </w:trPr>
        <w:tc>
          <w:tcPr>
            <w:tcW w:w="2262" w:type="dxa"/>
            <w:tcBorders>
              <w:top w:val="single" w:sz="6" w:space="0" w:color="000000"/>
              <w:left w:val="nil"/>
              <w:bottom w:val="single" w:sz="6" w:space="0" w:color="000000"/>
              <w:right w:val="nil"/>
            </w:tcBorders>
            <w:tcMar>
              <w:top w:w="0" w:type="dxa"/>
              <w:left w:w="100" w:type="dxa"/>
              <w:bottom w:w="0" w:type="dxa"/>
              <w:right w:w="100" w:type="dxa"/>
            </w:tcMar>
          </w:tcPr>
          <w:p w14:paraId="4F5BC07E" w14:textId="77777777" w:rsidR="00471010" w:rsidRPr="00FF5AAA" w:rsidRDefault="00471010" w:rsidP="00F26CCF">
            <w:pPr>
              <w:spacing w:line="240" w:lineRule="auto"/>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Communication Skills</w:t>
            </w:r>
          </w:p>
        </w:tc>
        <w:tc>
          <w:tcPr>
            <w:tcW w:w="1214" w:type="dxa"/>
            <w:tcBorders>
              <w:top w:val="single" w:sz="6" w:space="0" w:color="000000"/>
              <w:left w:val="nil"/>
              <w:bottom w:val="single" w:sz="6" w:space="0" w:color="000000"/>
              <w:right w:val="nil"/>
            </w:tcBorders>
            <w:tcMar>
              <w:top w:w="0" w:type="dxa"/>
              <w:left w:w="100" w:type="dxa"/>
              <w:bottom w:w="0" w:type="dxa"/>
              <w:right w:w="100" w:type="dxa"/>
            </w:tcMar>
          </w:tcPr>
          <w:p w14:paraId="0DF472ED" w14:textId="6AE913B1" w:rsidR="00471010" w:rsidRPr="00FF5AAA" w:rsidRDefault="00471010" w:rsidP="00F26CCF">
            <w:pPr>
              <w:spacing w:line="240" w:lineRule="auto"/>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6</w:t>
            </w:r>
            <w:r>
              <w:rPr>
                <w:rFonts w:ascii="Palatino Linotype" w:eastAsia="Times New Roman" w:hAnsi="Palatino Linotype" w:cs="Times New Roman"/>
                <w:sz w:val="18"/>
                <w:szCs w:val="18"/>
              </w:rPr>
              <w:t>6</w:t>
            </w:r>
            <w:r w:rsidRPr="00FF5AAA">
              <w:rPr>
                <w:rFonts w:ascii="Palatino Linotype" w:eastAsia="Times New Roman" w:hAnsi="Palatino Linotype" w:cs="Times New Roman"/>
                <w:sz w:val="18"/>
                <w:szCs w:val="18"/>
              </w:rPr>
              <w:t>.</w:t>
            </w:r>
            <w:r>
              <w:rPr>
                <w:rFonts w:ascii="Palatino Linotype" w:eastAsia="Times New Roman" w:hAnsi="Palatino Linotype" w:cs="Times New Roman"/>
                <w:sz w:val="18"/>
                <w:szCs w:val="18"/>
              </w:rPr>
              <w:t>7</w:t>
            </w:r>
          </w:p>
        </w:tc>
        <w:tc>
          <w:tcPr>
            <w:tcW w:w="938" w:type="dxa"/>
            <w:tcBorders>
              <w:top w:val="single" w:sz="6" w:space="0" w:color="000000"/>
              <w:left w:val="nil"/>
              <w:bottom w:val="single" w:sz="6" w:space="0" w:color="000000"/>
              <w:right w:val="nil"/>
            </w:tcBorders>
            <w:tcMar>
              <w:top w:w="0" w:type="dxa"/>
              <w:left w:w="100" w:type="dxa"/>
              <w:bottom w:w="0" w:type="dxa"/>
              <w:right w:w="100" w:type="dxa"/>
            </w:tcMar>
          </w:tcPr>
          <w:p w14:paraId="75E996B5" w14:textId="6AC5BF21" w:rsidR="00471010" w:rsidRPr="00FF5AAA" w:rsidRDefault="00471010" w:rsidP="00F26CCF">
            <w:pPr>
              <w:spacing w:line="240" w:lineRule="auto"/>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8</w:t>
            </w:r>
            <w:r>
              <w:rPr>
                <w:rFonts w:ascii="Palatino Linotype" w:eastAsia="Times New Roman" w:hAnsi="Palatino Linotype" w:cs="Times New Roman"/>
                <w:sz w:val="18"/>
                <w:szCs w:val="18"/>
              </w:rPr>
              <w:t>3</w:t>
            </w:r>
            <w:r w:rsidRPr="00FF5AAA">
              <w:rPr>
                <w:rFonts w:ascii="Palatino Linotype" w:eastAsia="Times New Roman" w:hAnsi="Palatino Linotype" w:cs="Times New Roman"/>
                <w:sz w:val="18"/>
                <w:szCs w:val="18"/>
              </w:rPr>
              <w:t>.0</w:t>
            </w:r>
          </w:p>
        </w:tc>
        <w:tc>
          <w:tcPr>
            <w:tcW w:w="1365" w:type="dxa"/>
            <w:tcBorders>
              <w:top w:val="single" w:sz="6" w:space="0" w:color="000000"/>
              <w:left w:val="nil"/>
              <w:bottom w:val="single" w:sz="6" w:space="0" w:color="000000"/>
              <w:right w:val="nil"/>
            </w:tcBorders>
            <w:tcMar>
              <w:top w:w="0" w:type="dxa"/>
              <w:left w:w="100" w:type="dxa"/>
              <w:bottom w:w="0" w:type="dxa"/>
              <w:right w:w="100" w:type="dxa"/>
            </w:tcMar>
          </w:tcPr>
          <w:p w14:paraId="5C58F638" w14:textId="77777777" w:rsidR="00471010" w:rsidRPr="00FF5AAA" w:rsidRDefault="00471010" w:rsidP="00F26CCF">
            <w:pPr>
              <w:spacing w:line="240" w:lineRule="auto"/>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0.000 &lt; 0.05</w:t>
            </w:r>
          </w:p>
        </w:tc>
        <w:tc>
          <w:tcPr>
            <w:tcW w:w="1321" w:type="dxa"/>
            <w:tcBorders>
              <w:top w:val="single" w:sz="6" w:space="0" w:color="000000"/>
              <w:left w:val="nil"/>
              <w:bottom w:val="single" w:sz="6" w:space="0" w:color="000000"/>
              <w:right w:val="nil"/>
            </w:tcBorders>
            <w:tcMar>
              <w:top w:w="0" w:type="dxa"/>
              <w:left w:w="100" w:type="dxa"/>
              <w:bottom w:w="0" w:type="dxa"/>
              <w:right w:w="100" w:type="dxa"/>
            </w:tcMar>
          </w:tcPr>
          <w:p w14:paraId="5BEAADF0" w14:textId="77777777" w:rsidR="00471010" w:rsidRPr="00FF5AAA" w:rsidRDefault="00471010" w:rsidP="00F26CCF">
            <w:pPr>
              <w:spacing w:line="240" w:lineRule="auto"/>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Significant</w:t>
            </w:r>
          </w:p>
        </w:tc>
      </w:tr>
      <w:tr w:rsidR="00471010" w:rsidRPr="00837A65" w14:paraId="3BB66412" w14:textId="77777777" w:rsidTr="00471010">
        <w:trPr>
          <w:trHeight w:val="151"/>
          <w:jc w:val="center"/>
        </w:trPr>
        <w:tc>
          <w:tcPr>
            <w:tcW w:w="2262" w:type="dxa"/>
            <w:tcBorders>
              <w:top w:val="single" w:sz="6" w:space="0" w:color="000000"/>
              <w:left w:val="nil"/>
              <w:bottom w:val="single" w:sz="6" w:space="0" w:color="000000"/>
              <w:right w:val="nil"/>
            </w:tcBorders>
            <w:tcMar>
              <w:top w:w="0" w:type="dxa"/>
              <w:left w:w="100" w:type="dxa"/>
              <w:bottom w:w="0" w:type="dxa"/>
              <w:right w:w="100" w:type="dxa"/>
            </w:tcMar>
          </w:tcPr>
          <w:p w14:paraId="3F98E8DD" w14:textId="77777777" w:rsidR="00471010" w:rsidRPr="00FF5AAA" w:rsidRDefault="00471010" w:rsidP="00F26CCF">
            <w:pPr>
              <w:spacing w:line="240" w:lineRule="auto"/>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Problem-Solving Skills</w:t>
            </w:r>
          </w:p>
        </w:tc>
        <w:tc>
          <w:tcPr>
            <w:tcW w:w="1214" w:type="dxa"/>
            <w:tcBorders>
              <w:top w:val="single" w:sz="6" w:space="0" w:color="000000"/>
              <w:left w:val="nil"/>
              <w:bottom w:val="single" w:sz="6" w:space="0" w:color="000000"/>
              <w:right w:val="nil"/>
            </w:tcBorders>
            <w:tcMar>
              <w:top w:w="0" w:type="dxa"/>
              <w:left w:w="100" w:type="dxa"/>
              <w:bottom w:w="0" w:type="dxa"/>
              <w:right w:w="100" w:type="dxa"/>
            </w:tcMar>
          </w:tcPr>
          <w:p w14:paraId="682A4092" w14:textId="019BDAEE" w:rsidR="00471010" w:rsidRPr="00FF5AAA" w:rsidRDefault="00471010" w:rsidP="00F26CCF">
            <w:pPr>
              <w:spacing w:line="240" w:lineRule="auto"/>
              <w:rPr>
                <w:rFonts w:ascii="Palatino Linotype" w:eastAsia="Times New Roman" w:hAnsi="Palatino Linotype" w:cs="Times New Roman"/>
                <w:sz w:val="18"/>
                <w:szCs w:val="18"/>
              </w:rPr>
            </w:pPr>
            <w:r>
              <w:rPr>
                <w:rFonts w:ascii="Palatino Linotype" w:eastAsia="Times New Roman" w:hAnsi="Palatino Linotype" w:cs="Times New Roman"/>
                <w:sz w:val="18"/>
                <w:szCs w:val="18"/>
              </w:rPr>
              <w:t>69</w:t>
            </w:r>
            <w:r w:rsidRPr="00FF5AAA">
              <w:rPr>
                <w:rFonts w:ascii="Palatino Linotype" w:eastAsia="Times New Roman" w:hAnsi="Palatino Linotype" w:cs="Times New Roman"/>
                <w:sz w:val="18"/>
                <w:szCs w:val="18"/>
              </w:rPr>
              <w:t>.</w:t>
            </w:r>
            <w:r>
              <w:rPr>
                <w:rFonts w:ascii="Palatino Linotype" w:eastAsia="Times New Roman" w:hAnsi="Palatino Linotype" w:cs="Times New Roman"/>
                <w:sz w:val="18"/>
                <w:szCs w:val="18"/>
              </w:rPr>
              <w:t>4</w:t>
            </w:r>
          </w:p>
        </w:tc>
        <w:tc>
          <w:tcPr>
            <w:tcW w:w="938" w:type="dxa"/>
            <w:tcBorders>
              <w:top w:val="single" w:sz="6" w:space="0" w:color="000000"/>
              <w:left w:val="nil"/>
              <w:bottom w:val="single" w:sz="6" w:space="0" w:color="000000"/>
              <w:right w:val="nil"/>
            </w:tcBorders>
            <w:tcMar>
              <w:top w:w="0" w:type="dxa"/>
              <w:left w:w="100" w:type="dxa"/>
              <w:bottom w:w="0" w:type="dxa"/>
              <w:right w:w="100" w:type="dxa"/>
            </w:tcMar>
          </w:tcPr>
          <w:p w14:paraId="37FC1C86" w14:textId="3D642202" w:rsidR="00471010" w:rsidRPr="00FF5AAA" w:rsidRDefault="00471010" w:rsidP="00F26CCF">
            <w:pPr>
              <w:spacing w:line="240" w:lineRule="auto"/>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8</w:t>
            </w:r>
            <w:r>
              <w:rPr>
                <w:rFonts w:ascii="Palatino Linotype" w:eastAsia="Times New Roman" w:hAnsi="Palatino Linotype" w:cs="Times New Roman"/>
                <w:sz w:val="18"/>
                <w:szCs w:val="18"/>
              </w:rPr>
              <w:t>7</w:t>
            </w:r>
            <w:r w:rsidRPr="00FF5AAA">
              <w:rPr>
                <w:rFonts w:ascii="Palatino Linotype" w:eastAsia="Times New Roman" w:hAnsi="Palatino Linotype" w:cs="Times New Roman"/>
                <w:sz w:val="18"/>
                <w:szCs w:val="18"/>
              </w:rPr>
              <w:t>.</w:t>
            </w:r>
            <w:r>
              <w:rPr>
                <w:rFonts w:ascii="Palatino Linotype" w:eastAsia="Times New Roman" w:hAnsi="Palatino Linotype" w:cs="Times New Roman"/>
                <w:sz w:val="18"/>
                <w:szCs w:val="18"/>
              </w:rPr>
              <w:t>7</w:t>
            </w:r>
          </w:p>
        </w:tc>
        <w:tc>
          <w:tcPr>
            <w:tcW w:w="1365" w:type="dxa"/>
            <w:tcBorders>
              <w:top w:val="single" w:sz="6" w:space="0" w:color="000000"/>
              <w:left w:val="nil"/>
              <w:bottom w:val="single" w:sz="6" w:space="0" w:color="000000"/>
              <w:right w:val="nil"/>
            </w:tcBorders>
            <w:tcMar>
              <w:top w:w="0" w:type="dxa"/>
              <w:left w:w="100" w:type="dxa"/>
              <w:bottom w:w="0" w:type="dxa"/>
              <w:right w:w="100" w:type="dxa"/>
            </w:tcMar>
          </w:tcPr>
          <w:p w14:paraId="4F435D71" w14:textId="77777777" w:rsidR="00471010" w:rsidRPr="00FF5AAA" w:rsidRDefault="00471010" w:rsidP="00F26CCF">
            <w:pPr>
              <w:spacing w:line="240" w:lineRule="auto"/>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0.000 &lt; 0.05</w:t>
            </w:r>
          </w:p>
        </w:tc>
        <w:tc>
          <w:tcPr>
            <w:tcW w:w="1321" w:type="dxa"/>
            <w:tcBorders>
              <w:top w:val="single" w:sz="6" w:space="0" w:color="000000"/>
              <w:left w:val="nil"/>
              <w:bottom w:val="single" w:sz="6" w:space="0" w:color="000000"/>
              <w:right w:val="nil"/>
            </w:tcBorders>
            <w:tcMar>
              <w:top w:w="0" w:type="dxa"/>
              <w:left w:w="100" w:type="dxa"/>
              <w:bottom w:w="0" w:type="dxa"/>
              <w:right w:w="100" w:type="dxa"/>
            </w:tcMar>
          </w:tcPr>
          <w:p w14:paraId="66649509" w14:textId="77777777" w:rsidR="00471010" w:rsidRPr="00FF5AAA" w:rsidRDefault="00471010" w:rsidP="00F26CCF">
            <w:pPr>
              <w:spacing w:line="240" w:lineRule="auto"/>
              <w:rPr>
                <w:rFonts w:ascii="Palatino Linotype" w:eastAsia="Times New Roman" w:hAnsi="Palatino Linotype" w:cs="Times New Roman"/>
                <w:sz w:val="18"/>
                <w:szCs w:val="18"/>
              </w:rPr>
            </w:pPr>
            <w:r w:rsidRPr="00FF5AAA">
              <w:rPr>
                <w:rFonts w:ascii="Palatino Linotype" w:eastAsia="Times New Roman" w:hAnsi="Palatino Linotype" w:cs="Times New Roman"/>
                <w:sz w:val="18"/>
                <w:szCs w:val="18"/>
              </w:rPr>
              <w:t>Significant</w:t>
            </w:r>
          </w:p>
        </w:tc>
      </w:tr>
    </w:tbl>
    <w:p w14:paraId="55C3FB68" w14:textId="77777777" w:rsidR="004A6662" w:rsidRDefault="004A6662" w:rsidP="004A6662">
      <w:pPr>
        <w:pStyle w:val="Alishlah21heading1"/>
        <w:numPr>
          <w:ilvl w:val="0"/>
          <w:numId w:val="0"/>
        </w:numPr>
        <w:spacing w:after="0"/>
        <w:ind w:firstLine="567"/>
        <w:jc w:val="both"/>
        <w:rPr>
          <w:b w:val="0"/>
          <w:bCs/>
        </w:rPr>
      </w:pPr>
      <w:r w:rsidRPr="004A6662">
        <w:rPr>
          <w:b w:val="0"/>
          <w:bCs/>
        </w:rPr>
        <w:t>Table 2 shows the results of a paired sample t-test used to determine differences in student abilities before and after using Immersive Virtual Reality-based Experiential Learning (IVR-EL) media.</w:t>
      </w:r>
      <w:r w:rsidRPr="004A6662">
        <w:rPr>
          <w:b w:val="0"/>
          <w:bCs/>
        </w:rPr>
        <w:t xml:space="preserve"> </w:t>
      </w:r>
      <w:r w:rsidRPr="004A6662">
        <w:rPr>
          <w:b w:val="0"/>
          <w:bCs/>
        </w:rPr>
        <w:t>The analysis showed a significant improvement in both measured variables: communication skills and problem-solving abilities. The average score after treatment was higher than before the media use, and the statistical test results indicated that the difference was statistically significant.</w:t>
      </w:r>
      <w:r w:rsidRPr="004A6662">
        <w:rPr>
          <w:b w:val="0"/>
          <w:bCs/>
        </w:rPr>
        <w:t xml:space="preserve"> </w:t>
      </w:r>
      <w:r w:rsidRPr="004A6662">
        <w:rPr>
          <w:b w:val="0"/>
          <w:bCs/>
        </w:rPr>
        <w:t>Thus, it can be interpreted that the use of IVR-EL media has a positive and effective impact on improving the communication skills and problem-solving abilities of slow-learners in inclusive elementary schools. This confirms that experiential learning through immersive technology can strengthen student engagement and understanding in the learning process.</w:t>
      </w:r>
    </w:p>
    <w:p w14:paraId="1B7DA168" w14:textId="3DA5D013" w:rsidR="004A6662" w:rsidRDefault="004A6662" w:rsidP="004A6662">
      <w:pPr>
        <w:pStyle w:val="Alishlah21heading1"/>
        <w:numPr>
          <w:ilvl w:val="0"/>
          <w:numId w:val="0"/>
        </w:numPr>
        <w:spacing w:after="0"/>
        <w:jc w:val="both"/>
        <w:rPr>
          <w:b w:val="0"/>
          <w:bCs/>
        </w:rPr>
      </w:pPr>
      <w:r w:rsidRPr="00C9386B">
        <w:t>Discussion</w:t>
      </w:r>
    </w:p>
    <w:p w14:paraId="51967D63" w14:textId="56782A80" w:rsidR="004A6662" w:rsidRPr="00471010" w:rsidRDefault="001E0DB9" w:rsidP="004A6662">
      <w:pPr>
        <w:pStyle w:val="Alishlah21heading1"/>
        <w:numPr>
          <w:ilvl w:val="0"/>
          <w:numId w:val="0"/>
        </w:numPr>
        <w:spacing w:before="0" w:after="0" w:line="240" w:lineRule="auto"/>
        <w:ind w:firstLine="567"/>
        <w:jc w:val="both"/>
        <w:rPr>
          <w:b w:val="0"/>
          <w:bCs/>
        </w:rPr>
      </w:pPr>
      <w:r w:rsidRPr="00471010">
        <w:rPr>
          <w:b w:val="0"/>
          <w:bCs/>
        </w:rPr>
        <w:t>The results of this study indicate that the application of Immersive Virtual Reality based on Experiential Learning (IVR-EL) significantly improves students' communication and problem-solving skills. slow learner in inclusive elementary schools. This improvement is evident from the statistically significant difference in average pretest and posttest scores for both primary variables. This finding reinforces the view that experiential learning in a virtual environment can create more interactive, meaningful, and tailored learning conditions to the needs of students with special needs. This finding aligns with research conducted by Makransky &amp; Petersen (2021), which shows that virtual reality-based learning can improve engagement and students' conceptual understanding because it provides a more in-depth learning experience (immersive learning experience). In addition, studies by Rachmadtullah</w:t>
      </w:r>
      <w:r w:rsidRPr="00471010">
        <w:rPr>
          <w:b w:val="0"/>
          <w:bCs/>
          <w:color w:val="222222"/>
          <w:highlight w:val="white"/>
        </w:rPr>
        <w:t xml:space="preserve"> et al</w:t>
      </w:r>
      <w:r w:rsidR="004A6662" w:rsidRPr="00471010">
        <w:rPr>
          <w:b w:val="0"/>
          <w:bCs/>
          <w:color w:val="222222"/>
        </w:rPr>
        <w:t xml:space="preserve"> </w:t>
      </w:r>
      <w:r w:rsidRPr="00471010">
        <w:rPr>
          <w:b w:val="0"/>
          <w:bCs/>
        </w:rPr>
        <w:t>(2020) also support the results of this study by emphasising that the use of VR in the context of inclusive education is able to accommodate the dominant visual and kinesthetic learning styles of students. slow learner, so that they can more easily understand the concept through direct simulation.</w:t>
      </w:r>
    </w:p>
    <w:p w14:paraId="69AB363E" w14:textId="77777777" w:rsidR="004A6662" w:rsidRDefault="001E0DB9" w:rsidP="004A6662">
      <w:pPr>
        <w:pStyle w:val="Alishlah21heading1"/>
        <w:numPr>
          <w:ilvl w:val="0"/>
          <w:numId w:val="0"/>
        </w:numPr>
        <w:spacing w:before="0" w:after="0" w:line="240" w:lineRule="auto"/>
        <w:ind w:firstLine="567"/>
        <w:jc w:val="both"/>
        <w:rPr>
          <w:b w:val="0"/>
          <w:bCs/>
        </w:rPr>
      </w:pPr>
      <w:r w:rsidRPr="00471010">
        <w:rPr>
          <w:b w:val="0"/>
          <w:bCs/>
        </w:rPr>
        <w:t>Theoretically, the results of this study are consistent with the Experiential Learning theory put forward by Kolb (an effective learning process occurs when students experience a learning cycle that includes four stages: concrete experience, reflective observation, abstract conceptualisation, and active experimentation (</w:t>
      </w:r>
      <w:r w:rsidRPr="00471010">
        <w:rPr>
          <w:b w:val="0"/>
          <w:bCs/>
          <w:color w:val="222222"/>
          <w:highlight w:val="white"/>
        </w:rPr>
        <w:t>Jones-Roberts &amp; Bechtold, 2024).</w:t>
      </w:r>
      <w:r w:rsidRPr="00471010">
        <w:rPr>
          <w:b w:val="0"/>
          <w:bCs/>
        </w:rPr>
        <w:t>In the context of this research, students learn concrete experience through virtual simulations, then reflect through teacher-guided activities, understand the concept gradually, and finally apply this knowledge in problem-solving in a virtual environment (</w:t>
      </w:r>
      <w:r w:rsidRPr="00471010">
        <w:rPr>
          <w:b w:val="0"/>
          <w:bCs/>
          <w:color w:val="18181B"/>
          <w:highlight w:val="white"/>
        </w:rPr>
        <w:t>Cóndor-Herrera &amp; Ramos-Galarza, 2020)</w:t>
      </w:r>
      <w:r w:rsidRPr="00471010">
        <w:rPr>
          <w:b w:val="0"/>
          <w:bCs/>
        </w:rPr>
        <w:t>. This process explains why communication and problem-solving skills improved significantly after using IVR-EL. From an inclusive pedagogy perspective, the results of this study emphasise the importance of adapting learning media to ensure the full participation of all students, including those with learning disabilities (</w:t>
      </w:r>
      <w:r w:rsidRPr="00471010">
        <w:rPr>
          <w:b w:val="0"/>
          <w:bCs/>
          <w:color w:val="18181B"/>
          <w:highlight w:val="white"/>
        </w:rPr>
        <w:t>D’Elia et al, 2025; Díaz, Morgado, &amp; Seale, 2024)</w:t>
      </w:r>
      <w:r w:rsidRPr="00471010">
        <w:rPr>
          <w:b w:val="0"/>
          <w:bCs/>
        </w:rPr>
        <w:t>. IVR-EL enables learning differentiation through visual and</w:t>
      </w:r>
      <w:r w:rsidRPr="004A6662">
        <w:rPr>
          <w:b w:val="0"/>
          <w:bCs/>
        </w:rPr>
        <w:t xml:space="preserve"> interactive experiences that can be tailored to each student's abilities (</w:t>
      </w:r>
      <w:r w:rsidRPr="004A6662">
        <w:rPr>
          <w:b w:val="0"/>
          <w:bCs/>
          <w:color w:val="18181B"/>
          <w:highlight w:val="white"/>
        </w:rPr>
        <w:t xml:space="preserve">Matovu et al, 2022; Lowell &amp; Yan, 2023). </w:t>
      </w:r>
      <w:r w:rsidRPr="004A6662">
        <w:rPr>
          <w:b w:val="0"/>
          <w:bCs/>
        </w:rPr>
        <w:t>Teachers also acknowledged that this medium makes it easier for them to facilitate two-way communication, as students are more willing to speak and express ideas in a safe, enjoyable virtual environment.</w:t>
      </w:r>
    </w:p>
    <w:p w14:paraId="42E1B3AE" w14:textId="77777777" w:rsidR="004A6662" w:rsidRDefault="001E0DB9" w:rsidP="004A6662">
      <w:pPr>
        <w:pStyle w:val="Alishlah21heading1"/>
        <w:numPr>
          <w:ilvl w:val="0"/>
          <w:numId w:val="0"/>
        </w:numPr>
        <w:spacing w:before="0" w:after="0" w:line="240" w:lineRule="auto"/>
        <w:ind w:firstLine="567"/>
        <w:jc w:val="both"/>
        <w:rPr>
          <w:b w:val="0"/>
          <w:bCs/>
        </w:rPr>
      </w:pPr>
      <w:r w:rsidRPr="004A6662">
        <w:rPr>
          <w:b w:val="0"/>
          <w:bCs/>
        </w:rPr>
        <w:t>Another advantage of using IVR-EL is its ability to present learning situations that resemble the real world without the risks or social pressures that students often encounter—slow</w:t>
      </w:r>
      <w:r w:rsidRPr="004A6662">
        <w:rPr>
          <w:b w:val="0"/>
          <w:bCs/>
          <w:i/>
        </w:rPr>
        <w:t xml:space="preserve"> learner (</w:t>
      </w:r>
      <w:r w:rsidRPr="004A6662">
        <w:rPr>
          <w:b w:val="0"/>
          <w:bCs/>
          <w:color w:val="18181B"/>
          <w:highlight w:val="white"/>
        </w:rPr>
        <w:t>Crogman et al, 2025; Kwon, 2018)</w:t>
      </w:r>
      <w:r w:rsidRPr="004A6662">
        <w:rPr>
          <w:b w:val="0"/>
          <w:bCs/>
        </w:rPr>
        <w:t>. Virtual environments provide an inclusive and stigma-free learning space, enabling students to learn with greater confidence and independence. This is consistent with findings</w:t>
      </w:r>
      <w:r w:rsidRPr="004A6662">
        <w:rPr>
          <w:b w:val="0"/>
          <w:bCs/>
          <w:color w:val="18181B"/>
          <w:highlight w:val="white"/>
        </w:rPr>
        <w:t xml:space="preserve"> by Shin, Ko, &amp; Shin (2022), who</w:t>
      </w:r>
      <w:r w:rsidRPr="004A6662">
        <w:rPr>
          <w:b w:val="0"/>
          <w:bCs/>
        </w:rPr>
        <w:t xml:space="preserve"> state that virtual immersion can increase empathy, self-confidence, and motivation for students to engage in collaborative learning. Another positive impact is seen in the </w:t>
      </w:r>
      <w:r w:rsidRPr="004A6662">
        <w:rPr>
          <w:b w:val="0"/>
          <w:bCs/>
        </w:rPr>
        <w:lastRenderedPageBreak/>
        <w:t>improvement of social skills integrated into the communication process between students during learning (Liu et al., 2024). Interactions in the virtual environment help them practice expressing opinions, listening to their peers, and collaborating to solve challenges presented in the simulation. This indicates that IVR-EL functions not only as a learning medium but also as a means of strengthening students' social and emotional character (</w:t>
      </w:r>
      <w:r w:rsidRPr="004A6662">
        <w:rPr>
          <w:b w:val="0"/>
          <w:bCs/>
          <w:color w:val="18181B"/>
          <w:highlight w:val="white"/>
        </w:rPr>
        <w:t>Chiang, 2021).</w:t>
      </w:r>
    </w:p>
    <w:p w14:paraId="0FC7DFF5" w14:textId="6974DA25" w:rsidR="001E0DB9" w:rsidRPr="004A6662" w:rsidRDefault="001E0DB9" w:rsidP="004A6662">
      <w:pPr>
        <w:pStyle w:val="Alishlah21heading1"/>
        <w:numPr>
          <w:ilvl w:val="0"/>
          <w:numId w:val="0"/>
        </w:numPr>
        <w:spacing w:before="0" w:after="0" w:line="240" w:lineRule="auto"/>
        <w:ind w:firstLine="567"/>
        <w:jc w:val="both"/>
        <w:rPr>
          <w:b w:val="0"/>
          <w:bCs/>
        </w:rPr>
      </w:pPr>
      <w:r w:rsidRPr="004A6662">
        <w:rPr>
          <w:b w:val="0"/>
          <w:bCs/>
        </w:rPr>
        <w:t xml:space="preserve">The findings of this study confirm that the implementation of Immersive Virtual Reality based on Experiential Learning (IVR-EL) has a positive and significant influence on improving students' communication and problem-solving skills. </w:t>
      </w:r>
      <w:r w:rsidRPr="004A6662">
        <w:rPr>
          <w:b w:val="0"/>
          <w:bCs/>
          <w:i/>
        </w:rPr>
        <w:t>slow learners</w:t>
      </w:r>
      <w:r w:rsidRPr="004A6662">
        <w:rPr>
          <w:b w:val="0"/>
          <w:bCs/>
        </w:rPr>
        <w:t xml:space="preserve"> in inclusive elementary schools (</w:t>
      </w:r>
      <w:r w:rsidRPr="004A6662">
        <w:rPr>
          <w:b w:val="0"/>
          <w:bCs/>
          <w:color w:val="18181B"/>
          <w:highlight w:val="white"/>
        </w:rPr>
        <w:t xml:space="preserve">Back, Tinga, &amp; Louwerse, 2021). </w:t>
      </w:r>
      <w:r w:rsidRPr="004A6662">
        <w:rPr>
          <w:b w:val="0"/>
          <w:bCs/>
        </w:rPr>
        <w:t>Immersive and contextual learning experiences can stimulate students' cognitive and affective abilities simultaneously. Furthermore, observations and interviews with teachers and students reinforce this quantitative data (</w:t>
      </w:r>
      <w:r w:rsidRPr="004A6662">
        <w:rPr>
          <w:b w:val="0"/>
          <w:bCs/>
          <w:color w:val="18181B"/>
          <w:highlight w:val="white"/>
        </w:rPr>
        <w:t>Chen &amp; Xu, 2024)</w:t>
      </w:r>
      <w:r w:rsidRPr="004A6662">
        <w:rPr>
          <w:b w:val="0"/>
          <w:bCs/>
        </w:rPr>
        <w:t>. The teacher stated that the use of Immersive Virtual Reality media based on Experiential Learning (IVR-EL) makes it easier for slow learners to understand the material because they can see, hear, and experience the learning situation firsthand, which was previously only explained verbally (</w:t>
      </w:r>
      <w:r w:rsidRPr="004A6662">
        <w:rPr>
          <w:b w:val="0"/>
          <w:bCs/>
          <w:color w:val="18181B"/>
          <w:highlight w:val="white"/>
        </w:rPr>
        <w:t>Miguel-Alonso, 2024)</w:t>
      </w:r>
      <w:r w:rsidRPr="004A6662">
        <w:rPr>
          <w:b w:val="0"/>
          <w:bCs/>
        </w:rPr>
        <w:t>. Students who were initially passive became more active, asking questions and showing high enthusiasm during the learning process. This phenomenon confirms that immersive technology-based learning experiences can create deep emotional and cognitive engagement, thereby strengthening students' knowledge retention and social skills. Conceptually, the results of this study demonstrate the principle of experiential</w:t>
      </w:r>
      <w:r w:rsidRPr="004A6662">
        <w:rPr>
          <w:b w:val="0"/>
          <w:bCs/>
          <w:i/>
        </w:rPr>
        <w:t xml:space="preserve"> learning and</w:t>
      </w:r>
      <w:r w:rsidRPr="004A6662">
        <w:rPr>
          <w:b w:val="0"/>
          <w:bCs/>
        </w:rPr>
        <w:t xml:space="preserve"> immersive technology. Practically, this study provides empirical evidence that Immersive Virtual Reality-based Experiential Learning can be a strategic alternative for developing students' communication potential and critical thinking skills. </w:t>
      </w:r>
      <w:r w:rsidRPr="004A6662">
        <w:rPr>
          <w:b w:val="0"/>
          <w:bCs/>
          <w:i/>
        </w:rPr>
        <w:t>Slow learner in</w:t>
      </w:r>
      <w:r w:rsidRPr="004A6662">
        <w:rPr>
          <w:b w:val="0"/>
          <w:bCs/>
        </w:rPr>
        <w:t xml:space="preserve"> inclusive elementary schools.</w:t>
      </w:r>
    </w:p>
    <w:p w14:paraId="24F155CB" w14:textId="77777777" w:rsidR="005B5AEC" w:rsidRPr="00723B12" w:rsidRDefault="005B5AEC" w:rsidP="00387CB3">
      <w:pPr>
        <w:pStyle w:val="Alishlah21heading1"/>
        <w:ind w:left="426"/>
        <w:rPr>
          <w:rFonts w:eastAsia="Arial"/>
        </w:rPr>
      </w:pPr>
      <w:r w:rsidRPr="00723B12">
        <w:rPr>
          <w:rFonts w:eastAsia="Arial"/>
        </w:rPr>
        <w:t xml:space="preserve">CONCLUSION </w:t>
      </w:r>
    </w:p>
    <w:p w14:paraId="07189B5A" w14:textId="77777777" w:rsidR="00387CB3" w:rsidRDefault="00387CB3" w:rsidP="00387CB3">
      <w:pPr>
        <w:pStyle w:val="Alishlah21heading1"/>
        <w:numPr>
          <w:ilvl w:val="0"/>
          <w:numId w:val="0"/>
        </w:numPr>
        <w:spacing w:before="0"/>
        <w:ind w:firstLine="709"/>
        <w:jc w:val="both"/>
        <w:rPr>
          <w:b w:val="0"/>
          <w:bCs/>
        </w:rPr>
      </w:pPr>
      <w:r w:rsidRPr="00387CB3">
        <w:rPr>
          <w:b w:val="0"/>
          <w:bCs/>
        </w:rPr>
        <w:t>The results of this study confirm that the development of immersive</w:t>
      </w:r>
      <w:r w:rsidRPr="00387CB3">
        <w:rPr>
          <w:b w:val="0"/>
          <w:bCs/>
          <w:i/>
        </w:rPr>
        <w:t xml:space="preserve"> Virtual Reality-based experiential learning</w:t>
      </w:r>
      <w:r w:rsidRPr="00387CB3">
        <w:rPr>
          <w:b w:val="0"/>
          <w:bCs/>
        </w:rPr>
        <w:t xml:space="preserve"> has a positive impact on improving students' communication skills and problem-solving abilities in inclusive elementary schools. Through interactive, contextual, and experiential learning experiences, students gain a deeper understanding of the material and actively participate in the learning process. These learning media not only help students hone their cognitive and social skills but also create a safe, enjoyable, and individual learning environment. Consequently, this research provides an essential contribution to the development of inclusive learning practices in elementary schools. Teachers can utilise immersive</w:t>
      </w:r>
      <w:r w:rsidRPr="00387CB3">
        <w:rPr>
          <w:b w:val="0"/>
          <w:bCs/>
          <w:i/>
        </w:rPr>
        <w:t xml:space="preserve"> Virtual Reality as</w:t>
      </w:r>
      <w:r w:rsidRPr="00387CB3">
        <w:rPr>
          <w:b w:val="0"/>
          <w:bCs/>
        </w:rPr>
        <w:t xml:space="preserve"> an innovative alternative for designing student-centred learning activities and fostering active student engagement. Schools and educational policymakers are expected to support the implementation of this immersive technology by providing facilities, teacher training, and integrating it into an experience-based curriculum. Furthermore, further research can be conducted by expanding the context of this media's use to other types of special needs and exploring its impact on students' affective dimensions and learning motivation.</w:t>
      </w:r>
    </w:p>
    <w:p w14:paraId="7D47E651" w14:textId="2260A574" w:rsidR="002B31FD" w:rsidRPr="00387CB3" w:rsidRDefault="002B31FD" w:rsidP="00387CB3">
      <w:pPr>
        <w:pStyle w:val="Alishlah21heading1"/>
        <w:numPr>
          <w:ilvl w:val="0"/>
          <w:numId w:val="0"/>
        </w:numPr>
        <w:spacing w:before="0"/>
        <w:jc w:val="both"/>
        <w:rPr>
          <w:b w:val="0"/>
          <w:bCs/>
          <w:sz w:val="18"/>
          <w:szCs w:val="21"/>
        </w:rPr>
      </w:pPr>
      <w:r w:rsidRPr="00387CB3">
        <w:rPr>
          <w:sz w:val="18"/>
          <w:szCs w:val="21"/>
        </w:rPr>
        <w:t xml:space="preserve">Acknowledgments: </w:t>
      </w:r>
      <w:r w:rsidR="007653CA" w:rsidRPr="007653CA">
        <w:rPr>
          <w:b w:val="0"/>
          <w:bCs/>
          <w:sz w:val="18"/>
          <w:szCs w:val="21"/>
        </w:rPr>
        <w:t>We would like to thank the Ministry of Higher Education, Science and Technology for funding this research through the national competitive research grant program with contract number 037/LL7/DT.05.00/PL/2025-040.12/kontrak/LPPM/VI/2025. We would also like to thank all parties involved in assisting this research.</w:t>
      </w:r>
    </w:p>
    <w:p w14:paraId="4A5BB4ED" w14:textId="47E4D3C7" w:rsidR="002B31FD" w:rsidRDefault="002B31FD" w:rsidP="002B31FD">
      <w:pPr>
        <w:pStyle w:val="Alishlah62Acknowledgments"/>
        <w:rPr>
          <w:rFonts w:eastAsia="Arial"/>
        </w:rPr>
      </w:pPr>
      <w:r w:rsidRPr="004841C5">
        <w:rPr>
          <w:b/>
        </w:rPr>
        <w:t>Conflicts of Interest:</w:t>
      </w:r>
      <w:r w:rsidRPr="004841C5">
        <w:t xml:space="preserve"> </w:t>
      </w:r>
      <w:r w:rsidR="00D3185D" w:rsidRPr="00D3185D">
        <w:t>This research has no conflict and all research procedures, starting from selecting the research location to obtaining research permits, have been carried out in accordance with applicable provisions.</w:t>
      </w:r>
    </w:p>
    <w:p w14:paraId="4CA25188" w14:textId="77777777" w:rsidR="00FB54B0" w:rsidRDefault="00FB54B0" w:rsidP="002A02C2">
      <w:pPr>
        <w:pStyle w:val="Alishlah21heading1"/>
        <w:numPr>
          <w:ilvl w:val="0"/>
          <w:numId w:val="0"/>
        </w:numPr>
        <w:rPr>
          <w:rFonts w:eastAsia="Arial"/>
        </w:rPr>
      </w:pPr>
    </w:p>
    <w:p w14:paraId="5593A5C6" w14:textId="77777777" w:rsidR="00FB54B0" w:rsidRDefault="00FB54B0" w:rsidP="002A02C2">
      <w:pPr>
        <w:pStyle w:val="Alishlah21heading1"/>
        <w:numPr>
          <w:ilvl w:val="0"/>
          <w:numId w:val="0"/>
        </w:numPr>
        <w:rPr>
          <w:rFonts w:eastAsia="Arial"/>
        </w:rPr>
      </w:pPr>
    </w:p>
    <w:p w14:paraId="162C5456" w14:textId="77777777" w:rsidR="00FB54B0" w:rsidRDefault="00FB54B0" w:rsidP="002A02C2">
      <w:pPr>
        <w:pStyle w:val="Alishlah21heading1"/>
        <w:numPr>
          <w:ilvl w:val="0"/>
          <w:numId w:val="0"/>
        </w:numPr>
        <w:rPr>
          <w:rFonts w:eastAsia="Arial"/>
        </w:rPr>
      </w:pPr>
    </w:p>
    <w:p w14:paraId="3B38B98C" w14:textId="1C4B774C" w:rsidR="005B5AEC" w:rsidRDefault="005B5AEC" w:rsidP="002A02C2">
      <w:pPr>
        <w:pStyle w:val="Alishlah21heading1"/>
        <w:numPr>
          <w:ilvl w:val="0"/>
          <w:numId w:val="0"/>
        </w:numPr>
        <w:rPr>
          <w:rFonts w:eastAsia="Arial"/>
        </w:rPr>
      </w:pPr>
      <w:r w:rsidRPr="00723B12">
        <w:rPr>
          <w:rFonts w:eastAsia="Arial"/>
        </w:rPr>
        <w:t>REFERENCES</w:t>
      </w:r>
    </w:p>
    <w:sdt>
      <w:sdtPr>
        <w:tag w:val="MENDELEY_BIBLIOGRAPHY"/>
        <w:id w:val="-1028095956"/>
        <w:placeholder>
          <w:docPart w:val="3C41FD2BAEF7B64D8EF63690DFEBCBDD"/>
        </w:placeholder>
      </w:sdtPr>
      <w:sdtEndPr>
        <w:rPr>
          <w:rFonts w:ascii="Palatino Linotype" w:hAnsi="Palatino Linotype"/>
          <w:sz w:val="20"/>
          <w:szCs w:val="20"/>
        </w:rPr>
      </w:sdtEndPr>
      <w:sdtContent>
        <w:p w14:paraId="2A675265"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Andryansyah, &amp; Ningsih, P. (2021). </w:t>
          </w:r>
          <w:r w:rsidRPr="0077759A">
            <w:rPr>
              <w:rFonts w:ascii="Palatino Linotype" w:eastAsia="Times New Roman" w:hAnsi="Palatino Linotype" w:cs="Times New Roman"/>
              <w:i/>
              <w:iCs/>
              <w:sz w:val="20"/>
              <w:szCs w:val="20"/>
            </w:rPr>
            <w:t>Penerapan Model Experiential Learning Pada Pembelajaran I</w:t>
          </w:r>
          <w:r w:rsidRPr="0077759A">
            <w:rPr>
              <w:rFonts w:ascii="Palatino Linotype" w:hAnsi="Palatino Linotype"/>
              <w:i/>
              <w:iCs/>
              <w:sz w:val="20"/>
              <w:szCs w:val="20"/>
            </w:rPr>
            <w:t>PA</w:t>
          </w:r>
          <w:r w:rsidRPr="0077759A">
            <w:rPr>
              <w:rFonts w:ascii="Palatino Linotype" w:eastAsia="Times New Roman" w:hAnsi="Palatino Linotype" w:cs="Times New Roman"/>
              <w:sz w:val="20"/>
              <w:szCs w:val="20"/>
            </w:rPr>
            <w:t xml:space="preserve">. </w:t>
          </w:r>
          <w:r w:rsidRPr="0077759A">
            <w:rPr>
              <w:rFonts w:ascii="Palatino Linotype" w:eastAsia="Times New Roman" w:hAnsi="Palatino Linotype" w:cs="Times New Roman"/>
              <w:i/>
              <w:iCs/>
              <w:sz w:val="20"/>
              <w:szCs w:val="20"/>
            </w:rPr>
            <w:t>4</w:t>
          </w:r>
          <w:r w:rsidRPr="0077759A">
            <w:rPr>
              <w:rFonts w:ascii="Palatino Linotype" w:eastAsia="Times New Roman" w:hAnsi="Palatino Linotype" w:cs="Times New Roman"/>
              <w:sz w:val="20"/>
              <w:szCs w:val="20"/>
            </w:rPr>
            <w:t>.</w:t>
          </w:r>
        </w:p>
        <w:p w14:paraId="58D0C089"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Aprianti, Y., Ramdani, I. L. A., Ali, M., Rifki, M., &amp; Utomo, R. B. (2025). Perspektif Teori Konstruktivisme Vygotsky Terhadap Kemampuan Bersosialisasi Siswa Slow Learner Di Sekolah Dasar Inklusi. </w:t>
          </w:r>
          <w:r w:rsidRPr="0077759A">
            <w:rPr>
              <w:rFonts w:ascii="Palatino Linotype" w:eastAsia="Times New Roman" w:hAnsi="Palatino Linotype" w:cs="Times New Roman"/>
              <w:i/>
              <w:iCs/>
              <w:sz w:val="20"/>
              <w:szCs w:val="20"/>
            </w:rPr>
            <w:t>DWIJA CENDEKIA: Jurnal Riset Pedagogik</w:t>
          </w:r>
          <w:r w:rsidRPr="0077759A">
            <w:rPr>
              <w:rFonts w:ascii="Palatino Linotype" w:eastAsia="Times New Roman" w:hAnsi="Palatino Linotype" w:cs="Times New Roman"/>
              <w:sz w:val="20"/>
              <w:szCs w:val="20"/>
            </w:rPr>
            <w:t xml:space="preserve">, </w:t>
          </w:r>
          <w:r w:rsidRPr="0077759A">
            <w:rPr>
              <w:rFonts w:ascii="Palatino Linotype" w:eastAsia="Times New Roman" w:hAnsi="Palatino Linotype" w:cs="Times New Roman"/>
              <w:i/>
              <w:iCs/>
              <w:sz w:val="20"/>
              <w:szCs w:val="20"/>
            </w:rPr>
            <w:t>9</w:t>
          </w:r>
          <w:r w:rsidRPr="0077759A">
            <w:rPr>
              <w:rFonts w:ascii="Palatino Linotype" w:eastAsia="Times New Roman" w:hAnsi="Palatino Linotype" w:cs="Times New Roman"/>
              <w:sz w:val="20"/>
              <w:szCs w:val="20"/>
            </w:rPr>
            <w:t xml:space="preserve">(1), 135. </w:t>
          </w:r>
          <w:hyperlink r:id="rId10" w:history="1">
            <w:r w:rsidRPr="0077759A">
              <w:rPr>
                <w:rStyle w:val="Hyperlink"/>
                <w:rFonts w:ascii="Palatino Linotype" w:eastAsia="Times New Roman" w:hAnsi="Palatino Linotype" w:cs="Times New Roman"/>
                <w:sz w:val="20"/>
                <w:szCs w:val="20"/>
              </w:rPr>
              <w:t>https://doi.org/10.20961/jdc.v9i1.99167</w:t>
            </w:r>
          </w:hyperlink>
          <w:r w:rsidRPr="0077759A">
            <w:rPr>
              <w:rFonts w:ascii="Palatino Linotype" w:eastAsia="Times New Roman" w:hAnsi="Palatino Linotype" w:cs="Times New Roman"/>
              <w:sz w:val="20"/>
              <w:szCs w:val="20"/>
            </w:rPr>
            <w:t xml:space="preserve"> </w:t>
          </w:r>
        </w:p>
        <w:p w14:paraId="5B772B6C" w14:textId="77777777" w:rsidR="0077759A" w:rsidRPr="0077759A" w:rsidRDefault="0077759A" w:rsidP="0077759A">
          <w:pPr>
            <w:autoSpaceDE w:val="0"/>
            <w:autoSpaceDN w:val="0"/>
            <w:spacing w:after="0"/>
            <w:ind w:left="567" w:hanging="567"/>
            <w:jc w:val="both"/>
            <w:rPr>
              <w:rFonts w:ascii="Palatino Linotype" w:hAnsi="Palatino Linotype"/>
              <w:sz w:val="20"/>
              <w:szCs w:val="20"/>
            </w:rPr>
          </w:pPr>
          <w:r w:rsidRPr="0077759A">
            <w:rPr>
              <w:rFonts w:ascii="Palatino Linotype" w:hAnsi="Palatino Linotype"/>
              <w:sz w:val="20"/>
              <w:szCs w:val="20"/>
            </w:rPr>
            <w:t>Back, T., Tinga, A., &amp; Louwerse, M. (2021). Learning in immersed collaborative virtual environments: design and implementation. Interactive Learning Environments, 31, 5364 - 5382. https://doi.org/10.1080/10494820.2021.2006238 .</w:t>
          </w:r>
        </w:p>
        <w:p w14:paraId="05C9BE68" w14:textId="77777777" w:rsidR="0077759A" w:rsidRPr="0077759A" w:rsidRDefault="0077759A" w:rsidP="0077759A">
          <w:pPr>
            <w:autoSpaceDE w:val="0"/>
            <w:autoSpaceDN w:val="0"/>
            <w:spacing w:after="0"/>
            <w:ind w:left="567" w:hanging="567"/>
            <w:jc w:val="both"/>
            <w:rPr>
              <w:rFonts w:ascii="Palatino Linotype" w:hAnsi="Palatino Linotype"/>
              <w:sz w:val="20"/>
              <w:szCs w:val="20"/>
            </w:rPr>
          </w:pPr>
          <w:r w:rsidRPr="0077759A">
            <w:rPr>
              <w:rFonts w:ascii="Palatino Linotype" w:hAnsi="Palatino Linotype"/>
              <w:sz w:val="20"/>
              <w:szCs w:val="20"/>
            </w:rPr>
            <w:t>Chen, C., &amp; Syu, J. (2024). Effects of integrating a role-playing game into a virtual reality-based learning approach on students' perceptions of immersion, self-efficacy, learning motivation and achievements. Br. J. Educ. Technol., 55, 2339-2356. https://doi.org/10.1111/bjet.13436.</w:t>
          </w:r>
        </w:p>
        <w:p w14:paraId="279A4C09" w14:textId="77777777" w:rsidR="0077759A" w:rsidRPr="0077759A" w:rsidRDefault="0077759A" w:rsidP="0077759A">
          <w:pPr>
            <w:autoSpaceDE w:val="0"/>
            <w:autoSpaceDN w:val="0"/>
            <w:spacing w:after="0"/>
            <w:ind w:left="567" w:hanging="567"/>
            <w:jc w:val="both"/>
            <w:rPr>
              <w:rFonts w:ascii="Palatino Linotype" w:hAnsi="Palatino Linotype"/>
              <w:sz w:val="20"/>
              <w:szCs w:val="20"/>
            </w:rPr>
          </w:pPr>
          <w:r w:rsidRPr="0077759A">
            <w:rPr>
              <w:rFonts w:ascii="Palatino Linotype" w:hAnsi="Palatino Linotype"/>
              <w:sz w:val="20"/>
              <w:szCs w:val="20"/>
            </w:rPr>
            <w:t>Chiang, T. (2021). Investigating Effects of Interactive Virtual Reality Games and Gender on Immersion, Empathy and Behavior Into Environmental Education. Frontiers in Psychology, 12. https://doi.org/10.3389/fpsyg.2021.608407 .</w:t>
          </w:r>
        </w:p>
        <w:p w14:paraId="6563CE35"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Chusna, N. L., &amp; Harsiwi, N. E. (2024). Layanan Pembelajaran Anak Slow Learner di Kelas 4 Sekolah Dasar. </w:t>
          </w:r>
          <w:r w:rsidRPr="0077759A">
            <w:rPr>
              <w:rFonts w:ascii="Palatino Linotype" w:eastAsia="Times New Roman" w:hAnsi="Palatino Linotype" w:cs="Times New Roman"/>
              <w:i/>
              <w:iCs/>
              <w:sz w:val="20"/>
              <w:szCs w:val="20"/>
            </w:rPr>
            <w:t>ALENA-Journal of Elementary Education</w:t>
          </w:r>
          <w:r w:rsidRPr="0077759A">
            <w:rPr>
              <w:rFonts w:ascii="Palatino Linotype" w:eastAsia="Times New Roman" w:hAnsi="Palatino Linotype" w:cs="Times New Roman"/>
              <w:sz w:val="20"/>
              <w:szCs w:val="20"/>
            </w:rPr>
            <w:t xml:space="preserve">, </w:t>
          </w:r>
          <w:r w:rsidRPr="0077759A">
            <w:rPr>
              <w:rFonts w:ascii="Palatino Linotype" w:eastAsia="Times New Roman" w:hAnsi="Palatino Linotype" w:cs="Times New Roman"/>
              <w:i/>
              <w:iCs/>
              <w:sz w:val="20"/>
              <w:szCs w:val="20"/>
            </w:rPr>
            <w:t>2</w:t>
          </w:r>
          <w:r w:rsidRPr="0077759A">
            <w:rPr>
              <w:rFonts w:ascii="Palatino Linotype" w:eastAsia="Times New Roman" w:hAnsi="Palatino Linotype" w:cs="Times New Roman"/>
              <w:sz w:val="20"/>
              <w:szCs w:val="20"/>
            </w:rPr>
            <w:t>(2), 150–159.</w:t>
          </w:r>
        </w:p>
        <w:p w14:paraId="40EAB865" w14:textId="77777777" w:rsidR="0077759A" w:rsidRPr="0077759A" w:rsidRDefault="0077759A" w:rsidP="0077759A">
          <w:pPr>
            <w:autoSpaceDE w:val="0"/>
            <w:autoSpaceDN w:val="0"/>
            <w:spacing w:after="0"/>
            <w:ind w:left="567" w:hanging="567"/>
            <w:jc w:val="both"/>
            <w:rPr>
              <w:rFonts w:ascii="Palatino Linotype" w:hAnsi="Palatino Linotype"/>
              <w:sz w:val="20"/>
              <w:szCs w:val="20"/>
            </w:rPr>
          </w:pPr>
          <w:r w:rsidRPr="0077759A">
            <w:rPr>
              <w:rFonts w:ascii="Palatino Linotype" w:hAnsi="Palatino Linotype"/>
              <w:sz w:val="20"/>
              <w:szCs w:val="20"/>
            </w:rPr>
            <w:t>Cóndor-Herrera, O., &amp; Ramos-Galarza, C. (2020). The impact of a technological intervention program on learning mathematical skills. Education and Information Technologies, 26, 1423 - 1433. https://doi.org/10.1007/s10639-020-10308-y .</w:t>
          </w:r>
        </w:p>
        <w:p w14:paraId="07B0DF2D" w14:textId="77777777" w:rsidR="0077759A" w:rsidRPr="0077759A" w:rsidRDefault="0077759A" w:rsidP="0077759A">
          <w:pPr>
            <w:autoSpaceDE w:val="0"/>
            <w:autoSpaceDN w:val="0"/>
            <w:spacing w:after="0"/>
            <w:ind w:left="567" w:hanging="567"/>
            <w:jc w:val="both"/>
            <w:rPr>
              <w:rFonts w:ascii="Palatino Linotype" w:hAnsi="Palatino Linotype"/>
              <w:sz w:val="20"/>
              <w:szCs w:val="20"/>
            </w:rPr>
          </w:pPr>
          <w:r w:rsidRPr="0077759A">
            <w:rPr>
              <w:rFonts w:ascii="Palatino Linotype" w:hAnsi="Palatino Linotype"/>
              <w:sz w:val="20"/>
              <w:szCs w:val="20"/>
            </w:rPr>
            <w:t>Crogman, H., Cano, V., Pacheco, E., Sonawane, R., &amp; Boroon, R. (2025). Virtual Reality, Augmented Reality, and Mixed Reality in Experiential Learning: Transforming Educational Paradigms. Education Sciences. https://doi.org/10.3390/educsci15030303 IF: 2.6 Q1 B3.</w:t>
          </w:r>
        </w:p>
        <w:p w14:paraId="276E64B7" w14:textId="77777777" w:rsidR="0077759A" w:rsidRPr="0077759A" w:rsidRDefault="0077759A" w:rsidP="0077759A">
          <w:pPr>
            <w:autoSpaceDE w:val="0"/>
            <w:autoSpaceDN w:val="0"/>
            <w:spacing w:after="0"/>
            <w:ind w:left="567" w:hanging="567"/>
            <w:jc w:val="both"/>
            <w:rPr>
              <w:rFonts w:ascii="Palatino Linotype" w:hAnsi="Palatino Linotype"/>
              <w:sz w:val="20"/>
              <w:szCs w:val="20"/>
            </w:rPr>
          </w:pPr>
          <w:r w:rsidRPr="0077759A">
            <w:rPr>
              <w:rFonts w:ascii="Palatino Linotype" w:hAnsi="Palatino Linotype"/>
              <w:sz w:val="20"/>
              <w:szCs w:val="20"/>
            </w:rPr>
            <w:t>D’Elia, P., Stalmach, A., Di Sano, S., &amp; Casale, G. (2025). Strategies for inclusive digital education: problem/project-based learning, cooperative learning, and service learning for students with special educational needs. Frontiers in Education. https://doi.org/10.3389/feduc.2024.1447489</w:t>
          </w:r>
        </w:p>
        <w:p w14:paraId="511A9021" w14:textId="77777777" w:rsidR="0077759A" w:rsidRPr="0077759A" w:rsidRDefault="0077759A" w:rsidP="0077759A">
          <w:pPr>
            <w:autoSpaceDE w:val="0"/>
            <w:autoSpaceDN w:val="0"/>
            <w:spacing w:after="0"/>
            <w:ind w:left="567" w:hanging="567"/>
            <w:jc w:val="both"/>
            <w:rPr>
              <w:rFonts w:ascii="Palatino Linotype" w:hAnsi="Palatino Linotype"/>
              <w:sz w:val="20"/>
              <w:szCs w:val="20"/>
            </w:rPr>
          </w:pPr>
          <w:r w:rsidRPr="0077759A">
            <w:rPr>
              <w:rFonts w:ascii="Palatino Linotype" w:hAnsi="Palatino Linotype"/>
              <w:sz w:val="20"/>
              <w:szCs w:val="20"/>
            </w:rPr>
            <w:t>Díaz, M., Morgado, B., &amp; Seale, J. (2024). Access and Participation: The use of Technologies as tools for Inclusion by Spanish University Lecturers. Australasian Journal of Educational Technology. https://doi.org/10.14742/ajet.8178.</w:t>
          </w:r>
        </w:p>
        <w:p w14:paraId="03181F0E"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Dwi Ariyanti, S., Dwi Putra, S., Zuhria, F., Youlandi Rahayu Sulistiyawati, D., Studi Pendidikan Guru Sekolah Dasar, P., Ilmu Pendidikan, F., &amp; PGRI Wates, I. (2025). Teacher Challenges in Teaching Slow Learners. </w:t>
          </w:r>
          <w:r w:rsidRPr="0077759A">
            <w:rPr>
              <w:rFonts w:ascii="Palatino Linotype" w:eastAsia="Times New Roman" w:hAnsi="Palatino Linotype" w:cs="Times New Roman"/>
              <w:i/>
              <w:iCs/>
              <w:sz w:val="20"/>
              <w:szCs w:val="20"/>
            </w:rPr>
            <w:t>ALENA – Journal of Elementary Education</w:t>
          </w:r>
          <w:r w:rsidRPr="0077759A">
            <w:rPr>
              <w:rFonts w:ascii="Palatino Linotype" w:eastAsia="Times New Roman" w:hAnsi="Palatino Linotype" w:cs="Times New Roman"/>
              <w:sz w:val="20"/>
              <w:szCs w:val="20"/>
            </w:rPr>
            <w:t xml:space="preserve">. </w:t>
          </w:r>
          <w:hyperlink r:id="rId11" w:history="1">
            <w:r w:rsidRPr="0077759A">
              <w:rPr>
                <w:rStyle w:val="Hyperlink"/>
                <w:rFonts w:ascii="Palatino Linotype" w:eastAsia="Times New Roman" w:hAnsi="Palatino Linotype" w:cs="Times New Roman"/>
                <w:sz w:val="20"/>
                <w:szCs w:val="20"/>
              </w:rPr>
              <w:t>https://doi.org/10.59638/jee.v3i2.372</w:t>
            </w:r>
          </w:hyperlink>
          <w:r w:rsidRPr="0077759A">
            <w:rPr>
              <w:rFonts w:ascii="Palatino Linotype" w:eastAsia="Times New Roman" w:hAnsi="Palatino Linotype" w:cs="Times New Roman"/>
              <w:sz w:val="20"/>
              <w:szCs w:val="20"/>
            </w:rPr>
            <w:t xml:space="preserve"> </w:t>
          </w:r>
        </w:p>
        <w:p w14:paraId="4F6C0020"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Eka Yuliana, R., Ediyatno, &amp; Safiul Ummah, U. (2024). Interaksi Sosial Siswa Slow Learner di Sekolah Penyelenggara Pendidikan Inklusif di SDN Kota Malang. </w:t>
          </w:r>
          <w:r w:rsidRPr="0077759A">
            <w:rPr>
              <w:rFonts w:ascii="Palatino Linotype" w:eastAsia="Times New Roman" w:hAnsi="Palatino Linotype" w:cs="Times New Roman"/>
              <w:i/>
              <w:iCs/>
              <w:sz w:val="20"/>
              <w:szCs w:val="20"/>
            </w:rPr>
            <w:t>Didaktik</w:t>
          </w:r>
          <w:r w:rsidRPr="0077759A">
            <w:rPr>
              <w:rFonts w:ascii="Times New Roman" w:eastAsia="Times New Roman" w:hAnsi="Times New Roman" w:cs="Times New Roman"/>
              <w:i/>
              <w:iCs/>
              <w:sz w:val="20"/>
              <w:szCs w:val="20"/>
            </w:rPr>
            <w:t> </w:t>
          </w:r>
          <w:r w:rsidRPr="0077759A">
            <w:rPr>
              <w:rFonts w:ascii="Palatino Linotype" w:eastAsia="Times New Roman" w:hAnsi="Palatino Linotype" w:cs="Times New Roman"/>
              <w:i/>
              <w:iCs/>
              <w:sz w:val="20"/>
              <w:szCs w:val="20"/>
            </w:rPr>
            <w:t>: Jurnal Ilmiah PGSD FKIP Universitas Mandiri</w:t>
          </w:r>
          <w:r w:rsidRPr="0077759A">
            <w:rPr>
              <w:rFonts w:ascii="Palatino Linotype" w:eastAsia="Times New Roman" w:hAnsi="Palatino Linotype" w:cs="Times New Roman"/>
              <w:sz w:val="20"/>
              <w:szCs w:val="20"/>
            </w:rPr>
            <w:t>.</w:t>
          </w:r>
        </w:p>
        <w:p w14:paraId="7D4DB3A0"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Fadliyah, L. S., Fanani, A., &amp; Surabaya, A. B. (n.d.). </w:t>
          </w:r>
          <w:r w:rsidRPr="0077759A">
            <w:rPr>
              <w:rFonts w:ascii="Palatino Linotype" w:eastAsia="Times New Roman" w:hAnsi="Palatino Linotype" w:cs="Times New Roman"/>
              <w:i/>
              <w:iCs/>
              <w:sz w:val="20"/>
              <w:szCs w:val="20"/>
            </w:rPr>
            <w:t>Model Experiential Learning dalam Menumbuhkan Kemampuan High Order Thinking Skills (HOTS)</w:t>
          </w:r>
          <w:r w:rsidRPr="0077759A">
            <w:rPr>
              <w:rFonts w:ascii="Palatino Linotype" w:eastAsia="Times New Roman" w:hAnsi="Palatino Linotype" w:cs="Times New Roman"/>
              <w:sz w:val="20"/>
              <w:szCs w:val="20"/>
            </w:rPr>
            <w:t>.</w:t>
          </w:r>
        </w:p>
        <w:p w14:paraId="28F0F677" w14:textId="77777777" w:rsidR="0077759A" w:rsidRPr="0077759A" w:rsidRDefault="0077759A" w:rsidP="0077759A">
          <w:pPr>
            <w:autoSpaceDE w:val="0"/>
            <w:autoSpaceDN w:val="0"/>
            <w:spacing w:after="0"/>
            <w:ind w:left="567" w:hanging="567"/>
            <w:jc w:val="both"/>
            <w:rPr>
              <w:rFonts w:ascii="Palatino Linotype" w:hAnsi="Palatino Linotype"/>
              <w:sz w:val="20"/>
              <w:szCs w:val="20"/>
            </w:rPr>
          </w:pPr>
          <w:r w:rsidRPr="0077759A">
            <w:rPr>
              <w:rFonts w:ascii="Palatino Linotype" w:hAnsi="Palatino Linotype"/>
              <w:sz w:val="20"/>
              <w:szCs w:val="20"/>
            </w:rPr>
            <w:t>Guerra-Tamez, C. (2023). The Impact of Immersion through Virtual Reality in the Learning Experiences of Art and Design Students: The Mediating Effect of the Flow Experience. Education Sciences. https://doi.org/10.3390/educsci13020185 .</w:t>
          </w:r>
        </w:p>
        <w:p w14:paraId="3F2BF7F1" w14:textId="77777777" w:rsidR="0077759A" w:rsidRPr="0077759A" w:rsidRDefault="0077759A" w:rsidP="0077759A">
          <w:pPr>
            <w:autoSpaceDE w:val="0"/>
            <w:autoSpaceDN w:val="0"/>
            <w:spacing w:after="0"/>
            <w:ind w:left="567" w:hanging="567"/>
            <w:jc w:val="both"/>
            <w:rPr>
              <w:rFonts w:ascii="Palatino Linotype" w:hAnsi="Palatino Linotype"/>
              <w:sz w:val="20"/>
              <w:szCs w:val="20"/>
            </w:rPr>
          </w:pPr>
          <w:r w:rsidRPr="0077759A">
            <w:rPr>
              <w:rFonts w:ascii="Palatino Linotype" w:hAnsi="Palatino Linotype"/>
              <w:sz w:val="20"/>
              <w:szCs w:val="20"/>
            </w:rPr>
            <w:t>Han, I., Shin, H., Ko, Y., &amp; Shin, W. (2022). Immersive virtual reality for increasing presence and empathy. J. Comput. Assist. Learn., 38, 1115-1126. https://doi.org/10.1111/jcal.12669.</w:t>
          </w:r>
        </w:p>
        <w:p w14:paraId="14D3A1AF"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Handayani, R., Yusnida Ritonga, W., Anas, M. H., Tinggi, S., Islam, A., Medan, A.-H., Tarbiyah, I., Keguruan, D., Guru, P., &amp; Ibtidaiyah, M. (2023). Konsep Pembelajaran Anak Inklusif dan Strategi Pembelajaran untuk Anak Inklusif. </w:t>
          </w:r>
          <w:r w:rsidRPr="0077759A">
            <w:rPr>
              <w:rFonts w:ascii="Palatino Linotype" w:eastAsia="Times New Roman" w:hAnsi="Palatino Linotype" w:cs="Times New Roman"/>
              <w:i/>
              <w:iCs/>
              <w:sz w:val="20"/>
              <w:szCs w:val="20"/>
            </w:rPr>
            <w:t>Jurnal Pendidikan Tambusai</w:t>
          </w:r>
          <w:r w:rsidRPr="0077759A">
            <w:rPr>
              <w:rFonts w:ascii="Palatino Linotype" w:eastAsia="Times New Roman" w:hAnsi="Palatino Linotype" w:cs="Times New Roman"/>
              <w:sz w:val="20"/>
              <w:szCs w:val="20"/>
            </w:rPr>
            <w:t>.</w:t>
          </w:r>
        </w:p>
        <w:p w14:paraId="15EE74D8"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Hartini, A., Widyaningtyas, D., &amp; Mashluhah, M. I. (2017). Learning Strategies for Slow Learners Using The Project Based Learning Model in Primary School. </w:t>
          </w:r>
          <w:r w:rsidRPr="0077759A">
            <w:rPr>
              <w:rFonts w:ascii="Palatino Linotype" w:eastAsia="Times New Roman" w:hAnsi="Palatino Linotype" w:cs="Times New Roman"/>
              <w:i/>
              <w:iCs/>
              <w:sz w:val="20"/>
              <w:szCs w:val="20"/>
            </w:rPr>
            <w:t>Jurnal Pendidikan Inklusi</w:t>
          </w:r>
          <w:r w:rsidRPr="0077759A">
            <w:rPr>
              <w:rFonts w:ascii="Palatino Linotype" w:eastAsia="Times New Roman" w:hAnsi="Palatino Linotype" w:cs="Times New Roman"/>
              <w:sz w:val="20"/>
              <w:szCs w:val="20"/>
            </w:rPr>
            <w:t xml:space="preserve">, </w:t>
          </w:r>
          <w:r w:rsidRPr="0077759A">
            <w:rPr>
              <w:rFonts w:ascii="Palatino Linotype" w:eastAsia="Times New Roman" w:hAnsi="Palatino Linotype" w:cs="Times New Roman"/>
              <w:i/>
              <w:iCs/>
              <w:sz w:val="20"/>
              <w:szCs w:val="20"/>
            </w:rPr>
            <w:t>1</w:t>
          </w:r>
          <w:r w:rsidRPr="0077759A">
            <w:rPr>
              <w:rFonts w:ascii="Palatino Linotype" w:eastAsia="Times New Roman" w:hAnsi="Palatino Linotype" w:cs="Times New Roman"/>
              <w:sz w:val="20"/>
              <w:szCs w:val="20"/>
            </w:rPr>
            <w:t>.</w:t>
          </w:r>
        </w:p>
        <w:p w14:paraId="780533C5"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Huda, F., Fery Efendi, J., Budiman, A., Ichda Wahyuni, H., Setiyowati, A., Choliq, I., &amp; Wijaya, M. F. (2023). Pengembangan Inovasi Pembelajaran Virtual Reality Account Officer Customer Servicer </w:t>
          </w:r>
          <w:r w:rsidRPr="0077759A">
            <w:rPr>
              <w:rFonts w:ascii="Palatino Linotype" w:eastAsia="Times New Roman" w:hAnsi="Palatino Linotype" w:cs="Times New Roman"/>
              <w:sz w:val="20"/>
              <w:szCs w:val="20"/>
            </w:rPr>
            <w:lastRenderedPageBreak/>
            <w:t xml:space="preserve">Mahasiswa Slow Learner di UMSurabaya. </w:t>
          </w:r>
          <w:r w:rsidRPr="0077759A">
            <w:rPr>
              <w:rFonts w:ascii="Palatino Linotype" w:eastAsia="Times New Roman" w:hAnsi="Palatino Linotype" w:cs="Times New Roman"/>
              <w:i/>
              <w:iCs/>
              <w:sz w:val="20"/>
              <w:szCs w:val="20"/>
            </w:rPr>
            <w:t>Aksiologiya: Jurnal Pengabdian Kepada Masyarakat</w:t>
          </w:r>
          <w:r w:rsidRPr="0077759A">
            <w:rPr>
              <w:rFonts w:ascii="Palatino Linotype" w:eastAsia="Times New Roman" w:hAnsi="Palatino Linotype" w:cs="Times New Roman"/>
              <w:sz w:val="20"/>
              <w:szCs w:val="20"/>
            </w:rPr>
            <w:t xml:space="preserve">, </w:t>
          </w:r>
          <w:r w:rsidRPr="0077759A">
            <w:rPr>
              <w:rFonts w:ascii="Palatino Linotype" w:eastAsia="Times New Roman" w:hAnsi="Palatino Linotype" w:cs="Times New Roman"/>
              <w:i/>
              <w:iCs/>
              <w:sz w:val="20"/>
              <w:szCs w:val="20"/>
            </w:rPr>
            <w:t>7</w:t>
          </w:r>
          <w:r w:rsidRPr="0077759A">
            <w:rPr>
              <w:rFonts w:ascii="Palatino Linotype" w:eastAsia="Times New Roman" w:hAnsi="Palatino Linotype" w:cs="Times New Roman"/>
              <w:sz w:val="20"/>
              <w:szCs w:val="20"/>
            </w:rPr>
            <w:t xml:space="preserve">(4). </w:t>
          </w:r>
          <w:hyperlink r:id="rId12" w:history="1">
            <w:r w:rsidRPr="0077759A">
              <w:rPr>
                <w:rStyle w:val="Hyperlink"/>
                <w:rFonts w:ascii="Palatino Linotype" w:eastAsia="Times New Roman" w:hAnsi="Palatino Linotype" w:cs="Times New Roman"/>
                <w:sz w:val="20"/>
                <w:szCs w:val="20"/>
              </w:rPr>
              <w:t>https://doi.org/10.30651/aks.v7i4.18315</w:t>
            </w:r>
          </w:hyperlink>
          <w:r w:rsidRPr="0077759A">
            <w:rPr>
              <w:rFonts w:ascii="Palatino Linotype" w:eastAsia="Times New Roman" w:hAnsi="Palatino Linotype" w:cs="Times New Roman"/>
              <w:sz w:val="20"/>
              <w:szCs w:val="20"/>
            </w:rPr>
            <w:t xml:space="preserve"> </w:t>
          </w:r>
        </w:p>
        <w:p w14:paraId="7A9FFA55" w14:textId="77777777" w:rsidR="0077759A" w:rsidRPr="0077759A" w:rsidRDefault="0077759A" w:rsidP="0077759A">
          <w:pPr>
            <w:autoSpaceDE w:val="0"/>
            <w:autoSpaceDN w:val="0"/>
            <w:spacing w:after="0"/>
            <w:ind w:left="567" w:hanging="567"/>
            <w:jc w:val="both"/>
            <w:rPr>
              <w:rFonts w:ascii="Palatino Linotype" w:hAnsi="Palatino Linotype"/>
              <w:sz w:val="20"/>
              <w:szCs w:val="20"/>
            </w:rPr>
          </w:pPr>
          <w:r w:rsidRPr="0077759A">
            <w:rPr>
              <w:rFonts w:ascii="Palatino Linotype" w:hAnsi="Palatino Linotype"/>
              <w:sz w:val="20"/>
              <w:szCs w:val="20"/>
            </w:rPr>
            <w:t>Jones-Roberts, C., &amp; Bechtold, C. (2024). Experiential learning in higher education. Journal of Technology-Integrated Lessons and Teaching, 3(2), 53-63.</w:t>
          </w:r>
        </w:p>
        <w:p w14:paraId="66539320" w14:textId="77777777" w:rsidR="0077759A" w:rsidRPr="0077759A" w:rsidRDefault="0077759A" w:rsidP="0077759A">
          <w:pPr>
            <w:autoSpaceDE w:val="0"/>
            <w:autoSpaceDN w:val="0"/>
            <w:spacing w:after="0"/>
            <w:ind w:left="567" w:hanging="567"/>
            <w:jc w:val="both"/>
            <w:rPr>
              <w:rFonts w:ascii="Palatino Linotype" w:hAnsi="Palatino Linotype"/>
              <w:sz w:val="20"/>
              <w:szCs w:val="20"/>
            </w:rPr>
          </w:pPr>
          <w:r w:rsidRPr="0077759A">
            <w:rPr>
              <w:rFonts w:ascii="Palatino Linotype" w:hAnsi="Palatino Linotype"/>
              <w:sz w:val="20"/>
              <w:szCs w:val="20"/>
            </w:rPr>
            <w:t>Kwon, C. (2018). Verification of the possibility and effectiveness of experiential learning using HMD-based immersive VR technologies. Virtual Reality, 23, 101-118. https://doi.org/10.1007/s10055-018-0364-1.</w:t>
          </w:r>
        </w:p>
        <w:p w14:paraId="2F402365"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Latifah, A. N., Pratiwi, I. A., &amp; Kuryanto, M. S. (2023). Peran Guru dalam Menghadapi Siswa Slow Learner di Sekolah Dasar. </w:t>
          </w:r>
          <w:r w:rsidRPr="0077759A">
            <w:rPr>
              <w:rFonts w:ascii="Palatino Linotype" w:eastAsia="Times New Roman" w:hAnsi="Palatino Linotype" w:cs="Times New Roman"/>
              <w:i/>
              <w:iCs/>
              <w:sz w:val="20"/>
              <w:szCs w:val="20"/>
            </w:rPr>
            <w:t>Jurnal Basicedu</w:t>
          </w:r>
          <w:r w:rsidRPr="0077759A">
            <w:rPr>
              <w:rFonts w:ascii="Palatino Linotype" w:eastAsia="Times New Roman" w:hAnsi="Palatino Linotype" w:cs="Times New Roman"/>
              <w:sz w:val="20"/>
              <w:szCs w:val="20"/>
            </w:rPr>
            <w:t xml:space="preserve">, </w:t>
          </w:r>
          <w:r w:rsidRPr="0077759A">
            <w:rPr>
              <w:rFonts w:ascii="Palatino Linotype" w:eastAsia="Times New Roman" w:hAnsi="Palatino Linotype" w:cs="Times New Roman"/>
              <w:i/>
              <w:iCs/>
              <w:sz w:val="20"/>
              <w:szCs w:val="20"/>
            </w:rPr>
            <w:t>7</w:t>
          </w:r>
          <w:r w:rsidRPr="0077759A">
            <w:rPr>
              <w:rFonts w:ascii="Palatino Linotype" w:eastAsia="Times New Roman" w:hAnsi="Palatino Linotype" w:cs="Times New Roman"/>
              <w:sz w:val="20"/>
              <w:szCs w:val="20"/>
            </w:rPr>
            <w:t xml:space="preserve">(4), 2650–2662. </w:t>
          </w:r>
          <w:hyperlink r:id="rId13" w:history="1">
            <w:r w:rsidRPr="0077759A">
              <w:rPr>
                <w:rStyle w:val="Hyperlink"/>
                <w:rFonts w:ascii="Palatino Linotype" w:eastAsia="Times New Roman" w:hAnsi="Palatino Linotype" w:cs="Times New Roman"/>
                <w:sz w:val="20"/>
                <w:szCs w:val="20"/>
              </w:rPr>
              <w:t>https://doi.org/10.31004/basicedu.v7i4.5895</w:t>
            </w:r>
          </w:hyperlink>
          <w:r w:rsidRPr="0077759A">
            <w:rPr>
              <w:rFonts w:ascii="Palatino Linotype" w:eastAsia="Times New Roman" w:hAnsi="Palatino Linotype" w:cs="Times New Roman"/>
              <w:sz w:val="20"/>
              <w:szCs w:val="20"/>
            </w:rPr>
            <w:t xml:space="preserve"> </w:t>
          </w:r>
        </w:p>
        <w:p w14:paraId="4A9A9B54" w14:textId="77777777" w:rsidR="0077759A" w:rsidRPr="0077759A" w:rsidRDefault="0077759A" w:rsidP="0077759A">
          <w:pPr>
            <w:autoSpaceDE w:val="0"/>
            <w:autoSpaceDN w:val="0"/>
            <w:spacing w:after="0"/>
            <w:ind w:left="567" w:hanging="567"/>
            <w:jc w:val="both"/>
            <w:rPr>
              <w:rFonts w:ascii="Palatino Linotype" w:hAnsi="Palatino Linotype"/>
              <w:sz w:val="20"/>
              <w:szCs w:val="20"/>
            </w:rPr>
          </w:pPr>
          <w:r w:rsidRPr="0077759A">
            <w:rPr>
              <w:rFonts w:ascii="Palatino Linotype" w:hAnsi="Palatino Linotype"/>
              <w:sz w:val="20"/>
              <w:szCs w:val="20"/>
            </w:rPr>
            <w:t>Liu, J., Mak, P., Chan, K., Cheung, D., Cheung, K., Fong, K., Kor, P., Lai, T., &amp; Maximo, T. (2024). The Effects of Immersive Virtual Reality–Assisted Experiential Learning on Enhancing Empathy in Undergraduate Health Care Students Toward Older Adults With Cognitive Impairment: Multiple-Methods Study. JMIR Medical Education, 10. https://doi.org/10.2196/48566 .</w:t>
          </w:r>
        </w:p>
        <w:p w14:paraId="2845C3DA" w14:textId="77777777" w:rsidR="0077759A" w:rsidRPr="0077759A" w:rsidRDefault="0077759A" w:rsidP="0077759A">
          <w:pPr>
            <w:autoSpaceDE w:val="0"/>
            <w:autoSpaceDN w:val="0"/>
            <w:spacing w:after="0"/>
            <w:ind w:left="567" w:hanging="567"/>
            <w:jc w:val="both"/>
            <w:rPr>
              <w:rFonts w:ascii="Palatino Linotype" w:hAnsi="Palatino Linotype"/>
              <w:sz w:val="20"/>
              <w:szCs w:val="20"/>
            </w:rPr>
          </w:pPr>
          <w:r w:rsidRPr="0077759A">
            <w:rPr>
              <w:rFonts w:ascii="Palatino Linotype" w:hAnsi="Palatino Linotype"/>
              <w:sz w:val="20"/>
              <w:szCs w:val="20"/>
            </w:rPr>
            <w:t>Lowell, V., &amp; Yan, W. (2023). Applying Systems Thinking for Designing Immersive Virtual Reality Learning Experiences in Education. TechTrends. https://doi.org/10.1007/s11528-023-00922-1.</w:t>
          </w:r>
        </w:p>
        <w:p w14:paraId="17774FF9" w14:textId="77777777" w:rsidR="0077759A" w:rsidRPr="0077759A" w:rsidRDefault="0077759A" w:rsidP="0077759A">
          <w:pPr>
            <w:autoSpaceDE w:val="0"/>
            <w:autoSpaceDN w:val="0"/>
            <w:spacing w:after="0"/>
            <w:ind w:left="567" w:hanging="567"/>
            <w:jc w:val="both"/>
            <w:rPr>
              <w:rFonts w:ascii="Palatino Linotype" w:hAnsi="Palatino Linotype"/>
              <w:sz w:val="20"/>
              <w:szCs w:val="20"/>
            </w:rPr>
          </w:pPr>
          <w:r w:rsidRPr="0077759A">
            <w:rPr>
              <w:rFonts w:ascii="Palatino Linotype" w:hAnsi="Palatino Linotype"/>
              <w:sz w:val="20"/>
              <w:szCs w:val="20"/>
            </w:rPr>
            <w:t>Makransky, G., &amp; Petersen, G. (2021). The Cognitive Affective Model of Immersive Learning (CAMIL): a Theoretical Research-Based Model of Learning in Immersive Virtual Reality. Educational Psychology Review, 33, 937 - 958. https://doi.org/10.1007/s10648-020-09586-2</w:t>
          </w:r>
        </w:p>
        <w:p w14:paraId="5743CBC3" w14:textId="77777777" w:rsidR="0077759A" w:rsidRPr="0077759A" w:rsidRDefault="0077759A" w:rsidP="0077759A">
          <w:pPr>
            <w:autoSpaceDE w:val="0"/>
            <w:autoSpaceDN w:val="0"/>
            <w:spacing w:after="0"/>
            <w:ind w:left="567" w:hanging="567"/>
            <w:jc w:val="both"/>
            <w:rPr>
              <w:rFonts w:ascii="Palatino Linotype" w:hAnsi="Palatino Linotype"/>
              <w:sz w:val="20"/>
              <w:szCs w:val="20"/>
            </w:rPr>
          </w:pPr>
          <w:r w:rsidRPr="0077759A">
            <w:rPr>
              <w:rFonts w:ascii="Palatino Linotype" w:hAnsi="Palatino Linotype"/>
              <w:sz w:val="20"/>
              <w:szCs w:val="20"/>
            </w:rPr>
            <w:t>Matovu, H., Ungu, D., Won, M., Tsai, C., Treagust, D., Mocerino, M., &amp; Tasker, R. (2022). Immersive virtual reality for science learning: Design, implementation, and evaluation. Studies in Science Education, 59, 205 - 244. https://doi.org/10.1080/03057267.2022.2082680 .</w:t>
          </w:r>
        </w:p>
        <w:p w14:paraId="5EECDC8B" w14:textId="77777777" w:rsidR="0077759A" w:rsidRPr="0077759A" w:rsidRDefault="0077759A" w:rsidP="0077759A">
          <w:pPr>
            <w:autoSpaceDE w:val="0"/>
            <w:autoSpaceDN w:val="0"/>
            <w:spacing w:after="0"/>
            <w:ind w:left="567" w:hanging="567"/>
            <w:jc w:val="both"/>
            <w:rPr>
              <w:rFonts w:ascii="Palatino Linotype" w:hAnsi="Palatino Linotype"/>
              <w:sz w:val="20"/>
              <w:szCs w:val="20"/>
            </w:rPr>
          </w:pPr>
          <w:r w:rsidRPr="0077759A">
            <w:rPr>
              <w:rFonts w:ascii="Palatino Linotype" w:hAnsi="Palatino Linotype"/>
              <w:sz w:val="20"/>
              <w:szCs w:val="20"/>
            </w:rPr>
            <w:t>Miguel-Alonso, I., Checa, D., Guillen-Sanz, H., &amp; Bustillo, A. (2024). Evaluation of the novelty effect in immersive Virtual Reality learning experiences. Virtual Reality, 28, 1-23. https://doi.org/10.1007/s10055-023-00926-5</w:t>
          </w:r>
        </w:p>
        <w:p w14:paraId="3FD59F22"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Mumpuniarti, M., Handoyo, R. R., Pinrupitanza, D. T., &amp; Barotuttaqiyah, D. (2020). Teacher’s pedagogy competence and challenges in implementing inclusive learning in slow learner. </w:t>
          </w:r>
          <w:r w:rsidRPr="0077759A">
            <w:rPr>
              <w:rFonts w:ascii="Palatino Linotype" w:eastAsia="Times New Roman" w:hAnsi="Palatino Linotype" w:cs="Times New Roman"/>
              <w:i/>
              <w:iCs/>
              <w:sz w:val="20"/>
              <w:szCs w:val="20"/>
            </w:rPr>
            <w:t>Cakrawala Pendidikan</w:t>
          </w:r>
          <w:r w:rsidRPr="0077759A">
            <w:rPr>
              <w:rFonts w:ascii="Palatino Linotype" w:eastAsia="Times New Roman" w:hAnsi="Palatino Linotype" w:cs="Times New Roman"/>
              <w:sz w:val="20"/>
              <w:szCs w:val="20"/>
            </w:rPr>
            <w:t xml:space="preserve">, </w:t>
          </w:r>
          <w:r w:rsidRPr="0077759A">
            <w:rPr>
              <w:rFonts w:ascii="Palatino Linotype" w:eastAsia="Times New Roman" w:hAnsi="Palatino Linotype" w:cs="Times New Roman"/>
              <w:i/>
              <w:iCs/>
              <w:sz w:val="20"/>
              <w:szCs w:val="20"/>
            </w:rPr>
            <w:t>39</w:t>
          </w:r>
          <w:r w:rsidRPr="0077759A">
            <w:rPr>
              <w:rFonts w:ascii="Palatino Linotype" w:eastAsia="Times New Roman" w:hAnsi="Palatino Linotype" w:cs="Times New Roman"/>
              <w:sz w:val="20"/>
              <w:szCs w:val="20"/>
            </w:rPr>
            <w:t xml:space="preserve">(1), 217–229. </w:t>
          </w:r>
          <w:hyperlink r:id="rId14" w:history="1">
            <w:r w:rsidRPr="0077759A">
              <w:rPr>
                <w:rStyle w:val="Hyperlink"/>
                <w:rFonts w:ascii="Palatino Linotype" w:eastAsia="Times New Roman" w:hAnsi="Palatino Linotype" w:cs="Times New Roman"/>
                <w:sz w:val="20"/>
                <w:szCs w:val="20"/>
              </w:rPr>
              <w:t>https://doi.org/10.21831/cp.v39i1.28807</w:t>
            </w:r>
          </w:hyperlink>
          <w:r w:rsidRPr="0077759A">
            <w:rPr>
              <w:rFonts w:ascii="Palatino Linotype" w:eastAsia="Times New Roman" w:hAnsi="Palatino Linotype" w:cs="Times New Roman"/>
              <w:sz w:val="20"/>
              <w:szCs w:val="20"/>
            </w:rPr>
            <w:t xml:space="preserve"> </w:t>
          </w:r>
        </w:p>
        <w:p w14:paraId="01469EA4"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Nurliasari, L., Kurniawan, E. H., &amp; Muchyidin, M. S. (2025). Millealab as A Virtual Reality-based Learning Platform for Slow Learners Students. </w:t>
          </w:r>
          <w:r w:rsidRPr="0077759A">
            <w:rPr>
              <w:rFonts w:ascii="Palatino Linotype" w:eastAsia="Times New Roman" w:hAnsi="Palatino Linotype" w:cs="Times New Roman"/>
              <w:i/>
              <w:iCs/>
              <w:sz w:val="20"/>
              <w:szCs w:val="20"/>
            </w:rPr>
            <w:t>Jurnal Paedagogy</w:t>
          </w:r>
          <w:r w:rsidRPr="0077759A">
            <w:rPr>
              <w:rFonts w:ascii="Palatino Linotype" w:eastAsia="Times New Roman" w:hAnsi="Palatino Linotype" w:cs="Times New Roman"/>
              <w:sz w:val="20"/>
              <w:szCs w:val="20"/>
            </w:rPr>
            <w:t xml:space="preserve">, </w:t>
          </w:r>
          <w:r w:rsidRPr="0077759A">
            <w:rPr>
              <w:rFonts w:ascii="Palatino Linotype" w:eastAsia="Times New Roman" w:hAnsi="Palatino Linotype" w:cs="Times New Roman"/>
              <w:i/>
              <w:iCs/>
              <w:sz w:val="20"/>
              <w:szCs w:val="20"/>
            </w:rPr>
            <w:t>12</w:t>
          </w:r>
          <w:r w:rsidRPr="0077759A">
            <w:rPr>
              <w:rFonts w:ascii="Palatino Linotype" w:eastAsia="Times New Roman" w:hAnsi="Palatino Linotype" w:cs="Times New Roman"/>
              <w:sz w:val="20"/>
              <w:szCs w:val="20"/>
            </w:rPr>
            <w:t xml:space="preserve">(1), 110. </w:t>
          </w:r>
          <w:hyperlink r:id="rId15" w:history="1">
            <w:r w:rsidRPr="0077759A">
              <w:rPr>
                <w:rStyle w:val="Hyperlink"/>
                <w:rFonts w:ascii="Palatino Linotype" w:eastAsia="Times New Roman" w:hAnsi="Palatino Linotype" w:cs="Times New Roman"/>
                <w:sz w:val="20"/>
                <w:szCs w:val="20"/>
              </w:rPr>
              <w:t>https://doi.org/10.33394/jp.v12i1.13692</w:t>
            </w:r>
          </w:hyperlink>
          <w:r w:rsidRPr="0077759A">
            <w:rPr>
              <w:rFonts w:ascii="Palatino Linotype" w:eastAsia="Times New Roman" w:hAnsi="Palatino Linotype" w:cs="Times New Roman"/>
              <w:sz w:val="20"/>
              <w:szCs w:val="20"/>
            </w:rPr>
            <w:t xml:space="preserve"> </w:t>
          </w:r>
        </w:p>
        <w:p w14:paraId="0D40B167"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Okterina, E., Farah, D. N., Zila’aidah, N., Widajati, W., &amp; Fauzan, R. A. (2025). Pengembangan Busy Book Digital untuk Mengoptimalkan Kemampuan Kognitif Anak Slow Learner. </w:t>
          </w:r>
          <w:r w:rsidRPr="0077759A">
            <w:rPr>
              <w:rFonts w:ascii="Palatino Linotype" w:eastAsia="Times New Roman" w:hAnsi="Palatino Linotype" w:cs="Times New Roman"/>
              <w:i/>
              <w:iCs/>
              <w:sz w:val="20"/>
              <w:szCs w:val="20"/>
            </w:rPr>
            <w:t>Kalam Cendekia: Jurnal Ilmiah Kependidikan</w:t>
          </w:r>
          <w:r w:rsidRPr="0077759A">
            <w:rPr>
              <w:rFonts w:ascii="Palatino Linotype" w:eastAsia="Times New Roman" w:hAnsi="Palatino Linotype" w:cs="Times New Roman"/>
              <w:sz w:val="20"/>
              <w:szCs w:val="20"/>
            </w:rPr>
            <w:t xml:space="preserve">, </w:t>
          </w:r>
          <w:r w:rsidRPr="0077759A">
            <w:rPr>
              <w:rFonts w:ascii="Palatino Linotype" w:eastAsia="Times New Roman" w:hAnsi="Palatino Linotype" w:cs="Times New Roman"/>
              <w:i/>
              <w:iCs/>
              <w:sz w:val="20"/>
              <w:szCs w:val="20"/>
            </w:rPr>
            <w:t>13</w:t>
          </w:r>
          <w:r w:rsidRPr="0077759A">
            <w:rPr>
              <w:rFonts w:ascii="Palatino Linotype" w:eastAsia="Times New Roman" w:hAnsi="Palatino Linotype" w:cs="Times New Roman"/>
              <w:sz w:val="20"/>
              <w:szCs w:val="20"/>
            </w:rPr>
            <w:t>.</w:t>
          </w:r>
        </w:p>
        <w:p w14:paraId="05E27C43" w14:textId="77777777" w:rsidR="0077759A" w:rsidRPr="0077759A" w:rsidRDefault="0077759A" w:rsidP="0077759A">
          <w:pPr>
            <w:autoSpaceDE w:val="0"/>
            <w:autoSpaceDN w:val="0"/>
            <w:spacing w:after="0"/>
            <w:ind w:left="567" w:hanging="567"/>
            <w:jc w:val="both"/>
            <w:rPr>
              <w:rFonts w:ascii="Palatino Linotype" w:hAnsi="Palatino Linotype"/>
              <w:sz w:val="20"/>
              <w:szCs w:val="20"/>
            </w:rPr>
          </w:pPr>
          <w:r w:rsidRPr="0077759A">
            <w:rPr>
              <w:rFonts w:ascii="Palatino Linotype" w:hAnsi="Palatino Linotype"/>
              <w:sz w:val="20"/>
              <w:szCs w:val="20"/>
            </w:rPr>
            <w:t>Rachmadtullah, R., Tanod, M. J. T. M. J., Rasmitadila, R., Irawan, N., McNeilly, A., &amp; Suharni, S. (2024). Elementary School Teachers' Perspectives on Utilizing Artificial Intelligence for Developing Learning Media. Journal of Integrated Elementary Education, 4(1), 71-82.</w:t>
          </w:r>
        </w:p>
        <w:p w14:paraId="5CC5CC06"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Rahmawaty, S. N., Karsidi, R., &amp; Yuwono, J. (2023). Web-Based Syllable Reading Learning Media (BASUKA) For Beginning Reading For Slow Learner Students At Elementary School Level. In </w:t>
          </w:r>
          <w:r w:rsidRPr="0077759A">
            <w:rPr>
              <w:rFonts w:ascii="Palatino Linotype" w:eastAsia="Times New Roman" w:hAnsi="Palatino Linotype" w:cs="Times New Roman"/>
              <w:i/>
              <w:iCs/>
              <w:sz w:val="20"/>
              <w:szCs w:val="20"/>
            </w:rPr>
            <w:t>Journal of Disability</w:t>
          </w:r>
          <w:r w:rsidRPr="0077759A">
            <w:rPr>
              <w:rFonts w:ascii="Palatino Linotype" w:eastAsia="Times New Roman" w:hAnsi="Palatino Linotype" w:cs="Times New Roman"/>
              <w:sz w:val="20"/>
              <w:szCs w:val="20"/>
            </w:rPr>
            <w:t xml:space="preserve"> (Vol. 3, Issue 2).</w:t>
          </w:r>
        </w:p>
        <w:p w14:paraId="2B30F4C9"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Samodro Adjie, B., &amp; Malawi, I. (2024). Analisis Faktor Penyebab Dua Anak Slow Learner di SD Negeri Bacem Kelas VI. </w:t>
          </w:r>
          <w:r w:rsidRPr="0077759A">
            <w:rPr>
              <w:rFonts w:ascii="Palatino Linotype" w:eastAsia="Times New Roman" w:hAnsi="Palatino Linotype" w:cs="Times New Roman"/>
              <w:i/>
              <w:iCs/>
              <w:sz w:val="20"/>
              <w:szCs w:val="20"/>
            </w:rPr>
            <w:t>Jurnal Pendidikan Tambusai</w:t>
          </w:r>
          <w:r w:rsidRPr="0077759A">
            <w:rPr>
              <w:rFonts w:ascii="Palatino Linotype" w:eastAsia="Times New Roman" w:hAnsi="Palatino Linotype" w:cs="Times New Roman"/>
              <w:sz w:val="20"/>
              <w:szCs w:val="20"/>
            </w:rPr>
            <w:t>.</w:t>
          </w:r>
        </w:p>
        <w:p w14:paraId="102B82C9"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Sari, A. P., &amp; Munir, M. (2024). Pemanfaatan Teknologi Digital dalam Inovasi Pembelajaran untuk Meningkatkan Efektivitas Kegiatan di Kelas. </w:t>
          </w:r>
          <w:r w:rsidRPr="0077759A">
            <w:rPr>
              <w:rFonts w:ascii="Palatino Linotype" w:eastAsia="Times New Roman" w:hAnsi="Palatino Linotype" w:cs="Times New Roman"/>
              <w:i/>
              <w:iCs/>
              <w:sz w:val="20"/>
              <w:szCs w:val="20"/>
            </w:rPr>
            <w:t>Digital Transformation Technology</w:t>
          </w:r>
          <w:r w:rsidRPr="0077759A">
            <w:rPr>
              <w:rFonts w:ascii="Palatino Linotype" w:eastAsia="Times New Roman" w:hAnsi="Palatino Linotype" w:cs="Times New Roman"/>
              <w:sz w:val="20"/>
              <w:szCs w:val="20"/>
            </w:rPr>
            <w:t xml:space="preserve">, </w:t>
          </w:r>
          <w:r w:rsidRPr="0077759A">
            <w:rPr>
              <w:rFonts w:ascii="Palatino Linotype" w:eastAsia="Times New Roman" w:hAnsi="Palatino Linotype" w:cs="Times New Roman"/>
              <w:i/>
              <w:iCs/>
              <w:sz w:val="20"/>
              <w:szCs w:val="20"/>
            </w:rPr>
            <w:t>4</w:t>
          </w:r>
          <w:r w:rsidRPr="0077759A">
            <w:rPr>
              <w:rFonts w:ascii="Palatino Linotype" w:eastAsia="Times New Roman" w:hAnsi="Palatino Linotype" w:cs="Times New Roman"/>
              <w:sz w:val="20"/>
              <w:szCs w:val="20"/>
            </w:rPr>
            <w:t xml:space="preserve">(2), 977–983. </w:t>
          </w:r>
          <w:hyperlink r:id="rId16" w:history="1">
            <w:r w:rsidRPr="0077759A">
              <w:rPr>
                <w:rStyle w:val="Hyperlink"/>
                <w:rFonts w:ascii="Palatino Linotype" w:eastAsia="Times New Roman" w:hAnsi="Palatino Linotype" w:cs="Times New Roman"/>
                <w:sz w:val="20"/>
                <w:szCs w:val="20"/>
              </w:rPr>
              <w:t>https://doi.org/10.47709/digitech.v4i2.5127</w:t>
            </w:r>
          </w:hyperlink>
          <w:r w:rsidRPr="0077759A">
            <w:rPr>
              <w:rFonts w:ascii="Palatino Linotype" w:eastAsia="Times New Roman" w:hAnsi="Palatino Linotype" w:cs="Times New Roman"/>
              <w:sz w:val="20"/>
              <w:szCs w:val="20"/>
            </w:rPr>
            <w:t xml:space="preserve"> </w:t>
          </w:r>
        </w:p>
        <w:p w14:paraId="70452299"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Satria, A., &amp; Sutabri, T. (2025). Pengembangan Pembelajaran Virtual Reality Berbasis Metaverse Menggunakan Metode ADDIE. </w:t>
          </w:r>
          <w:r w:rsidRPr="0077759A">
            <w:rPr>
              <w:rFonts w:ascii="Palatino Linotype" w:eastAsia="Times New Roman" w:hAnsi="Palatino Linotype" w:cs="Times New Roman"/>
              <w:i/>
              <w:iCs/>
              <w:sz w:val="20"/>
              <w:szCs w:val="20"/>
            </w:rPr>
            <w:t>Router</w:t>
          </w:r>
          <w:r w:rsidRPr="0077759A">
            <w:rPr>
              <w:rFonts w:ascii="Times New Roman" w:eastAsia="Times New Roman" w:hAnsi="Times New Roman" w:cs="Times New Roman"/>
              <w:i/>
              <w:iCs/>
              <w:sz w:val="20"/>
              <w:szCs w:val="20"/>
            </w:rPr>
            <w:t> </w:t>
          </w:r>
          <w:r w:rsidRPr="0077759A">
            <w:rPr>
              <w:rFonts w:ascii="Palatino Linotype" w:eastAsia="Times New Roman" w:hAnsi="Palatino Linotype" w:cs="Times New Roman"/>
              <w:i/>
              <w:iCs/>
              <w:sz w:val="20"/>
              <w:szCs w:val="20"/>
            </w:rPr>
            <w:t>: Jurnal Teknik Informatika Dan Terapan</w:t>
          </w:r>
          <w:r w:rsidRPr="0077759A">
            <w:rPr>
              <w:rFonts w:ascii="Palatino Linotype" w:eastAsia="Times New Roman" w:hAnsi="Palatino Linotype" w:cs="Times New Roman"/>
              <w:sz w:val="20"/>
              <w:szCs w:val="20"/>
            </w:rPr>
            <w:t xml:space="preserve">, </w:t>
          </w:r>
          <w:r w:rsidRPr="0077759A">
            <w:rPr>
              <w:rFonts w:ascii="Palatino Linotype" w:eastAsia="Times New Roman" w:hAnsi="Palatino Linotype" w:cs="Times New Roman"/>
              <w:i/>
              <w:iCs/>
              <w:sz w:val="20"/>
              <w:szCs w:val="20"/>
            </w:rPr>
            <w:t>3</w:t>
          </w:r>
          <w:r w:rsidRPr="0077759A">
            <w:rPr>
              <w:rFonts w:ascii="Palatino Linotype" w:eastAsia="Times New Roman" w:hAnsi="Palatino Linotype" w:cs="Times New Roman"/>
              <w:sz w:val="20"/>
              <w:szCs w:val="20"/>
            </w:rPr>
            <w:t xml:space="preserve">(2), 01–09. </w:t>
          </w:r>
          <w:hyperlink r:id="rId17" w:history="1">
            <w:r w:rsidRPr="0077759A">
              <w:rPr>
                <w:rStyle w:val="Hyperlink"/>
                <w:rFonts w:ascii="Palatino Linotype" w:eastAsia="Times New Roman" w:hAnsi="Palatino Linotype" w:cs="Times New Roman"/>
                <w:sz w:val="20"/>
                <w:szCs w:val="20"/>
              </w:rPr>
              <w:t>https://doi.org/10.62951/router.v3i2.409</w:t>
            </w:r>
          </w:hyperlink>
          <w:r w:rsidRPr="0077759A">
            <w:rPr>
              <w:rFonts w:ascii="Palatino Linotype" w:eastAsia="Times New Roman" w:hAnsi="Palatino Linotype" w:cs="Times New Roman"/>
              <w:sz w:val="20"/>
              <w:szCs w:val="20"/>
            </w:rPr>
            <w:t xml:space="preserve"> </w:t>
          </w:r>
        </w:p>
        <w:p w14:paraId="274D2FA9"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lastRenderedPageBreak/>
            <w:t xml:space="preserve">Sukesi, K., Brillian Pintakami, L., Wahyu Satriawan, P., &amp; Pertanian, F. (2024). Pemanfaatan Virtual Reality Sebagai Pendukung Pembelajaran Inklusif: Studi Kasus Siswa Berkebutuhan Khusus Spektrum Slow Learner. </w:t>
          </w:r>
          <w:r w:rsidRPr="0077759A">
            <w:rPr>
              <w:rFonts w:ascii="Palatino Linotype" w:eastAsia="Times New Roman" w:hAnsi="Palatino Linotype" w:cs="Times New Roman"/>
              <w:i/>
              <w:iCs/>
              <w:sz w:val="20"/>
              <w:szCs w:val="20"/>
            </w:rPr>
            <w:t>Indonesian Journal of Engagement, Community Services, Empowerment and Development</w:t>
          </w:r>
          <w:r w:rsidRPr="0077759A">
            <w:rPr>
              <w:rFonts w:ascii="Palatino Linotype" w:eastAsia="Times New Roman" w:hAnsi="Palatino Linotype" w:cs="Times New Roman"/>
              <w:sz w:val="20"/>
              <w:szCs w:val="20"/>
            </w:rPr>
            <w:t xml:space="preserve">, </w:t>
          </w:r>
          <w:r w:rsidRPr="0077759A">
            <w:rPr>
              <w:rFonts w:ascii="Palatino Linotype" w:eastAsia="Times New Roman" w:hAnsi="Palatino Linotype" w:cs="Times New Roman"/>
              <w:i/>
              <w:iCs/>
              <w:sz w:val="20"/>
              <w:szCs w:val="20"/>
            </w:rPr>
            <w:t>4</w:t>
          </w:r>
          <w:r w:rsidRPr="0077759A">
            <w:rPr>
              <w:rFonts w:ascii="Palatino Linotype" w:eastAsia="Times New Roman" w:hAnsi="Palatino Linotype" w:cs="Times New Roman"/>
              <w:sz w:val="20"/>
              <w:szCs w:val="20"/>
            </w:rPr>
            <w:t xml:space="preserve">(1). </w:t>
          </w:r>
          <w:hyperlink r:id="rId18" w:history="1">
            <w:r w:rsidRPr="0077759A">
              <w:rPr>
                <w:rStyle w:val="Hyperlink"/>
                <w:rFonts w:ascii="Palatino Linotype" w:eastAsia="Times New Roman" w:hAnsi="Palatino Linotype" w:cs="Times New Roman"/>
                <w:sz w:val="20"/>
                <w:szCs w:val="20"/>
              </w:rPr>
              <w:t>https://doi.org/10.53067/ijecsed.v4i1</w:t>
            </w:r>
          </w:hyperlink>
          <w:r w:rsidRPr="0077759A">
            <w:rPr>
              <w:rFonts w:ascii="Palatino Linotype" w:eastAsia="Times New Roman" w:hAnsi="Palatino Linotype" w:cs="Times New Roman"/>
              <w:sz w:val="20"/>
              <w:szCs w:val="20"/>
            </w:rPr>
            <w:t xml:space="preserve"> </w:t>
          </w:r>
        </w:p>
        <w:p w14:paraId="572A2568"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Sukinah, Mumpuniarti, &amp; Murdiyani, K. K. (2024). Learning Accommodation for Slow Learners in Inclusive Elementary Schools. </w:t>
          </w:r>
          <w:r w:rsidRPr="0077759A">
            <w:rPr>
              <w:rFonts w:ascii="Palatino Linotype" w:eastAsia="Times New Roman" w:hAnsi="Palatino Linotype" w:cs="Times New Roman"/>
              <w:i/>
              <w:iCs/>
              <w:sz w:val="20"/>
              <w:szCs w:val="20"/>
            </w:rPr>
            <w:t>INKLUSI</w:t>
          </w:r>
          <w:r w:rsidRPr="0077759A">
            <w:rPr>
              <w:rFonts w:ascii="Palatino Linotype" w:eastAsia="Times New Roman" w:hAnsi="Palatino Linotype" w:cs="Times New Roman"/>
              <w:sz w:val="20"/>
              <w:szCs w:val="20"/>
            </w:rPr>
            <w:t xml:space="preserve">, </w:t>
          </w:r>
          <w:r w:rsidRPr="0077759A">
            <w:rPr>
              <w:rFonts w:ascii="Palatino Linotype" w:eastAsia="Times New Roman" w:hAnsi="Palatino Linotype" w:cs="Times New Roman"/>
              <w:i/>
              <w:iCs/>
              <w:sz w:val="20"/>
              <w:szCs w:val="20"/>
            </w:rPr>
            <w:t>11</w:t>
          </w:r>
          <w:r w:rsidRPr="0077759A">
            <w:rPr>
              <w:rFonts w:ascii="Palatino Linotype" w:eastAsia="Times New Roman" w:hAnsi="Palatino Linotype" w:cs="Times New Roman"/>
              <w:sz w:val="20"/>
              <w:szCs w:val="20"/>
            </w:rPr>
            <w:t xml:space="preserve">(2), 247–266. </w:t>
          </w:r>
          <w:hyperlink r:id="rId19" w:history="1">
            <w:r w:rsidRPr="0077759A">
              <w:rPr>
                <w:rStyle w:val="Hyperlink"/>
                <w:rFonts w:ascii="Palatino Linotype" w:eastAsia="Times New Roman" w:hAnsi="Palatino Linotype" w:cs="Times New Roman"/>
                <w:sz w:val="20"/>
                <w:szCs w:val="20"/>
              </w:rPr>
              <w:t>https://doi.org/10.14421/ijds.110207</w:t>
            </w:r>
          </w:hyperlink>
          <w:r w:rsidRPr="0077759A">
            <w:rPr>
              <w:rFonts w:ascii="Palatino Linotype" w:eastAsia="Times New Roman" w:hAnsi="Palatino Linotype" w:cs="Times New Roman"/>
              <w:sz w:val="20"/>
              <w:szCs w:val="20"/>
            </w:rPr>
            <w:t xml:space="preserve"> </w:t>
          </w:r>
        </w:p>
        <w:p w14:paraId="06E9FDC5"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Wahyuningsih, B. Y., Made, N., &amp; Suranti, Y. (2023). Strategi Pembelajaran Efektif Bagi Siswa Slow Learner: Sebuah Kajian Literatur. </w:t>
          </w:r>
          <w:r w:rsidRPr="0077759A">
            <w:rPr>
              <w:rFonts w:ascii="Palatino Linotype" w:eastAsia="Times New Roman" w:hAnsi="Palatino Linotype" w:cs="Times New Roman"/>
              <w:i/>
              <w:iCs/>
              <w:sz w:val="20"/>
              <w:szCs w:val="20"/>
            </w:rPr>
            <w:t>Indonesian Journal of Elementary and Childhood Education</w:t>
          </w:r>
          <w:r w:rsidRPr="0077759A">
            <w:rPr>
              <w:rFonts w:ascii="Palatino Linotype" w:eastAsia="Times New Roman" w:hAnsi="Palatino Linotype" w:cs="Times New Roman"/>
              <w:sz w:val="20"/>
              <w:szCs w:val="20"/>
            </w:rPr>
            <w:t xml:space="preserve">, </w:t>
          </w:r>
          <w:r w:rsidRPr="0077759A">
            <w:rPr>
              <w:rFonts w:ascii="Palatino Linotype" w:eastAsia="Times New Roman" w:hAnsi="Palatino Linotype" w:cs="Times New Roman"/>
              <w:i/>
              <w:iCs/>
              <w:sz w:val="20"/>
              <w:szCs w:val="20"/>
            </w:rPr>
            <w:t>4</w:t>
          </w:r>
          <w:r w:rsidRPr="0077759A">
            <w:rPr>
              <w:rFonts w:ascii="Palatino Linotype" w:eastAsia="Times New Roman" w:hAnsi="Palatino Linotype" w:cs="Times New Roman"/>
              <w:sz w:val="20"/>
              <w:szCs w:val="20"/>
            </w:rPr>
            <w:t>.</w:t>
          </w:r>
        </w:p>
        <w:p w14:paraId="59B93320" w14:textId="77777777" w:rsidR="0077759A" w:rsidRPr="0077759A" w:rsidRDefault="0077759A" w:rsidP="0077759A">
          <w:pPr>
            <w:autoSpaceDE w:val="0"/>
            <w:autoSpaceDN w:val="0"/>
            <w:spacing w:after="0" w:line="240" w:lineRule="auto"/>
            <w:ind w:left="567" w:hanging="480"/>
            <w:jc w:val="both"/>
            <w:rPr>
              <w:rFonts w:ascii="Palatino Linotype" w:eastAsia="Times New Roman" w:hAnsi="Palatino Linotype" w:cs="Times New Roman"/>
              <w:sz w:val="20"/>
              <w:szCs w:val="20"/>
            </w:rPr>
          </w:pPr>
          <w:r w:rsidRPr="0077759A">
            <w:rPr>
              <w:rFonts w:ascii="Palatino Linotype" w:eastAsia="Times New Roman" w:hAnsi="Palatino Linotype" w:cs="Times New Roman"/>
              <w:sz w:val="20"/>
              <w:szCs w:val="20"/>
            </w:rPr>
            <w:t xml:space="preserve">Wanabuliandari, S., Wardono, Susilo, B. E., Bintoro, H. S., &amp; Mariani, S. (2025). A Systematic Literature Review on Slow Learners’ Problem-Solving in Mathematics Education. In </w:t>
          </w:r>
          <w:r w:rsidRPr="0077759A">
            <w:rPr>
              <w:rFonts w:ascii="Palatino Linotype" w:eastAsia="Times New Roman" w:hAnsi="Palatino Linotype" w:cs="Times New Roman"/>
              <w:i/>
              <w:iCs/>
              <w:sz w:val="20"/>
              <w:szCs w:val="20"/>
            </w:rPr>
            <w:t>International Journal of Learning, Teaching and Educational Research</w:t>
          </w:r>
          <w:r w:rsidRPr="0077759A">
            <w:rPr>
              <w:rFonts w:ascii="Palatino Linotype" w:eastAsia="Times New Roman" w:hAnsi="Palatino Linotype" w:cs="Times New Roman"/>
              <w:sz w:val="20"/>
              <w:szCs w:val="20"/>
            </w:rPr>
            <w:t xml:space="preserve"> (Vol. 24, Issue 3, pp. 699–724). Society for Research and Knowledge Management. </w:t>
          </w:r>
          <w:hyperlink r:id="rId20" w:history="1">
            <w:r w:rsidRPr="0077759A">
              <w:rPr>
                <w:rStyle w:val="Hyperlink"/>
                <w:rFonts w:ascii="Palatino Linotype" w:eastAsia="Times New Roman" w:hAnsi="Palatino Linotype" w:cs="Times New Roman"/>
                <w:sz w:val="20"/>
                <w:szCs w:val="20"/>
              </w:rPr>
              <w:t>https://doi.org/10.26803/ijlter.24.3.33</w:t>
            </w:r>
          </w:hyperlink>
          <w:r w:rsidRPr="0077759A">
            <w:rPr>
              <w:rFonts w:ascii="Palatino Linotype" w:eastAsia="Times New Roman" w:hAnsi="Palatino Linotype" w:cs="Times New Roman"/>
              <w:sz w:val="20"/>
              <w:szCs w:val="20"/>
            </w:rPr>
            <w:t xml:space="preserve"> </w:t>
          </w:r>
        </w:p>
        <w:p w14:paraId="30EB342F" w14:textId="77777777" w:rsidR="0077759A" w:rsidRPr="0077759A" w:rsidRDefault="0077759A" w:rsidP="0077759A">
          <w:pPr>
            <w:autoSpaceDE w:val="0"/>
            <w:autoSpaceDN w:val="0"/>
            <w:spacing w:after="0"/>
            <w:ind w:left="567" w:hanging="480"/>
            <w:jc w:val="both"/>
            <w:rPr>
              <w:rFonts w:ascii="Palatino Linotype" w:hAnsi="Palatino Linotype"/>
              <w:sz w:val="20"/>
              <w:szCs w:val="20"/>
            </w:rPr>
          </w:pPr>
          <w:r w:rsidRPr="0077759A">
            <w:rPr>
              <w:rFonts w:ascii="Palatino Linotype" w:eastAsia="Times New Roman" w:hAnsi="Palatino Linotype" w:cs="Times New Roman"/>
              <w:sz w:val="20"/>
              <w:szCs w:val="20"/>
            </w:rPr>
            <w:t xml:space="preserve">Zakiah, L., Supena, A., &amp; Wulandari, N. (2022). Parents Collaborative Approach to Handle Slow Learners in The Inclusive Elementary Schoo. </w:t>
          </w:r>
          <w:r w:rsidRPr="0077759A">
            <w:rPr>
              <w:rFonts w:ascii="Palatino Linotype" w:eastAsia="Times New Roman" w:hAnsi="Palatino Linotype" w:cs="Times New Roman"/>
              <w:i/>
              <w:iCs/>
              <w:sz w:val="20"/>
              <w:szCs w:val="20"/>
            </w:rPr>
            <w:t>Jurnal Ilmiah Sekolah Dasar</w:t>
          </w:r>
          <w:r w:rsidRPr="0077759A">
            <w:rPr>
              <w:rFonts w:ascii="Palatino Linotype" w:eastAsia="Times New Roman" w:hAnsi="Palatino Linotype" w:cs="Times New Roman"/>
              <w:sz w:val="20"/>
              <w:szCs w:val="20"/>
            </w:rPr>
            <w:t xml:space="preserve">, </w:t>
          </w:r>
          <w:r w:rsidRPr="0077759A">
            <w:rPr>
              <w:rFonts w:ascii="Palatino Linotype" w:eastAsia="Times New Roman" w:hAnsi="Palatino Linotype" w:cs="Times New Roman"/>
              <w:i/>
              <w:iCs/>
              <w:sz w:val="20"/>
              <w:szCs w:val="20"/>
            </w:rPr>
            <w:t>6</w:t>
          </w:r>
          <w:r w:rsidRPr="0077759A">
            <w:rPr>
              <w:rFonts w:ascii="Palatino Linotype" w:eastAsia="Times New Roman" w:hAnsi="Palatino Linotype" w:cs="Times New Roman"/>
              <w:sz w:val="20"/>
              <w:szCs w:val="20"/>
            </w:rPr>
            <w:t xml:space="preserve">(1), 116–124. </w:t>
          </w:r>
          <w:hyperlink r:id="rId21" w:history="1">
            <w:r w:rsidRPr="0077759A">
              <w:rPr>
                <w:rStyle w:val="Hyperlink"/>
                <w:rFonts w:ascii="Palatino Linotype" w:eastAsia="Times New Roman" w:hAnsi="Palatino Linotype" w:cs="Times New Roman"/>
                <w:sz w:val="20"/>
                <w:szCs w:val="20"/>
              </w:rPr>
              <w:t>https://doi.org/10.23887/jisd.v6i1.41429</w:t>
            </w:r>
          </w:hyperlink>
          <w:r w:rsidRPr="0077759A">
            <w:rPr>
              <w:rFonts w:ascii="Palatino Linotype" w:eastAsia="Times New Roman" w:hAnsi="Palatino Linotype" w:cs="Times New Roman"/>
              <w:sz w:val="20"/>
              <w:szCs w:val="20"/>
            </w:rPr>
            <w:t xml:space="preserve"> </w:t>
          </w:r>
        </w:p>
      </w:sdtContent>
    </w:sdt>
    <w:p w14:paraId="463640F8" w14:textId="77777777" w:rsidR="0077759A" w:rsidRDefault="0077759A" w:rsidP="002A02C2">
      <w:pPr>
        <w:pStyle w:val="Alishlah21heading1"/>
        <w:numPr>
          <w:ilvl w:val="0"/>
          <w:numId w:val="0"/>
        </w:numPr>
        <w:rPr>
          <w:rFonts w:eastAsia="Arial"/>
        </w:rPr>
      </w:pPr>
    </w:p>
    <w:p w14:paraId="202B6E9F" w14:textId="5C0E6714" w:rsidR="002B31FD" w:rsidRPr="00613D51" w:rsidRDefault="002B31FD" w:rsidP="00FB54B0">
      <w:pPr>
        <w:pStyle w:val="Alishlah71References"/>
      </w:pPr>
      <w:r>
        <w:rPr>
          <w:rFonts w:asciiTheme="minorHAnsi" w:hAnsiTheme="minorHAnsi" w:cstheme="minorBidi"/>
          <w:noProof w:val="0"/>
          <w:sz w:val="22"/>
          <w:szCs w:val="22"/>
        </w:rPr>
        <w:fldChar w:fldCharType="begin" w:fldLock="1"/>
      </w:r>
      <w:r>
        <w:instrText xml:space="preserve">ADDIN Mendeley Bibliography CSL_BIBLIOGRAPHY </w:instrText>
      </w:r>
      <w:r>
        <w:rPr>
          <w:rFonts w:asciiTheme="minorHAnsi" w:hAnsiTheme="minorHAnsi" w:cstheme="minorBidi"/>
          <w:noProof w:val="0"/>
          <w:sz w:val="22"/>
          <w:szCs w:val="22"/>
        </w:rPr>
        <w:fldChar w:fldCharType="separate"/>
      </w:r>
    </w:p>
    <w:p w14:paraId="3D3F82B5" w14:textId="77777777" w:rsidR="00143989" w:rsidRPr="00723B12" w:rsidRDefault="002B31FD" w:rsidP="002B31FD">
      <w:pPr>
        <w:pStyle w:val="Alishlah71References"/>
      </w:pPr>
      <w:r>
        <w:fldChar w:fldCharType="end"/>
      </w:r>
    </w:p>
    <w:sectPr w:rsidR="00143989" w:rsidRPr="00723B12" w:rsidSect="001914CF">
      <w:headerReference w:type="default" r:id="rId22"/>
      <w:footerReference w:type="default" r:id="rId23"/>
      <w:headerReference w:type="first" r:id="rId24"/>
      <w:footerReference w:type="first" r:id="rId25"/>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C42CC" w14:textId="77777777" w:rsidR="00F5376E" w:rsidRDefault="00F5376E" w:rsidP="008E64A2">
      <w:pPr>
        <w:spacing w:after="0" w:line="240" w:lineRule="auto"/>
      </w:pPr>
      <w:r>
        <w:separator/>
      </w:r>
    </w:p>
    <w:p w14:paraId="19AB5B03" w14:textId="77777777" w:rsidR="00F5376E" w:rsidRDefault="00F5376E"/>
  </w:endnote>
  <w:endnote w:type="continuationSeparator" w:id="0">
    <w:p w14:paraId="72D09BA1" w14:textId="77777777" w:rsidR="00F5376E" w:rsidRDefault="00F5376E" w:rsidP="008E64A2">
      <w:pPr>
        <w:spacing w:after="0" w:line="240" w:lineRule="auto"/>
      </w:pPr>
      <w:r>
        <w:continuationSeparator/>
      </w:r>
    </w:p>
    <w:p w14:paraId="47EF53BE" w14:textId="77777777" w:rsidR="00F5376E" w:rsidRDefault="00F537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F41B7" w14:textId="1D211459" w:rsidR="001C18FA" w:rsidRPr="000C1BB3" w:rsidRDefault="000C1BB3" w:rsidP="000C1BB3">
    <w:pPr>
      <w:spacing w:after="0"/>
      <w:rPr>
        <w:rFonts w:ascii="Palatino Linotype" w:eastAsia="Times New Roman" w:hAnsi="Palatino Linotype" w:cs="Times New Roman"/>
        <w:bCs/>
        <w:i/>
        <w:iCs/>
        <w:sz w:val="15"/>
        <w:szCs w:val="15"/>
      </w:rPr>
    </w:pPr>
    <w:r w:rsidRPr="000C1BB3">
      <w:rPr>
        <w:rFonts w:ascii="Palatino Linotype" w:eastAsia="Times New Roman" w:hAnsi="Palatino Linotype" w:cs="Times New Roman"/>
        <w:bCs/>
        <w:i/>
        <w:iCs/>
        <w:sz w:val="15"/>
        <w:szCs w:val="15"/>
      </w:rPr>
      <w:t>Imada Cahyani Elvirawati et al</w:t>
    </w:r>
    <w:r>
      <w:rPr>
        <w:rFonts w:ascii="Palatino Linotype" w:eastAsia="Times New Roman" w:hAnsi="Palatino Linotype" w:cs="Times New Roman"/>
        <w:bCs/>
        <w:i/>
        <w:iCs/>
        <w:sz w:val="15"/>
        <w:szCs w:val="15"/>
      </w:rPr>
      <w:t xml:space="preserve"> </w:t>
    </w:r>
    <w:r w:rsidRPr="000C1BB3">
      <w:rPr>
        <w:rFonts w:ascii="Palatino Linotype" w:eastAsia="Times New Roman" w:hAnsi="Palatino Linotype" w:cs="Times New Roman"/>
        <w:bCs/>
        <w:i/>
        <w:iCs/>
        <w:sz w:val="15"/>
        <w:szCs w:val="15"/>
      </w:rPr>
      <w:t>/ Immersive Virtual Reality-Based Development Experiential Learning On Communication Skills And Solving The Problems Of Slow Learner Students In Elementary School Inclusive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3F1C5"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20111" w14:textId="77777777" w:rsidR="00F5376E" w:rsidRDefault="00F5376E" w:rsidP="008E64A2">
      <w:pPr>
        <w:spacing w:after="0" w:line="240" w:lineRule="auto"/>
      </w:pPr>
      <w:r>
        <w:separator/>
      </w:r>
    </w:p>
    <w:p w14:paraId="391FAA84" w14:textId="77777777" w:rsidR="00F5376E" w:rsidRDefault="00F5376E"/>
  </w:footnote>
  <w:footnote w:type="continuationSeparator" w:id="0">
    <w:p w14:paraId="321E702F" w14:textId="77777777" w:rsidR="00F5376E" w:rsidRDefault="00F5376E" w:rsidP="008E64A2">
      <w:pPr>
        <w:spacing w:after="0" w:line="240" w:lineRule="auto"/>
      </w:pPr>
      <w:r>
        <w:continuationSeparator/>
      </w:r>
    </w:p>
    <w:p w14:paraId="54C285B4" w14:textId="77777777" w:rsidR="00F5376E" w:rsidRDefault="00F537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11BB7" w14:textId="77777777"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rPr>
      <mc:AlternateContent>
        <mc:Choice Requires="wps">
          <w:drawing>
            <wp:anchor distT="0" distB="0" distL="114300" distR="114300" simplePos="0" relativeHeight="251663360" behindDoc="0" locked="0" layoutInCell="1" allowOverlap="1" wp14:anchorId="0FAC10EB" wp14:editId="5711CD5A">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CE5F44"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"/>
          </w:pict>
        </mc:Fallback>
      </mc:AlternateContent>
    </w:r>
    <w:r w:rsidRPr="0048254D">
      <w:rPr>
        <w:rFonts w:ascii="Palatino Linotype" w:hAnsi="Palatino Linotype"/>
        <w:i/>
        <w:sz w:val="16"/>
      </w:rPr>
      <w:t>Al-Ishlah: Jurnal Pendidikan</w:t>
    </w:r>
    <w:r>
      <w:rPr>
        <w:rFonts w:ascii="Palatino Linotype" w:hAnsi="Palatino Linotype"/>
        <w:i/>
        <w:sz w:val="16"/>
      </w:rPr>
      <w:t>,Vol.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r w:rsidR="00727D5A">
      <w:rPr>
        <w:rFonts w:ascii="Palatino Linotype" w:hAnsi="Palatino Linotype"/>
        <w:i/>
        <w:sz w:val="16"/>
      </w:rPr>
      <w:t>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122</w:t>
    </w:r>
    <w:r>
      <w:rPr>
        <w:rFonts w:ascii="Palatino Linotype" w:hAnsi="Palatino Linotype"/>
        <w:sz w:val="16"/>
      </w:rPr>
      <w:fldChar w:fldCharType="end"/>
    </w:r>
    <w:r>
      <w:rPr>
        <w:rFonts w:ascii="Palatino Linotype" w:hAnsi="Palatino Linotype"/>
        <w:sz w:val="16"/>
      </w:rPr>
      <w:t xml:space="preserve"> of </w:t>
    </w:r>
    <w:r w:rsidR="001914CF">
      <w:rPr>
        <w:rFonts w:ascii="Palatino Linotype" w:hAnsi="Palatino Linotype"/>
        <w:sz w:val="16"/>
      </w:rPr>
      <w:t>70</w:t>
    </w:r>
  </w:p>
  <w:p w14:paraId="6940FE64" w14:textId="77777777" w:rsidR="009B5607" w:rsidRDefault="009B56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C259A" w14:textId="77777777" w:rsidR="001C18FA" w:rsidRPr="0048254D" w:rsidRDefault="001C18FA" w:rsidP="0048254D">
    <w:pPr>
      <w:pStyle w:val="Header"/>
      <w:ind w:right="45"/>
      <w:rPr>
        <w:rFonts w:ascii="Palatino Linotype" w:hAnsi="Palatino Linotype"/>
        <w:b/>
        <w:sz w:val="20"/>
      </w:rPr>
    </w:pPr>
    <w:bookmarkStart w:id="2" w:name="_Hlk97159129"/>
    <w:r w:rsidRPr="0048254D">
      <w:rPr>
        <w:rFonts w:ascii="Palatino Linotype" w:hAnsi="Palatino Linotype"/>
        <w:b/>
        <w:sz w:val="20"/>
      </w:rPr>
      <w:t>Al-Ishlah: Jurnal Pendidikan</w:t>
    </w:r>
  </w:p>
  <w:p w14:paraId="4E0B5A70" w14:textId="77777777"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sidR="001914CF">
      <w:rPr>
        <w:rFonts w:ascii="Palatino Linotype" w:eastAsia="Times New Roman" w:hAnsi="Palatino Linotype" w:cs="Times New Roman"/>
        <w:sz w:val="18"/>
        <w:szCs w:val="18"/>
        <w:lang w:val="en-US"/>
      </w:rPr>
      <w:t>61-70</w:t>
    </w:r>
  </w:p>
  <w:p w14:paraId="24995E32"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w:t>
    </w:r>
    <w:proofErr w:type="gramStart"/>
    <w:r w:rsidRPr="0048254D">
      <w:rPr>
        <w:rFonts w:ascii="Palatino Linotype" w:eastAsia="Times New Roman" w:hAnsi="Palatino Linotype" w:cs="Times New Roman"/>
        <w:sz w:val="18"/>
        <w:szCs w:val="18"/>
        <w:lang w:val="en-US"/>
      </w:rPr>
      <w:t>alishlah.v</w:t>
    </w:r>
    <w:proofErr w:type="gramEnd"/>
    <w:r w:rsidRPr="0048254D">
      <w:rPr>
        <w:rFonts w:ascii="Palatino Linotype" w:eastAsia="Times New Roman" w:hAnsi="Palatino Linotype" w:cs="Times New Roman"/>
        <w:sz w:val="18"/>
        <w:szCs w:val="18"/>
        <w:lang w:val="en-US"/>
      </w:rPr>
      <w:t>14i1.</w:t>
    </w:r>
    <w:bookmarkEnd w:id="2"/>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60FFE88F" wp14:editId="5489A13F">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02D93D"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&#13;&#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9"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6"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489948503">
    <w:abstractNumId w:val="9"/>
  </w:num>
  <w:num w:numId="2" w16cid:durableId="29769708">
    <w:abstractNumId w:val="10"/>
  </w:num>
  <w:num w:numId="3" w16cid:durableId="2067293259">
    <w:abstractNumId w:val="6"/>
  </w:num>
  <w:num w:numId="4" w16cid:durableId="254829925">
    <w:abstractNumId w:val="5"/>
  </w:num>
  <w:num w:numId="5" w16cid:durableId="1704012288">
    <w:abstractNumId w:val="13"/>
  </w:num>
  <w:num w:numId="6" w16cid:durableId="667248791">
    <w:abstractNumId w:val="16"/>
  </w:num>
  <w:num w:numId="7" w16cid:durableId="260452998">
    <w:abstractNumId w:val="1"/>
  </w:num>
  <w:num w:numId="8" w16cid:durableId="288978164">
    <w:abstractNumId w:val="15"/>
  </w:num>
  <w:num w:numId="9" w16cid:durableId="414017184">
    <w:abstractNumId w:val="8"/>
  </w:num>
  <w:num w:numId="10" w16cid:durableId="68189899">
    <w:abstractNumId w:val="14"/>
  </w:num>
  <w:num w:numId="11" w16cid:durableId="13437034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48073676">
    <w:abstractNumId w:val="17"/>
  </w:num>
  <w:num w:numId="13" w16cid:durableId="1141003864">
    <w:abstractNumId w:val="2"/>
  </w:num>
  <w:num w:numId="14" w16cid:durableId="1561163632">
    <w:abstractNumId w:val="11"/>
  </w:num>
  <w:num w:numId="15" w16cid:durableId="1307974700">
    <w:abstractNumId w:val="12"/>
  </w:num>
  <w:num w:numId="16" w16cid:durableId="1169061911">
    <w:abstractNumId w:val="0"/>
  </w:num>
  <w:num w:numId="17" w16cid:durableId="1029839101">
    <w:abstractNumId w:val="4"/>
  </w:num>
  <w:num w:numId="18" w16cid:durableId="549807896">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261613"/>
    <w:rsid w:val="000061CE"/>
    <w:rsid w:val="00031DD5"/>
    <w:rsid w:val="000333AC"/>
    <w:rsid w:val="000355EA"/>
    <w:rsid w:val="00035C67"/>
    <w:rsid w:val="00056E9C"/>
    <w:rsid w:val="000735BB"/>
    <w:rsid w:val="00075197"/>
    <w:rsid w:val="000831BD"/>
    <w:rsid w:val="000A13A3"/>
    <w:rsid w:val="000A36F0"/>
    <w:rsid w:val="000C1BB3"/>
    <w:rsid w:val="000D5EE8"/>
    <w:rsid w:val="000E2588"/>
    <w:rsid w:val="000E2C60"/>
    <w:rsid w:val="000E7A05"/>
    <w:rsid w:val="000F1812"/>
    <w:rsid w:val="000F66B9"/>
    <w:rsid w:val="00114306"/>
    <w:rsid w:val="001358C8"/>
    <w:rsid w:val="00143989"/>
    <w:rsid w:val="00144C08"/>
    <w:rsid w:val="00145F3A"/>
    <w:rsid w:val="00147524"/>
    <w:rsid w:val="00151740"/>
    <w:rsid w:val="001603B5"/>
    <w:rsid w:val="00175AF2"/>
    <w:rsid w:val="00182EA2"/>
    <w:rsid w:val="001914CF"/>
    <w:rsid w:val="001A4292"/>
    <w:rsid w:val="001A581B"/>
    <w:rsid w:val="001C1084"/>
    <w:rsid w:val="001C18FA"/>
    <w:rsid w:val="001C30E8"/>
    <w:rsid w:val="001C7B8C"/>
    <w:rsid w:val="001E0DB9"/>
    <w:rsid w:val="001E42C1"/>
    <w:rsid w:val="001F4625"/>
    <w:rsid w:val="002001C5"/>
    <w:rsid w:val="00202D95"/>
    <w:rsid w:val="0022427B"/>
    <w:rsid w:val="002263FF"/>
    <w:rsid w:val="00226E30"/>
    <w:rsid w:val="0023514C"/>
    <w:rsid w:val="00245BDA"/>
    <w:rsid w:val="00261613"/>
    <w:rsid w:val="002659B5"/>
    <w:rsid w:val="002663A1"/>
    <w:rsid w:val="00270B5A"/>
    <w:rsid w:val="00287854"/>
    <w:rsid w:val="00290481"/>
    <w:rsid w:val="002A02C2"/>
    <w:rsid w:val="002A202B"/>
    <w:rsid w:val="002A2BCB"/>
    <w:rsid w:val="002A7ABC"/>
    <w:rsid w:val="002B31FD"/>
    <w:rsid w:val="002B59BA"/>
    <w:rsid w:val="002C57D4"/>
    <w:rsid w:val="003037AA"/>
    <w:rsid w:val="00307D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87CB3"/>
    <w:rsid w:val="00392773"/>
    <w:rsid w:val="003A2E83"/>
    <w:rsid w:val="003C3B3B"/>
    <w:rsid w:val="003D061C"/>
    <w:rsid w:val="003E5BB6"/>
    <w:rsid w:val="003F3A9E"/>
    <w:rsid w:val="004258A8"/>
    <w:rsid w:val="00432323"/>
    <w:rsid w:val="004333C2"/>
    <w:rsid w:val="00434F97"/>
    <w:rsid w:val="00435996"/>
    <w:rsid w:val="00444B72"/>
    <w:rsid w:val="004521BE"/>
    <w:rsid w:val="00457015"/>
    <w:rsid w:val="00461028"/>
    <w:rsid w:val="004642B9"/>
    <w:rsid w:val="00471010"/>
    <w:rsid w:val="004728A8"/>
    <w:rsid w:val="004763B3"/>
    <w:rsid w:val="0048254D"/>
    <w:rsid w:val="004A39B9"/>
    <w:rsid w:val="004A4086"/>
    <w:rsid w:val="004A6662"/>
    <w:rsid w:val="004C2768"/>
    <w:rsid w:val="004C2BBB"/>
    <w:rsid w:val="004C67A3"/>
    <w:rsid w:val="004C700A"/>
    <w:rsid w:val="004D00C2"/>
    <w:rsid w:val="004D0C98"/>
    <w:rsid w:val="004F29DF"/>
    <w:rsid w:val="004F6BCE"/>
    <w:rsid w:val="005041B5"/>
    <w:rsid w:val="0050557B"/>
    <w:rsid w:val="005145F9"/>
    <w:rsid w:val="00526694"/>
    <w:rsid w:val="005340DA"/>
    <w:rsid w:val="0055125A"/>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5F3DB9"/>
    <w:rsid w:val="0061136D"/>
    <w:rsid w:val="00617741"/>
    <w:rsid w:val="00626D7A"/>
    <w:rsid w:val="00630559"/>
    <w:rsid w:val="006405DC"/>
    <w:rsid w:val="00642A67"/>
    <w:rsid w:val="00655540"/>
    <w:rsid w:val="006659EC"/>
    <w:rsid w:val="00674F13"/>
    <w:rsid w:val="00675572"/>
    <w:rsid w:val="00675603"/>
    <w:rsid w:val="006802BF"/>
    <w:rsid w:val="00684266"/>
    <w:rsid w:val="00686344"/>
    <w:rsid w:val="006875E7"/>
    <w:rsid w:val="00690C1D"/>
    <w:rsid w:val="0069239F"/>
    <w:rsid w:val="006A6719"/>
    <w:rsid w:val="006B3B48"/>
    <w:rsid w:val="006B5DB7"/>
    <w:rsid w:val="006C79FB"/>
    <w:rsid w:val="006D0B77"/>
    <w:rsid w:val="006E711A"/>
    <w:rsid w:val="006F160B"/>
    <w:rsid w:val="00701A0F"/>
    <w:rsid w:val="00701D40"/>
    <w:rsid w:val="00702C4C"/>
    <w:rsid w:val="0071335B"/>
    <w:rsid w:val="00716FCB"/>
    <w:rsid w:val="00717FE7"/>
    <w:rsid w:val="00721B39"/>
    <w:rsid w:val="00723972"/>
    <w:rsid w:val="00727D5A"/>
    <w:rsid w:val="0073613A"/>
    <w:rsid w:val="0074579B"/>
    <w:rsid w:val="00750180"/>
    <w:rsid w:val="00751F6C"/>
    <w:rsid w:val="007549C7"/>
    <w:rsid w:val="00763D48"/>
    <w:rsid w:val="007653CA"/>
    <w:rsid w:val="007706D1"/>
    <w:rsid w:val="00776DFE"/>
    <w:rsid w:val="0077759A"/>
    <w:rsid w:val="00784B9B"/>
    <w:rsid w:val="00787398"/>
    <w:rsid w:val="00797901"/>
    <w:rsid w:val="007A2C38"/>
    <w:rsid w:val="007B2B7A"/>
    <w:rsid w:val="007B716C"/>
    <w:rsid w:val="007E0038"/>
    <w:rsid w:val="007E0F04"/>
    <w:rsid w:val="007E5CEF"/>
    <w:rsid w:val="007E6AA6"/>
    <w:rsid w:val="007E6E1C"/>
    <w:rsid w:val="007F0542"/>
    <w:rsid w:val="007F2733"/>
    <w:rsid w:val="00802C6D"/>
    <w:rsid w:val="008036D9"/>
    <w:rsid w:val="008477FA"/>
    <w:rsid w:val="00863036"/>
    <w:rsid w:val="00873823"/>
    <w:rsid w:val="00874DBD"/>
    <w:rsid w:val="00883EAA"/>
    <w:rsid w:val="008841DF"/>
    <w:rsid w:val="008858AA"/>
    <w:rsid w:val="00887B61"/>
    <w:rsid w:val="0089730B"/>
    <w:rsid w:val="008D0E8E"/>
    <w:rsid w:val="008D272B"/>
    <w:rsid w:val="008D6030"/>
    <w:rsid w:val="008E27C5"/>
    <w:rsid w:val="008E64A2"/>
    <w:rsid w:val="008F618A"/>
    <w:rsid w:val="00917C32"/>
    <w:rsid w:val="00921BF0"/>
    <w:rsid w:val="00922701"/>
    <w:rsid w:val="00926A4F"/>
    <w:rsid w:val="00935589"/>
    <w:rsid w:val="0093774D"/>
    <w:rsid w:val="0093781E"/>
    <w:rsid w:val="00941210"/>
    <w:rsid w:val="009466DD"/>
    <w:rsid w:val="00961E09"/>
    <w:rsid w:val="00961F83"/>
    <w:rsid w:val="009636A4"/>
    <w:rsid w:val="00964447"/>
    <w:rsid w:val="00966B3D"/>
    <w:rsid w:val="00971961"/>
    <w:rsid w:val="0098303C"/>
    <w:rsid w:val="00984D8C"/>
    <w:rsid w:val="00985BE9"/>
    <w:rsid w:val="009B07D9"/>
    <w:rsid w:val="009B5607"/>
    <w:rsid w:val="009C1B55"/>
    <w:rsid w:val="009C7544"/>
    <w:rsid w:val="009D09F2"/>
    <w:rsid w:val="009D3532"/>
    <w:rsid w:val="009E52F0"/>
    <w:rsid w:val="009F0C88"/>
    <w:rsid w:val="009F4CD2"/>
    <w:rsid w:val="009F71B3"/>
    <w:rsid w:val="00A00078"/>
    <w:rsid w:val="00A02BB2"/>
    <w:rsid w:val="00A10E86"/>
    <w:rsid w:val="00A234A4"/>
    <w:rsid w:val="00A271EF"/>
    <w:rsid w:val="00A36F58"/>
    <w:rsid w:val="00A414CC"/>
    <w:rsid w:val="00A448B5"/>
    <w:rsid w:val="00A54BE9"/>
    <w:rsid w:val="00A66748"/>
    <w:rsid w:val="00A74D69"/>
    <w:rsid w:val="00A75CB1"/>
    <w:rsid w:val="00A80097"/>
    <w:rsid w:val="00A91453"/>
    <w:rsid w:val="00A96285"/>
    <w:rsid w:val="00A9708A"/>
    <w:rsid w:val="00A97F4A"/>
    <w:rsid w:val="00AA580B"/>
    <w:rsid w:val="00AB2854"/>
    <w:rsid w:val="00AB4892"/>
    <w:rsid w:val="00AB6B7A"/>
    <w:rsid w:val="00AC475D"/>
    <w:rsid w:val="00AC5858"/>
    <w:rsid w:val="00AD26B9"/>
    <w:rsid w:val="00AD7FAB"/>
    <w:rsid w:val="00AE2A82"/>
    <w:rsid w:val="00AE7180"/>
    <w:rsid w:val="00AF2F8D"/>
    <w:rsid w:val="00AF6218"/>
    <w:rsid w:val="00B00874"/>
    <w:rsid w:val="00B029BB"/>
    <w:rsid w:val="00B03D8F"/>
    <w:rsid w:val="00B04201"/>
    <w:rsid w:val="00B134BD"/>
    <w:rsid w:val="00B147E8"/>
    <w:rsid w:val="00B1769F"/>
    <w:rsid w:val="00B232F3"/>
    <w:rsid w:val="00B23D62"/>
    <w:rsid w:val="00B30D46"/>
    <w:rsid w:val="00B35AB9"/>
    <w:rsid w:val="00B449B4"/>
    <w:rsid w:val="00B5764F"/>
    <w:rsid w:val="00B67ED6"/>
    <w:rsid w:val="00B7027E"/>
    <w:rsid w:val="00B72F3D"/>
    <w:rsid w:val="00B74337"/>
    <w:rsid w:val="00BA14D2"/>
    <w:rsid w:val="00BA707F"/>
    <w:rsid w:val="00BB6E10"/>
    <w:rsid w:val="00BC42FE"/>
    <w:rsid w:val="00BD0A28"/>
    <w:rsid w:val="00BD0ABC"/>
    <w:rsid w:val="00BE398A"/>
    <w:rsid w:val="00BF0A78"/>
    <w:rsid w:val="00BF21AD"/>
    <w:rsid w:val="00BF2297"/>
    <w:rsid w:val="00BF4139"/>
    <w:rsid w:val="00BF4472"/>
    <w:rsid w:val="00BF6007"/>
    <w:rsid w:val="00C1416D"/>
    <w:rsid w:val="00C21EFA"/>
    <w:rsid w:val="00C361A9"/>
    <w:rsid w:val="00C36799"/>
    <w:rsid w:val="00C37B1B"/>
    <w:rsid w:val="00C4224C"/>
    <w:rsid w:val="00C66ECA"/>
    <w:rsid w:val="00C721BA"/>
    <w:rsid w:val="00C8406B"/>
    <w:rsid w:val="00C94847"/>
    <w:rsid w:val="00CA3B3C"/>
    <w:rsid w:val="00CC0C2B"/>
    <w:rsid w:val="00CC3DB2"/>
    <w:rsid w:val="00CC7AF0"/>
    <w:rsid w:val="00CC7F21"/>
    <w:rsid w:val="00CD3AE9"/>
    <w:rsid w:val="00CE131B"/>
    <w:rsid w:val="00CE242C"/>
    <w:rsid w:val="00CF5425"/>
    <w:rsid w:val="00D13D39"/>
    <w:rsid w:val="00D2296B"/>
    <w:rsid w:val="00D31547"/>
    <w:rsid w:val="00D3185D"/>
    <w:rsid w:val="00D37209"/>
    <w:rsid w:val="00D51A98"/>
    <w:rsid w:val="00D74358"/>
    <w:rsid w:val="00D75604"/>
    <w:rsid w:val="00D77FAD"/>
    <w:rsid w:val="00D81206"/>
    <w:rsid w:val="00D90DB0"/>
    <w:rsid w:val="00DA0836"/>
    <w:rsid w:val="00DA2631"/>
    <w:rsid w:val="00DD295B"/>
    <w:rsid w:val="00DE2B7D"/>
    <w:rsid w:val="00DF215F"/>
    <w:rsid w:val="00E00922"/>
    <w:rsid w:val="00E05855"/>
    <w:rsid w:val="00E1438C"/>
    <w:rsid w:val="00E22B8E"/>
    <w:rsid w:val="00E45249"/>
    <w:rsid w:val="00E517C5"/>
    <w:rsid w:val="00E56B59"/>
    <w:rsid w:val="00E85AC8"/>
    <w:rsid w:val="00EA7D37"/>
    <w:rsid w:val="00EE35A7"/>
    <w:rsid w:val="00EF47B8"/>
    <w:rsid w:val="00F03710"/>
    <w:rsid w:val="00F05579"/>
    <w:rsid w:val="00F15294"/>
    <w:rsid w:val="00F30CBA"/>
    <w:rsid w:val="00F30EA6"/>
    <w:rsid w:val="00F36C4F"/>
    <w:rsid w:val="00F40982"/>
    <w:rsid w:val="00F508AD"/>
    <w:rsid w:val="00F5376E"/>
    <w:rsid w:val="00F67706"/>
    <w:rsid w:val="00F6777E"/>
    <w:rsid w:val="00F8776C"/>
    <w:rsid w:val="00F941E4"/>
    <w:rsid w:val="00FA3411"/>
    <w:rsid w:val="00FA43FF"/>
    <w:rsid w:val="00FA57C1"/>
    <w:rsid w:val="00FB54B0"/>
    <w:rsid w:val="00FC00CE"/>
    <w:rsid w:val="00FD3643"/>
    <w:rsid w:val="00FD612C"/>
    <w:rsid w:val="00FE1BD7"/>
    <w:rsid w:val="00FE2A5A"/>
    <w:rsid w:val="00FE2F54"/>
    <w:rsid w:val="00FE4EBE"/>
    <w:rsid w:val="00FE5014"/>
    <w:rsid w:val="00FE6068"/>
    <w:rsid w:val="00FF03FB"/>
    <w:rsid w:val="00FF2D21"/>
    <w:rsid w:val="00FF5AAA"/>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AF500"/>
  <w15:chartTrackingRefBased/>
  <w15:docId w15:val="{A3CB24ED-9A27-724D-A493-91CA368BF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Judul2">
    <w:name w:val="heading 2"/>
    <w:basedOn w:val="Normal"/>
    <w:next w:val="Normal"/>
    <w:link w:val="Judul2K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Judul3">
    <w:name w:val="heading 3"/>
    <w:basedOn w:val="Normal"/>
    <w:next w:val="Normal"/>
    <w:link w:val="Judul3K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Judul4">
    <w:name w:val="heading 4"/>
    <w:basedOn w:val="Normal"/>
    <w:next w:val="Normal"/>
    <w:link w:val="Judul4KAR"/>
    <w:uiPriority w:val="9"/>
    <w:unhideWhenUsed/>
    <w:qFormat/>
    <w:rsid w:val="001E0DB9"/>
    <w:pPr>
      <w:keepNext/>
      <w:keepLines/>
      <w:spacing w:before="280" w:after="80" w:line="276" w:lineRule="auto"/>
      <w:outlineLvl w:val="3"/>
    </w:pPr>
    <w:rPr>
      <w:rFonts w:ascii="Arial" w:eastAsia="Arial" w:hAnsi="Arial" w:cs="Arial"/>
      <w:color w:val="666666"/>
      <w:sz w:val="24"/>
      <w:szCs w:val="24"/>
      <w:lang w:val="en" w:eastAsia="id-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KAR"/>
    <w:uiPriority w:val="99"/>
    <w:unhideWhenUsed/>
    <w:qFormat/>
    <w:rsid w:val="008E64A2"/>
    <w:pPr>
      <w:tabs>
        <w:tab w:val="center" w:pos="4513"/>
        <w:tab w:val="right" w:pos="9026"/>
      </w:tabs>
      <w:spacing w:after="0" w:line="240" w:lineRule="auto"/>
    </w:pPr>
  </w:style>
  <w:style w:type="character" w:customStyle="1" w:styleId="HeaderKAR">
    <w:name w:val="Header KAR"/>
    <w:basedOn w:val="FontParagrafDefault"/>
    <w:link w:val="Header"/>
    <w:uiPriority w:val="99"/>
    <w:qFormat/>
    <w:rsid w:val="008E64A2"/>
  </w:style>
  <w:style w:type="paragraph" w:styleId="Footer">
    <w:name w:val="footer"/>
    <w:basedOn w:val="Normal"/>
    <w:link w:val="FooterKAR"/>
    <w:uiPriority w:val="99"/>
    <w:unhideWhenUsed/>
    <w:qFormat/>
    <w:rsid w:val="008E64A2"/>
    <w:pPr>
      <w:tabs>
        <w:tab w:val="center" w:pos="4513"/>
        <w:tab w:val="right" w:pos="9026"/>
      </w:tabs>
      <w:spacing w:after="0" w:line="240" w:lineRule="auto"/>
    </w:pPr>
  </w:style>
  <w:style w:type="character" w:customStyle="1" w:styleId="FooterKAR">
    <w:name w:val="Footer KAR"/>
    <w:basedOn w:val="FontParagrafDefault"/>
    <w:link w:val="Footer"/>
    <w:uiPriority w:val="99"/>
    <w:qFormat/>
    <w:rsid w:val="008E64A2"/>
  </w:style>
  <w:style w:type="paragraph" w:styleId="TeksCatatanKaki">
    <w:name w:val="footnote text"/>
    <w:aliases w:val="Char"/>
    <w:basedOn w:val="Normal"/>
    <w:link w:val="TeksCatatanKakiKAR"/>
    <w:uiPriority w:val="99"/>
    <w:unhideWhenUsed/>
    <w:qFormat/>
    <w:rsid w:val="00056E9C"/>
    <w:pPr>
      <w:spacing w:after="0" w:line="240" w:lineRule="auto"/>
    </w:pPr>
    <w:rPr>
      <w:sz w:val="20"/>
      <w:szCs w:val="20"/>
    </w:rPr>
  </w:style>
  <w:style w:type="character" w:customStyle="1" w:styleId="TeksCatatanKakiKAR">
    <w:name w:val="Teks Catatan Kaki KAR"/>
    <w:aliases w:val="Char KAR"/>
    <w:basedOn w:val="FontParagrafDefault"/>
    <w:link w:val="TeksCatatanKaki"/>
    <w:uiPriority w:val="99"/>
    <w:qFormat/>
    <w:rsid w:val="00056E9C"/>
    <w:rPr>
      <w:sz w:val="20"/>
      <w:szCs w:val="20"/>
    </w:rPr>
  </w:style>
  <w:style w:type="character" w:styleId="ReferensiCatatanKaki">
    <w:name w:val="footnote reference"/>
    <w:basedOn w:val="FontParagrafDefault"/>
    <w:uiPriority w:val="99"/>
    <w:unhideWhenUsed/>
    <w:qFormat/>
    <w:rsid w:val="00056E9C"/>
    <w:rPr>
      <w:vertAlign w:val="superscript"/>
    </w:rPr>
  </w:style>
  <w:style w:type="character" w:customStyle="1" w:styleId="UnresolvedMention1">
    <w:name w:val="Unresolved Mention1"/>
    <w:basedOn w:val="FontParagrafDefault"/>
    <w:uiPriority w:val="99"/>
    <w:semiHidden/>
    <w:unhideWhenUsed/>
    <w:qFormat/>
    <w:rsid w:val="00BF0A78"/>
    <w:rPr>
      <w:color w:val="605E5C"/>
      <w:shd w:val="clear" w:color="auto" w:fill="E1DFDD"/>
    </w:rPr>
  </w:style>
  <w:style w:type="character" w:customStyle="1" w:styleId="Judul1KAR">
    <w:name w:val="Judul 1 KAR"/>
    <w:basedOn w:val="FontParagrafDefault"/>
    <w:link w:val="Judul1"/>
    <w:qFormat/>
    <w:rsid w:val="008858AA"/>
    <w:rPr>
      <w:rFonts w:ascii="Times New Roman" w:eastAsia="Times New Roman" w:hAnsi="Times New Roman" w:cs="Arial"/>
      <w:b/>
      <w:bCs/>
      <w:kern w:val="32"/>
      <w:sz w:val="24"/>
      <w:szCs w:val="32"/>
      <w:lang w:val="en-GB" w:eastAsia="en-GB"/>
    </w:rPr>
  </w:style>
  <w:style w:type="character" w:customStyle="1" w:styleId="Judul2KAR">
    <w:name w:val="Judul 2 KAR"/>
    <w:basedOn w:val="FontParagrafDefault"/>
    <w:link w:val="Judul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Judul3KAR">
    <w:name w:val="Judul 3 KAR"/>
    <w:basedOn w:val="FontParagrafDefault"/>
    <w:link w:val="Judul3"/>
    <w:uiPriority w:val="9"/>
    <w:qFormat/>
    <w:rsid w:val="008858AA"/>
    <w:rPr>
      <w:rFonts w:asciiTheme="majorHAnsi" w:eastAsiaTheme="majorEastAsia" w:hAnsiTheme="majorHAnsi" w:cstheme="majorBidi"/>
      <w:color w:val="1F3763" w:themeColor="accent1" w:themeShade="7F"/>
      <w:sz w:val="24"/>
      <w:szCs w:val="24"/>
    </w:rPr>
  </w:style>
  <w:style w:type="character" w:styleId="Kuat">
    <w:name w:val="Strong"/>
    <w:basedOn w:val="FontParagrafDefaul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DaftarParagraf">
    <w:name w:val="List Paragraph"/>
    <w:aliases w:val="Body of text"/>
    <w:basedOn w:val="Normal"/>
    <w:link w:val="DaftarParagrafKAR"/>
    <w:uiPriority w:val="34"/>
    <w:qFormat/>
    <w:rsid w:val="00966B3D"/>
    <w:pPr>
      <w:spacing w:after="200" w:line="276" w:lineRule="auto"/>
      <w:ind w:left="720"/>
      <w:contextualSpacing/>
    </w:pPr>
    <w:rPr>
      <w:rFonts w:eastAsiaTheme="minorEastAsia" w:cs="Arial"/>
      <w:lang w:val="id-ID"/>
    </w:rPr>
  </w:style>
  <w:style w:type="character" w:styleId="ReferensiKomentar">
    <w:name w:val="annotation reference"/>
    <w:basedOn w:val="FontParagrafDefault"/>
    <w:uiPriority w:val="99"/>
    <w:semiHidden/>
    <w:unhideWhenUsed/>
    <w:qFormat/>
    <w:rsid w:val="00366DA9"/>
    <w:rPr>
      <w:sz w:val="16"/>
      <w:szCs w:val="16"/>
    </w:rPr>
  </w:style>
  <w:style w:type="paragraph" w:styleId="TeksKomentar">
    <w:name w:val="annotation text"/>
    <w:basedOn w:val="Normal"/>
    <w:link w:val="TeksKomentarKAR"/>
    <w:uiPriority w:val="99"/>
    <w:semiHidden/>
    <w:unhideWhenUsed/>
    <w:qFormat/>
    <w:rsid w:val="00366DA9"/>
    <w:pPr>
      <w:spacing w:line="240" w:lineRule="auto"/>
    </w:pPr>
    <w:rPr>
      <w:sz w:val="20"/>
      <w:szCs w:val="20"/>
    </w:rPr>
  </w:style>
  <w:style w:type="character" w:customStyle="1" w:styleId="TeksKomentarKAR">
    <w:name w:val="Teks Komentar KAR"/>
    <w:basedOn w:val="FontParagrafDefault"/>
    <w:link w:val="TeksKomentar"/>
    <w:uiPriority w:val="99"/>
    <w:semiHidden/>
    <w:qFormat/>
    <w:rsid w:val="00366DA9"/>
    <w:rPr>
      <w:sz w:val="20"/>
      <w:szCs w:val="20"/>
    </w:rPr>
  </w:style>
  <w:style w:type="paragraph" w:styleId="SubjekKomentar">
    <w:name w:val="annotation subject"/>
    <w:basedOn w:val="TeksKomentar"/>
    <w:next w:val="TeksKomentar"/>
    <w:link w:val="SubjekKomentarKAR"/>
    <w:uiPriority w:val="99"/>
    <w:semiHidden/>
    <w:unhideWhenUsed/>
    <w:qFormat/>
    <w:rsid w:val="00366DA9"/>
    <w:rPr>
      <w:b/>
      <w:bCs/>
    </w:rPr>
  </w:style>
  <w:style w:type="character" w:customStyle="1" w:styleId="SubjekKomentarKAR">
    <w:name w:val="Subjek Komentar KAR"/>
    <w:basedOn w:val="TeksKomentarKAR"/>
    <w:link w:val="SubjekKomentar"/>
    <w:uiPriority w:val="99"/>
    <w:semiHidden/>
    <w:qFormat/>
    <w:rsid w:val="00366DA9"/>
    <w:rPr>
      <w:b/>
      <w:bCs/>
      <w:sz w:val="20"/>
      <w:szCs w:val="20"/>
    </w:rPr>
  </w:style>
  <w:style w:type="paragraph" w:styleId="TeksBalon">
    <w:name w:val="Balloon Text"/>
    <w:basedOn w:val="Normal"/>
    <w:link w:val="TeksBalonKAR"/>
    <w:uiPriority w:val="99"/>
    <w:semiHidden/>
    <w:unhideWhenUsed/>
    <w:qFormat/>
    <w:rsid w:val="00366DA9"/>
    <w:pPr>
      <w:spacing w:after="0" w:line="240" w:lineRule="auto"/>
    </w:pPr>
    <w:rPr>
      <w:rFonts w:ascii="Segoe UI" w:hAnsi="Segoe UI" w:cs="Segoe UI"/>
      <w:sz w:val="18"/>
      <w:szCs w:val="18"/>
    </w:rPr>
  </w:style>
  <w:style w:type="character" w:customStyle="1" w:styleId="TeksBalonKAR">
    <w:name w:val="Teks Balon KAR"/>
    <w:basedOn w:val="FontParagrafDefault"/>
    <w:link w:val="TeksBalon"/>
    <w:uiPriority w:val="99"/>
    <w:semiHidden/>
    <w:qFormat/>
    <w:rsid w:val="00366DA9"/>
    <w:rPr>
      <w:rFonts w:ascii="Segoe UI" w:hAnsi="Segoe UI" w:cs="Segoe UI"/>
      <w:sz w:val="18"/>
      <w:szCs w:val="18"/>
    </w:rPr>
  </w:style>
  <w:style w:type="character" w:customStyle="1" w:styleId="tlid-translation">
    <w:name w:val="tlid-translation"/>
    <w:basedOn w:val="FontParagrafDefault"/>
    <w:rsid w:val="007E0F04"/>
  </w:style>
  <w:style w:type="table" w:styleId="TabelBiasa2">
    <w:name w:val="Plain Table 2"/>
    <w:basedOn w:val="Tabel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Keteranga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FontParagrafDefault"/>
    <w:uiPriority w:val="99"/>
    <w:semiHidden/>
    <w:unhideWhenUsed/>
    <w:rsid w:val="005C4902"/>
    <w:rPr>
      <w:color w:val="605E5C"/>
      <w:shd w:val="clear" w:color="auto" w:fill="E1DFDD"/>
    </w:rPr>
  </w:style>
  <w:style w:type="character" w:customStyle="1" w:styleId="UnresolvedMention3">
    <w:name w:val="Unresolved Mention3"/>
    <w:basedOn w:val="FontParagrafDefaul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TeksIsi">
    <w:name w:val="Body Text"/>
    <w:basedOn w:val="Normal"/>
    <w:link w:val="TeksIsiK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TeksIsiKAR">
    <w:name w:val="Teks Isi KAR"/>
    <w:basedOn w:val="FontParagrafDefault"/>
    <w:link w:val="TeksIsi"/>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FontParagrafDefault"/>
    <w:rsid w:val="0061136D"/>
  </w:style>
  <w:style w:type="character" w:customStyle="1" w:styleId="kw">
    <w:name w:val="kw"/>
    <w:basedOn w:val="FontParagrafDefault"/>
    <w:rsid w:val="0061136D"/>
  </w:style>
  <w:style w:type="character" w:customStyle="1" w:styleId="rc">
    <w:name w:val="rc"/>
    <w:basedOn w:val="FontParagrafDefault"/>
    <w:rsid w:val="0061136D"/>
  </w:style>
  <w:style w:type="character" w:customStyle="1" w:styleId="st">
    <w:name w:val="st"/>
    <w:basedOn w:val="FontParagrafDefault"/>
    <w:rsid w:val="0061136D"/>
  </w:style>
  <w:style w:type="character" w:styleId="SebutanYangBelumTerselesaikan">
    <w:name w:val="Unresolved Mention"/>
    <w:basedOn w:val="FontParagrafDefault"/>
    <w:uiPriority w:val="99"/>
    <w:semiHidden/>
    <w:unhideWhenUsed/>
    <w:rsid w:val="00887B61"/>
    <w:rPr>
      <w:color w:val="605E5C"/>
      <w:shd w:val="clear" w:color="auto" w:fill="E1DFDD"/>
    </w:rPr>
  </w:style>
  <w:style w:type="table" w:styleId="KisiTabel">
    <w:name w:val="Table Grid"/>
    <w:basedOn w:val="TabelNormal"/>
    <w:uiPriority w:val="5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nTeksIsi3">
    <w:name w:val="Body Text Indent 3"/>
    <w:basedOn w:val="Normal"/>
    <w:link w:val="IndenTeksIsi3KAR"/>
    <w:uiPriority w:val="99"/>
    <w:semiHidden/>
    <w:unhideWhenUsed/>
    <w:rsid w:val="0048254D"/>
    <w:pPr>
      <w:spacing w:after="120"/>
      <w:ind w:left="283"/>
    </w:pPr>
    <w:rPr>
      <w:sz w:val="16"/>
      <w:szCs w:val="16"/>
    </w:rPr>
  </w:style>
  <w:style w:type="character" w:customStyle="1" w:styleId="IndenTeksIsi3KAR">
    <w:name w:val="Inden Teks Isi 3 KAR"/>
    <w:basedOn w:val="FontParagrafDefault"/>
    <w:link w:val="IndenTeksIsi3"/>
    <w:uiPriority w:val="99"/>
    <w:semiHidden/>
    <w:rsid w:val="0048254D"/>
    <w:rPr>
      <w:sz w:val="16"/>
      <w:szCs w:val="16"/>
    </w:rPr>
  </w:style>
  <w:style w:type="character" w:customStyle="1" w:styleId="DaftarParagrafKAR">
    <w:name w:val="Daftar Paragraf KAR"/>
    <w:aliases w:val="Body of text KAR"/>
    <w:basedOn w:val="FontParagrafDefault"/>
    <w:link w:val="DaftarParagraf"/>
    <w:uiPriority w:val="34"/>
    <w:locked/>
    <w:rsid w:val="00C37B1B"/>
    <w:rPr>
      <w:rFonts w:eastAsiaTheme="minorEastAsia" w:cs="Arial"/>
      <w:lang w:val="id-ID"/>
    </w:rPr>
  </w:style>
  <w:style w:type="paragraph" w:styleId="TidakAdaSpasi">
    <w:name w:val="No Spacing"/>
    <w:link w:val="TidakAdaSpasiKAR"/>
    <w:uiPriority w:val="1"/>
    <w:qFormat/>
    <w:rsid w:val="00C37B1B"/>
    <w:pPr>
      <w:spacing w:after="0" w:line="240" w:lineRule="auto"/>
    </w:pPr>
    <w:rPr>
      <w:rFonts w:eastAsiaTheme="minorEastAsia"/>
      <w:lang w:val="id-ID" w:eastAsia="id-ID"/>
    </w:rPr>
  </w:style>
  <w:style w:type="paragraph" w:styleId="HTMLSudahDiformat">
    <w:name w:val="HTML Preformatted"/>
    <w:basedOn w:val="Normal"/>
    <w:link w:val="HTMLSudahDiformatK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SudahDiformatKAR">
    <w:name w:val="HTML Sudah Diformat KAR"/>
    <w:basedOn w:val="FontParagrafDefault"/>
    <w:link w:val="HTMLSudahDiformat"/>
    <w:uiPriority w:val="99"/>
    <w:rsid w:val="00C37B1B"/>
    <w:rPr>
      <w:rFonts w:ascii="Courier New" w:eastAsia="Times New Roman" w:hAnsi="Courier New" w:cs="Courier New"/>
      <w:sz w:val="20"/>
      <w:szCs w:val="20"/>
      <w:lang w:val="en-US"/>
    </w:rPr>
  </w:style>
  <w:style w:type="table" w:styleId="TabelBiasa4">
    <w:name w:val="Plain Table 4"/>
    <w:basedOn w:val="Tabel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elNormal"/>
    <w:next w:val="KisiTabel"/>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dakAdaSpasiKAR">
    <w:name w:val="Tidak Ada Spasi KAR"/>
    <w:link w:val="TidakAdaSpasi"/>
    <w:uiPriority w:val="1"/>
    <w:locked/>
    <w:rsid w:val="00B7027E"/>
    <w:rPr>
      <w:rFonts w:eastAsiaTheme="minorEastAsia"/>
      <w:lang w:val="id-ID" w:eastAsia="id-ID"/>
    </w:rPr>
  </w:style>
  <w:style w:type="paragraph" w:customStyle="1" w:styleId="Alishlah24HEading4">
    <w:name w:val="Alishlah_2.4 HEading4"/>
    <w:basedOn w:val="Judul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Judul3KAR"/>
    <w:link w:val="Alishlah24HEading4"/>
    <w:rsid w:val="002B31FD"/>
    <w:rPr>
      <w:rFonts w:ascii="Palatino Linotype" w:eastAsiaTheme="majorEastAsia" w:hAnsi="Palatino Linotype" w:cs="Times New Roman"/>
      <w:i/>
      <w:color w:val="1F3763" w:themeColor="accent1" w:themeShade="7F"/>
      <w:sz w:val="20"/>
      <w:szCs w:val="20"/>
    </w:rPr>
  </w:style>
  <w:style w:type="character" w:customStyle="1" w:styleId="Judul4KAR">
    <w:name w:val="Judul 4 KAR"/>
    <w:basedOn w:val="FontParagrafDefault"/>
    <w:link w:val="Judul4"/>
    <w:uiPriority w:val="9"/>
    <w:rsid w:val="001E0DB9"/>
    <w:rPr>
      <w:rFonts w:ascii="Arial" w:eastAsia="Arial" w:hAnsi="Arial" w:cs="Arial"/>
      <w:color w:val="666666"/>
      <w:sz w:val="24"/>
      <w:szCs w:val="24"/>
      <w:lang w:val="en"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hyperlink" Target="https://doi.org/10.31004/basicedu.v7i4.5895" TargetMode="External"/><Relationship Id="rId18" Type="http://schemas.openxmlformats.org/officeDocument/2006/relationships/hyperlink" Target="https://doi.org/10.53067/ijecsed.v4i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23887/jisd.v6i1.41429" TargetMode="External"/><Relationship Id="rId7" Type="http://schemas.openxmlformats.org/officeDocument/2006/relationships/endnotes" Target="endnotes.xml"/><Relationship Id="rId12" Type="http://schemas.openxmlformats.org/officeDocument/2006/relationships/hyperlink" Target="https://doi.org/10.30651/aks.v7i4.18315" TargetMode="External"/><Relationship Id="rId17" Type="http://schemas.openxmlformats.org/officeDocument/2006/relationships/hyperlink" Target="https://doi.org/10.62951/router.v3i2.409"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i.org/10.47709/digitech.v4i2.5127" TargetMode="External"/><Relationship Id="rId20" Type="http://schemas.openxmlformats.org/officeDocument/2006/relationships/hyperlink" Target="https://doi.org/10.26803/ijlter.24.3.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9638/jee.v3i2.372"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oi.org/10.33394/jp.v12i1.13692"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doi.org/10.20961/jdc.v9i1.99167" TargetMode="External"/><Relationship Id="rId19" Type="http://schemas.openxmlformats.org/officeDocument/2006/relationships/hyperlink" Target="https://doi.org/10.14421/ijds.110207"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21831/cp.v39i1.28807"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ezarachmadtullah/Downloads/Template-202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41FD2BAEF7B64D8EF63690DFEBCBDD"/>
        <w:category>
          <w:name w:val="Umum"/>
          <w:gallery w:val="placeholder"/>
        </w:category>
        <w:types>
          <w:type w:val="bbPlcHdr"/>
        </w:types>
        <w:behaviors>
          <w:behavior w:val="content"/>
        </w:behaviors>
        <w:guid w:val="{70A7E9E9-C510-734E-B5BE-9C4CFA942689}"/>
      </w:docPartPr>
      <w:docPartBody>
        <w:p w:rsidR="00000000" w:rsidRDefault="00172096" w:rsidP="00172096">
          <w:pPr>
            <w:pStyle w:val="3C41FD2BAEF7B64D8EF63690DFEBCBDD"/>
          </w:pPr>
          <w:r w:rsidRPr="00163F9A">
            <w:rPr>
              <w:rStyle w:val="Tempatpenampungtek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096"/>
    <w:rsid w:val="00172096"/>
    <w:rsid w:val="00B134BD"/>
    <w:rsid w:val="00C74A4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172096"/>
    <w:rPr>
      <w:color w:val="808080"/>
    </w:rPr>
  </w:style>
  <w:style w:type="paragraph" w:customStyle="1" w:styleId="3C41FD2BAEF7B64D8EF63690DFEBCBDD">
    <w:name w:val="3C41FD2BAEF7B64D8EF63690DFEBCBDD"/>
    <w:rsid w:val="001720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9790D-0500-48E9-B5AC-43EFB0F3F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Template-2022.dotx</Template>
  <TotalTime>40</TotalTime>
  <Pages>10</Pages>
  <Words>5548</Words>
  <Characters>31625</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rezarachmadtullah</dc:creator>
  <cp:keywords/>
  <dc:description/>
  <cp:lastModifiedBy>rezarachmadtullah</cp:lastModifiedBy>
  <cp:revision>1</cp:revision>
  <cp:lastPrinted>2022-03-12T14:54:00Z</cp:lastPrinted>
  <dcterms:created xsi:type="dcterms:W3CDTF">2025-10-24T07:12:00Z</dcterms:created>
  <dcterms:modified xsi:type="dcterms:W3CDTF">2025-10-24T08:17:00Z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