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1F626" w14:textId="0827EA5B" w:rsidR="00F9747B" w:rsidRPr="00F9747B" w:rsidRDefault="00F9747B" w:rsidP="00F9747B">
      <w:pPr>
        <w:pStyle w:val="Alishlah12title"/>
        <w:rPr>
          <w:bCs/>
          <w:lang w:val="en-US"/>
        </w:rPr>
      </w:pPr>
      <w:r w:rsidRPr="00F9747B">
        <w:rPr>
          <w:bCs/>
          <w:lang w:val="en-US"/>
        </w:rPr>
        <w:t xml:space="preserve">The Influence of Applying Local Wisdom Values of the </w:t>
      </w:r>
      <w:proofErr w:type="spellStart"/>
      <w:r w:rsidRPr="00F9747B">
        <w:rPr>
          <w:bCs/>
          <w:lang w:val="en-US"/>
        </w:rPr>
        <w:t>Tepuk</w:t>
      </w:r>
      <w:proofErr w:type="spellEnd"/>
      <w:r w:rsidRPr="00F9747B">
        <w:rPr>
          <w:bCs/>
          <w:lang w:val="en-US"/>
        </w:rPr>
        <w:t xml:space="preserve"> </w:t>
      </w:r>
      <w:proofErr w:type="spellStart"/>
      <w:r w:rsidRPr="00F9747B">
        <w:rPr>
          <w:bCs/>
          <w:lang w:val="en-US"/>
        </w:rPr>
        <w:t>Tepung</w:t>
      </w:r>
      <w:proofErr w:type="spellEnd"/>
      <w:r w:rsidRPr="00F9747B">
        <w:rPr>
          <w:bCs/>
          <w:lang w:val="en-US"/>
        </w:rPr>
        <w:t xml:space="preserve"> </w:t>
      </w:r>
      <w:proofErr w:type="spellStart"/>
      <w:r w:rsidRPr="00F9747B">
        <w:rPr>
          <w:bCs/>
          <w:lang w:val="en-US"/>
        </w:rPr>
        <w:t>Tawar</w:t>
      </w:r>
      <w:proofErr w:type="spellEnd"/>
      <w:r w:rsidRPr="00F9747B">
        <w:rPr>
          <w:bCs/>
          <w:lang w:val="en-US"/>
        </w:rPr>
        <w:t xml:space="preserve"> Tradition on Improving Student Character in History Learning</w:t>
      </w:r>
    </w:p>
    <w:p w14:paraId="558623CD" w14:textId="517CFEBC" w:rsidR="00BE398A" w:rsidRPr="00443C4D" w:rsidRDefault="0084178E" w:rsidP="002C57D4">
      <w:pPr>
        <w:pStyle w:val="Alishlah13authornames"/>
        <w:rPr>
          <w:vertAlign w:val="superscript"/>
        </w:rPr>
      </w:pPr>
      <w:proofErr w:type="spellStart"/>
      <w:r>
        <w:t>Yulia</w:t>
      </w:r>
      <w:proofErr w:type="spellEnd"/>
      <w:r>
        <w:t xml:space="preserve"> Herdin</w:t>
      </w:r>
      <w:r w:rsidR="007E6AA6" w:rsidRPr="00443C4D">
        <w:rPr>
          <w:vertAlign w:val="superscript"/>
        </w:rPr>
        <w:t>1</w:t>
      </w:r>
      <w:r w:rsidR="007E6AA6" w:rsidRPr="00443C4D">
        <w:t xml:space="preserve">, </w:t>
      </w:r>
      <w:r w:rsidR="002B31FD" w:rsidRPr="00443C4D">
        <w:t>First name Last name</w:t>
      </w:r>
      <w:r w:rsidR="007E6AA6" w:rsidRPr="00443C4D">
        <w:rPr>
          <w:vertAlign w:val="superscript"/>
        </w:rPr>
        <w:t>2</w:t>
      </w:r>
    </w:p>
    <w:p w14:paraId="16186051" w14:textId="2DC50FB8" w:rsidR="008E64A2" w:rsidRPr="00443C4D" w:rsidRDefault="00BE398A" w:rsidP="0084178E">
      <w:pPr>
        <w:pStyle w:val="Alishlah16affiliation"/>
        <w:rPr>
          <w:color w:val="auto"/>
        </w:rPr>
      </w:pPr>
      <w:r w:rsidRPr="00443C4D">
        <w:rPr>
          <w:color w:val="auto"/>
          <w:vertAlign w:val="superscript"/>
        </w:rPr>
        <w:t>1</w:t>
      </w:r>
      <w:r w:rsidRPr="00443C4D">
        <w:rPr>
          <w:color w:val="auto"/>
        </w:rPr>
        <w:tab/>
      </w:r>
      <w:proofErr w:type="spellStart"/>
      <w:r w:rsidR="0084178E">
        <w:rPr>
          <w:color w:val="auto"/>
        </w:rPr>
        <w:t>Universitas</w:t>
      </w:r>
      <w:proofErr w:type="spellEnd"/>
      <w:r w:rsidR="0084178E">
        <w:rPr>
          <w:color w:val="auto"/>
        </w:rPr>
        <w:t xml:space="preserve"> </w:t>
      </w:r>
      <w:proofErr w:type="spellStart"/>
      <w:r w:rsidR="0084178E">
        <w:rPr>
          <w:color w:val="auto"/>
        </w:rPr>
        <w:t>Negeri</w:t>
      </w:r>
      <w:proofErr w:type="spellEnd"/>
      <w:r w:rsidR="0084178E">
        <w:rPr>
          <w:color w:val="auto"/>
        </w:rPr>
        <w:t xml:space="preserve"> Yogyakarta; yulia.herdin@gmail.com</w:t>
      </w:r>
    </w:p>
    <w:p w14:paraId="4033CC08" w14:textId="77777777" w:rsidR="00B72F3D" w:rsidRPr="00443C4D" w:rsidRDefault="00B72F3D" w:rsidP="00784B9B">
      <w:pPr>
        <w:pStyle w:val="Alishlah16affiliation"/>
        <w:rPr>
          <w:color w:val="auto"/>
        </w:rPr>
      </w:pPr>
      <w:r w:rsidRPr="00443C4D">
        <w:rPr>
          <w:color w:val="auto"/>
          <w:vertAlign w:val="superscript"/>
        </w:rPr>
        <w:t>2</w:t>
      </w:r>
      <w:r w:rsidRPr="00443C4D">
        <w:rPr>
          <w:color w:val="auto"/>
        </w:rPr>
        <w:tab/>
      </w:r>
      <w:r w:rsidR="002B31FD" w:rsidRPr="00443C4D">
        <w:rPr>
          <w:color w:val="auto"/>
        </w:rPr>
        <w:t>Affiliation 1; e-mail@e-mail.com</w:t>
      </w:r>
    </w:p>
    <w:p w14:paraId="1E27291F" w14:textId="77777777" w:rsidR="00784B9B" w:rsidRPr="00443C4D" w:rsidRDefault="00784B9B" w:rsidP="00BE398A">
      <w:pPr>
        <w:pStyle w:val="Alishlah16affiliation"/>
        <w:rPr>
          <w:color w:val="auto"/>
        </w:rPr>
      </w:pPr>
    </w:p>
    <w:tbl>
      <w:tblPr>
        <w:tblStyle w:val="TableGrid"/>
        <w:tblW w:w="8845" w:type="dxa"/>
        <w:jc w:val="center"/>
        <w:tblLook w:val="04A0" w:firstRow="1" w:lastRow="0" w:firstColumn="1" w:lastColumn="0" w:noHBand="0" w:noVBand="1"/>
      </w:tblPr>
      <w:tblGrid>
        <w:gridCol w:w="2787"/>
        <w:gridCol w:w="282"/>
        <w:gridCol w:w="5776"/>
      </w:tblGrid>
      <w:tr w:rsidR="0048254D" w:rsidRPr="00443C4D" w14:paraId="0035A07B" w14:textId="77777777" w:rsidTr="0048254D">
        <w:trPr>
          <w:jc w:val="center"/>
        </w:trPr>
        <w:tc>
          <w:tcPr>
            <w:tcW w:w="2787" w:type="dxa"/>
            <w:tcBorders>
              <w:top w:val="double" w:sz="4" w:space="0" w:color="auto"/>
              <w:left w:val="nil"/>
              <w:bottom w:val="single" w:sz="4" w:space="0" w:color="auto"/>
              <w:right w:val="nil"/>
            </w:tcBorders>
          </w:tcPr>
          <w:p w14:paraId="5F615869" w14:textId="77777777" w:rsidR="0048254D" w:rsidRPr="00443C4D" w:rsidRDefault="0048254D" w:rsidP="001C18FA">
            <w:pPr>
              <w:spacing w:before="120"/>
              <w:jc w:val="both"/>
              <w:rPr>
                <w:rFonts w:ascii="Palatino Linotype" w:hAnsi="Palatino Linotype"/>
                <w:b/>
                <w:lang w:val="en-US"/>
              </w:rPr>
            </w:pPr>
            <w:r w:rsidRPr="00443C4D">
              <w:rPr>
                <w:rFonts w:ascii="Palatino Linotype" w:hAnsi="Palatino Linotype"/>
                <w:b/>
                <w:lang w:val="en-US"/>
              </w:rPr>
              <w:t>ARTICLE INFO</w:t>
            </w:r>
          </w:p>
        </w:tc>
        <w:tc>
          <w:tcPr>
            <w:tcW w:w="282" w:type="dxa"/>
            <w:tcBorders>
              <w:top w:val="double" w:sz="4" w:space="0" w:color="auto"/>
              <w:left w:val="nil"/>
              <w:bottom w:val="nil"/>
              <w:right w:val="nil"/>
            </w:tcBorders>
          </w:tcPr>
          <w:p w14:paraId="34899F4B" w14:textId="77777777" w:rsidR="0048254D" w:rsidRPr="00443C4D" w:rsidRDefault="0048254D" w:rsidP="001C18FA">
            <w:pPr>
              <w:spacing w:before="120"/>
              <w:jc w:val="center"/>
              <w:rPr>
                <w:rFonts w:ascii="Palatino Linotype" w:hAnsi="Palatino Linotype"/>
                <w:lang w:val="en-US"/>
              </w:rPr>
            </w:pPr>
          </w:p>
        </w:tc>
        <w:tc>
          <w:tcPr>
            <w:tcW w:w="5776" w:type="dxa"/>
            <w:tcBorders>
              <w:top w:val="double" w:sz="4" w:space="0" w:color="auto"/>
              <w:left w:val="nil"/>
              <w:bottom w:val="single" w:sz="4" w:space="0" w:color="auto"/>
              <w:right w:val="nil"/>
            </w:tcBorders>
          </w:tcPr>
          <w:p w14:paraId="1EB0D059" w14:textId="77777777" w:rsidR="0048254D" w:rsidRPr="00443C4D" w:rsidRDefault="0048254D" w:rsidP="002663A1">
            <w:pPr>
              <w:spacing w:before="120"/>
              <w:ind w:left="81"/>
              <w:rPr>
                <w:rFonts w:ascii="Palatino Linotype" w:hAnsi="Palatino Linotype"/>
                <w:color w:val="000000"/>
                <w:sz w:val="24"/>
                <w:szCs w:val="24"/>
                <w:lang w:val="en-US"/>
              </w:rPr>
            </w:pPr>
            <w:r w:rsidRPr="00443C4D">
              <w:rPr>
                <w:rFonts w:ascii="Palatino Linotype" w:hAnsi="Palatino Linotype"/>
                <w:b/>
                <w:bCs/>
                <w:iCs/>
                <w:color w:val="000000"/>
                <w:lang w:val="en-US"/>
              </w:rPr>
              <w:t>ABSTRACT</w:t>
            </w:r>
          </w:p>
        </w:tc>
      </w:tr>
      <w:tr w:rsidR="0048254D" w:rsidRPr="00443C4D" w14:paraId="0C228086" w14:textId="77777777" w:rsidTr="0048254D">
        <w:trPr>
          <w:trHeight w:val="1268"/>
          <w:jc w:val="center"/>
        </w:trPr>
        <w:tc>
          <w:tcPr>
            <w:tcW w:w="2787" w:type="dxa"/>
            <w:tcBorders>
              <w:top w:val="single" w:sz="4" w:space="0" w:color="auto"/>
              <w:left w:val="nil"/>
              <w:bottom w:val="single" w:sz="4" w:space="0" w:color="auto"/>
              <w:right w:val="nil"/>
            </w:tcBorders>
          </w:tcPr>
          <w:p w14:paraId="1B9A920F" w14:textId="13E2094B" w:rsidR="0084178E" w:rsidRDefault="0084178E" w:rsidP="00F9747B">
            <w:pPr>
              <w:jc w:val="both"/>
              <w:rPr>
                <w:rFonts w:ascii="Palatino Linotype" w:hAnsi="Palatino Linotype"/>
                <w:b/>
                <w:i/>
                <w:sz w:val="18"/>
                <w:szCs w:val="18"/>
                <w:lang w:val="en-US"/>
              </w:rPr>
            </w:pPr>
            <w:r>
              <w:rPr>
                <w:rFonts w:ascii="Palatino Linotype" w:hAnsi="Palatino Linotype"/>
                <w:b/>
                <w:i/>
                <w:sz w:val="18"/>
                <w:szCs w:val="18"/>
                <w:lang w:val="en-US"/>
              </w:rPr>
              <w:t xml:space="preserve">Keywords; </w:t>
            </w:r>
          </w:p>
          <w:p w14:paraId="618B2C6E" w14:textId="33345BEB" w:rsidR="0084178E" w:rsidRDefault="0084178E" w:rsidP="00F9747B">
            <w:pPr>
              <w:jc w:val="both"/>
              <w:rPr>
                <w:rFonts w:ascii="Palatino Linotype" w:hAnsi="Palatino Linotype"/>
                <w:b/>
                <w:i/>
                <w:sz w:val="18"/>
                <w:szCs w:val="18"/>
                <w:lang w:val="en-US"/>
              </w:rPr>
            </w:pPr>
          </w:p>
          <w:p w14:paraId="53969DC3" w14:textId="77777777" w:rsidR="00F9747B" w:rsidRPr="0084178E" w:rsidRDefault="00F9747B" w:rsidP="00F9747B">
            <w:pPr>
              <w:jc w:val="both"/>
              <w:rPr>
                <w:rFonts w:ascii="Palatino Linotype" w:hAnsi="Palatino Linotype"/>
                <w:bCs/>
                <w:i/>
                <w:sz w:val="18"/>
                <w:szCs w:val="18"/>
              </w:rPr>
            </w:pPr>
            <w:r w:rsidRPr="0084178E">
              <w:rPr>
                <w:rFonts w:ascii="Palatino Linotype" w:hAnsi="Palatino Linotype"/>
                <w:bCs/>
                <w:i/>
                <w:sz w:val="18"/>
                <w:szCs w:val="18"/>
              </w:rPr>
              <w:t>Local wisdom;</w:t>
            </w:r>
          </w:p>
          <w:p w14:paraId="74CE9082" w14:textId="71DDA9DB" w:rsidR="00F9747B" w:rsidRPr="0084178E" w:rsidRDefault="0084178E" w:rsidP="0084178E">
            <w:pPr>
              <w:jc w:val="both"/>
              <w:rPr>
                <w:rFonts w:ascii="Palatino Linotype" w:hAnsi="Palatino Linotype"/>
                <w:bCs/>
                <w:i/>
                <w:sz w:val="18"/>
                <w:szCs w:val="18"/>
              </w:rPr>
            </w:pPr>
            <w:proofErr w:type="spellStart"/>
            <w:r w:rsidRPr="0084178E">
              <w:rPr>
                <w:rFonts w:ascii="Palatino Linotype" w:hAnsi="Palatino Linotype"/>
                <w:bCs/>
                <w:i/>
                <w:sz w:val="18"/>
                <w:szCs w:val="18"/>
                <w:lang w:val="en-US"/>
              </w:rPr>
              <w:t>Tepuk</w:t>
            </w:r>
            <w:proofErr w:type="spellEnd"/>
            <w:r w:rsidRPr="0084178E">
              <w:rPr>
                <w:rFonts w:ascii="Palatino Linotype" w:hAnsi="Palatino Linotype"/>
                <w:bCs/>
                <w:i/>
                <w:sz w:val="18"/>
                <w:szCs w:val="18"/>
                <w:lang w:val="en-US"/>
              </w:rPr>
              <w:t xml:space="preserve"> </w:t>
            </w:r>
            <w:proofErr w:type="spellStart"/>
            <w:r w:rsidRPr="0084178E">
              <w:rPr>
                <w:rFonts w:ascii="Palatino Linotype" w:hAnsi="Palatino Linotype"/>
                <w:bCs/>
                <w:i/>
                <w:sz w:val="18"/>
                <w:szCs w:val="18"/>
                <w:lang w:val="en-US"/>
              </w:rPr>
              <w:t>Tepung</w:t>
            </w:r>
            <w:proofErr w:type="spellEnd"/>
            <w:r w:rsidRPr="0084178E">
              <w:rPr>
                <w:rFonts w:ascii="Palatino Linotype" w:hAnsi="Palatino Linotype"/>
                <w:bCs/>
                <w:i/>
                <w:sz w:val="18"/>
                <w:szCs w:val="18"/>
                <w:lang w:val="en-US"/>
              </w:rPr>
              <w:t xml:space="preserve"> </w:t>
            </w:r>
            <w:proofErr w:type="spellStart"/>
            <w:r w:rsidRPr="0084178E">
              <w:rPr>
                <w:rFonts w:ascii="Palatino Linotype" w:hAnsi="Palatino Linotype"/>
                <w:bCs/>
                <w:i/>
                <w:sz w:val="18"/>
                <w:szCs w:val="18"/>
                <w:lang w:val="en-US"/>
              </w:rPr>
              <w:t>Tawar</w:t>
            </w:r>
            <w:proofErr w:type="spellEnd"/>
            <w:r w:rsidR="00F9747B" w:rsidRPr="0084178E">
              <w:rPr>
                <w:rFonts w:ascii="Palatino Linotype" w:hAnsi="Palatino Linotype"/>
                <w:bCs/>
                <w:i/>
                <w:sz w:val="18"/>
                <w:szCs w:val="18"/>
              </w:rPr>
              <w:t>;</w:t>
            </w:r>
          </w:p>
          <w:p w14:paraId="137E7BCE" w14:textId="77777777" w:rsidR="00F9747B" w:rsidRPr="0084178E" w:rsidRDefault="00F9747B" w:rsidP="00F9747B">
            <w:pPr>
              <w:jc w:val="both"/>
              <w:rPr>
                <w:rFonts w:ascii="Palatino Linotype" w:hAnsi="Palatino Linotype"/>
                <w:bCs/>
                <w:i/>
                <w:sz w:val="18"/>
                <w:szCs w:val="18"/>
              </w:rPr>
            </w:pPr>
            <w:r w:rsidRPr="0084178E">
              <w:rPr>
                <w:rFonts w:ascii="Palatino Linotype" w:hAnsi="Palatino Linotype"/>
                <w:bCs/>
                <w:i/>
                <w:sz w:val="18"/>
                <w:szCs w:val="18"/>
              </w:rPr>
              <w:t>character values;</w:t>
            </w:r>
          </w:p>
          <w:p w14:paraId="245A405D" w14:textId="7B94B8B2" w:rsidR="0048254D" w:rsidRPr="0084178E" w:rsidRDefault="00F9747B" w:rsidP="00F9747B">
            <w:pPr>
              <w:jc w:val="both"/>
              <w:rPr>
                <w:rFonts w:ascii="Palatino Linotype" w:hAnsi="Palatino Linotype"/>
                <w:bCs/>
                <w:i/>
                <w:sz w:val="18"/>
                <w:szCs w:val="18"/>
                <w:lang w:val="en-US"/>
              </w:rPr>
            </w:pPr>
            <w:r w:rsidRPr="0084178E">
              <w:rPr>
                <w:rFonts w:ascii="Palatino Linotype" w:hAnsi="Palatino Linotype"/>
                <w:bCs/>
                <w:i/>
                <w:sz w:val="18"/>
                <w:szCs w:val="18"/>
              </w:rPr>
              <w:t>History learning</w:t>
            </w:r>
          </w:p>
          <w:p w14:paraId="65FE0B52" w14:textId="77777777" w:rsidR="002B31FD" w:rsidRPr="00443C4D" w:rsidRDefault="002B31FD" w:rsidP="00290481">
            <w:pPr>
              <w:pStyle w:val="Alishlah18keywords"/>
            </w:pPr>
          </w:p>
          <w:p w14:paraId="08615165" w14:textId="77777777" w:rsidR="0048254D" w:rsidRPr="00443C4D" w:rsidRDefault="0048254D" w:rsidP="00C11D39">
            <w:pPr>
              <w:pStyle w:val="Alishlah18keywords"/>
              <w:ind w:left="0"/>
            </w:pPr>
          </w:p>
        </w:tc>
        <w:tc>
          <w:tcPr>
            <w:tcW w:w="282" w:type="dxa"/>
            <w:vMerge w:val="restart"/>
            <w:tcBorders>
              <w:top w:val="nil"/>
              <w:left w:val="nil"/>
              <w:bottom w:val="nil"/>
              <w:right w:val="nil"/>
            </w:tcBorders>
          </w:tcPr>
          <w:p w14:paraId="187C39A7" w14:textId="77777777" w:rsidR="0048254D" w:rsidRPr="00443C4D" w:rsidRDefault="0048254D" w:rsidP="001C18FA">
            <w:pPr>
              <w:spacing w:before="120"/>
              <w:jc w:val="both"/>
              <w:rPr>
                <w:rFonts w:ascii="Palatino Linotype" w:hAnsi="Palatino Linotype"/>
                <w:sz w:val="18"/>
                <w:szCs w:val="18"/>
                <w:lang w:val="en-US"/>
              </w:rPr>
            </w:pPr>
          </w:p>
        </w:tc>
        <w:tc>
          <w:tcPr>
            <w:tcW w:w="5776" w:type="dxa"/>
            <w:vMerge w:val="restart"/>
            <w:tcBorders>
              <w:top w:val="single" w:sz="4" w:space="0" w:color="auto"/>
              <w:left w:val="nil"/>
              <w:bottom w:val="nil"/>
              <w:right w:val="nil"/>
            </w:tcBorders>
          </w:tcPr>
          <w:p w14:paraId="70BC8AB7" w14:textId="29D56290" w:rsidR="0048254D" w:rsidRPr="0084178E" w:rsidRDefault="00C11D39" w:rsidP="00E45249">
            <w:pPr>
              <w:pStyle w:val="Alishlah17abstract"/>
            </w:pPr>
            <w:r w:rsidRPr="0084178E">
              <w:rPr>
                <w:lang w:val="id-ID"/>
              </w:rPr>
              <w:t xml:space="preserve">This research is motivated by the fact that the character values ​​taught often do not have a close connection with local wisdom, even though the formation of character values ​​can be developed through local wisdom around students to enable students to learn directly. The purpose of this study is to see if integrating Tepuk tepung tawar's local wisdom values in improves students' character values. The research method used is an experimental method with a one group pretest-posttest design. The subjects in this research consisted of 40 students taken using a saturated sampling technique. This study's data collecting procedures included interviews and test results. The data analysis technique for this research uses the paired t-test and the N-Gain test. The results of the research show that there is a significant difference in the formation of students' character before and after the application of the local wisdom values ​​of plain flour, with a significance value of less than 0.05. The N-Gain Test results show a score of 70% indicating an increase in student character scores. Therefore, </w:t>
            </w:r>
            <w:r w:rsidRPr="0084178E">
              <w:rPr>
                <w:lang w:val="en-ID"/>
              </w:rPr>
              <w:t>The use of local wisdom values improves pupils' character values</w:t>
            </w:r>
          </w:p>
        </w:tc>
      </w:tr>
      <w:tr w:rsidR="0048254D" w:rsidRPr="00443C4D" w14:paraId="6CE4B8C0"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22A959D7" w14:textId="77777777" w:rsidR="0048254D" w:rsidRPr="00443C4D" w:rsidRDefault="0048254D" w:rsidP="001C18FA">
            <w:pPr>
              <w:spacing w:before="120" w:after="120"/>
              <w:jc w:val="both"/>
              <w:rPr>
                <w:rFonts w:ascii="Palatino Linotype" w:hAnsi="Palatino Linotype"/>
                <w:b/>
                <w:i/>
                <w:sz w:val="18"/>
                <w:szCs w:val="18"/>
                <w:lang w:val="en-US"/>
              </w:rPr>
            </w:pPr>
            <w:r w:rsidRPr="00443C4D">
              <w:rPr>
                <w:rFonts w:ascii="Palatino Linotype" w:hAnsi="Palatino Linotype"/>
                <w:b/>
                <w:i/>
                <w:sz w:val="18"/>
                <w:szCs w:val="18"/>
                <w:lang w:val="en-US"/>
              </w:rPr>
              <w:t>Article history:</w:t>
            </w:r>
          </w:p>
          <w:p w14:paraId="55E859AE" w14:textId="77777777" w:rsidR="0048254D" w:rsidRPr="00443C4D" w:rsidRDefault="0048254D" w:rsidP="00E45249">
            <w:pPr>
              <w:pStyle w:val="Alishlah14history"/>
            </w:pPr>
            <w:r w:rsidRPr="00443C4D">
              <w:t xml:space="preserve">Received </w:t>
            </w:r>
            <w:r w:rsidR="00FA43FF" w:rsidRPr="00443C4D">
              <w:t>2021-08-14</w:t>
            </w:r>
          </w:p>
          <w:p w14:paraId="4DC55A7A" w14:textId="77777777" w:rsidR="0048254D" w:rsidRPr="00443C4D" w:rsidRDefault="0048254D" w:rsidP="00E45249">
            <w:pPr>
              <w:pStyle w:val="Alishlah14history"/>
            </w:pPr>
            <w:r w:rsidRPr="00443C4D">
              <w:t xml:space="preserve">Revised </w:t>
            </w:r>
            <w:r w:rsidR="00675603" w:rsidRPr="00443C4D">
              <w:tab/>
            </w:r>
            <w:r w:rsidR="00FA43FF" w:rsidRPr="00443C4D">
              <w:t>2021-11-12</w:t>
            </w:r>
          </w:p>
          <w:p w14:paraId="272CD43C" w14:textId="77777777" w:rsidR="0048254D" w:rsidRPr="00443C4D" w:rsidRDefault="0048254D" w:rsidP="004A39B9">
            <w:pPr>
              <w:pStyle w:val="Alishlah14history"/>
            </w:pPr>
            <w:r w:rsidRPr="00443C4D">
              <w:t xml:space="preserve">Accepted </w:t>
            </w:r>
            <w:r w:rsidR="00FA43FF" w:rsidRPr="00443C4D">
              <w:t>2022-01-17</w:t>
            </w:r>
          </w:p>
        </w:tc>
        <w:tc>
          <w:tcPr>
            <w:tcW w:w="282" w:type="dxa"/>
            <w:vMerge/>
            <w:tcBorders>
              <w:top w:val="nil"/>
              <w:left w:val="nil"/>
              <w:bottom w:val="nil"/>
              <w:right w:val="nil"/>
            </w:tcBorders>
          </w:tcPr>
          <w:p w14:paraId="7DD6DA6F" w14:textId="77777777" w:rsidR="0048254D" w:rsidRPr="00443C4D" w:rsidRDefault="0048254D" w:rsidP="001C18FA">
            <w:pPr>
              <w:spacing w:before="120"/>
              <w:jc w:val="both"/>
              <w:rPr>
                <w:rFonts w:ascii="Palatino Linotype" w:hAnsi="Palatino Linotype"/>
                <w:lang w:val="en-US"/>
              </w:rPr>
            </w:pPr>
          </w:p>
        </w:tc>
        <w:tc>
          <w:tcPr>
            <w:tcW w:w="5776" w:type="dxa"/>
            <w:vMerge/>
            <w:tcBorders>
              <w:top w:val="nil"/>
              <w:left w:val="nil"/>
              <w:bottom w:val="nil"/>
              <w:right w:val="nil"/>
            </w:tcBorders>
          </w:tcPr>
          <w:p w14:paraId="3686CFF5" w14:textId="77777777" w:rsidR="0048254D" w:rsidRPr="00443C4D" w:rsidRDefault="0048254D" w:rsidP="001C18FA">
            <w:pPr>
              <w:spacing w:before="120"/>
              <w:jc w:val="both"/>
              <w:rPr>
                <w:rFonts w:ascii="Palatino Linotype" w:hAnsi="Palatino Linotype"/>
                <w:iCs/>
                <w:color w:val="000000"/>
                <w:sz w:val="18"/>
                <w:szCs w:val="18"/>
                <w:lang w:val="en-US"/>
              </w:rPr>
            </w:pPr>
          </w:p>
        </w:tc>
      </w:tr>
      <w:tr w:rsidR="0048254D" w:rsidRPr="00443C4D" w14:paraId="4D41D63A" w14:textId="77777777" w:rsidTr="0048254D">
        <w:trPr>
          <w:trHeight w:val="70"/>
          <w:jc w:val="center"/>
        </w:trPr>
        <w:tc>
          <w:tcPr>
            <w:tcW w:w="2787" w:type="dxa"/>
            <w:vMerge/>
            <w:tcBorders>
              <w:top w:val="single" w:sz="4" w:space="0" w:color="auto"/>
              <w:left w:val="nil"/>
              <w:bottom w:val="single" w:sz="4" w:space="0" w:color="auto"/>
              <w:right w:val="nil"/>
            </w:tcBorders>
          </w:tcPr>
          <w:p w14:paraId="1D909A49" w14:textId="77777777" w:rsidR="0048254D" w:rsidRPr="00443C4D" w:rsidRDefault="0048254D" w:rsidP="001C18FA">
            <w:pPr>
              <w:spacing w:before="120" w:after="120"/>
              <w:jc w:val="both"/>
              <w:rPr>
                <w:rFonts w:ascii="Palatino Linotype" w:hAnsi="Palatino Linotype"/>
                <w:b/>
                <w:i/>
                <w:lang w:val="en-US"/>
              </w:rPr>
            </w:pPr>
          </w:p>
        </w:tc>
        <w:tc>
          <w:tcPr>
            <w:tcW w:w="282" w:type="dxa"/>
            <w:vMerge/>
            <w:tcBorders>
              <w:top w:val="nil"/>
              <w:left w:val="nil"/>
              <w:bottom w:val="nil"/>
              <w:right w:val="nil"/>
            </w:tcBorders>
          </w:tcPr>
          <w:p w14:paraId="4F7B91CC" w14:textId="77777777" w:rsidR="0048254D" w:rsidRPr="00443C4D" w:rsidRDefault="0048254D" w:rsidP="001C18FA">
            <w:pPr>
              <w:spacing w:before="120"/>
              <w:jc w:val="both"/>
              <w:rPr>
                <w:rFonts w:ascii="Palatino Linotype" w:hAnsi="Palatino Linotype"/>
                <w:lang w:val="en-US"/>
              </w:rPr>
            </w:pPr>
          </w:p>
        </w:tc>
        <w:tc>
          <w:tcPr>
            <w:tcW w:w="5776" w:type="dxa"/>
            <w:tcBorders>
              <w:top w:val="nil"/>
              <w:left w:val="nil"/>
              <w:bottom w:val="single" w:sz="4" w:space="0" w:color="auto"/>
              <w:right w:val="nil"/>
            </w:tcBorders>
          </w:tcPr>
          <w:p w14:paraId="5295308D" w14:textId="77777777" w:rsidR="0048254D" w:rsidRPr="00443C4D" w:rsidRDefault="0048254D" w:rsidP="001C18FA">
            <w:pPr>
              <w:spacing w:before="120" w:after="120"/>
              <w:jc w:val="right"/>
              <w:rPr>
                <w:rFonts w:ascii="Palatino Linotype" w:hAnsi="Palatino Linotype"/>
                <w:i/>
                <w:iCs/>
                <w:color w:val="000000"/>
                <w:sz w:val="18"/>
                <w:szCs w:val="18"/>
                <w:lang w:val="en-US"/>
              </w:rPr>
            </w:pPr>
            <w:r w:rsidRPr="00443C4D">
              <w:rPr>
                <w:rFonts w:ascii="Palatino Linotype" w:hAnsi="Palatino Linotype"/>
                <w:i/>
                <w:iCs/>
                <w:color w:val="000000"/>
                <w:sz w:val="18"/>
                <w:szCs w:val="18"/>
                <w:lang w:val="en-US"/>
              </w:rPr>
              <w:t xml:space="preserve">This is an open access article under the </w:t>
            </w:r>
            <w:hyperlink r:id="rId9" w:history="1">
              <w:r w:rsidRPr="00443C4D">
                <w:rPr>
                  <w:rStyle w:val="Hyperlink"/>
                  <w:rFonts w:ascii="Palatino Linotype" w:hAnsi="Palatino Linotype"/>
                  <w:i/>
                  <w:iCs/>
                  <w:sz w:val="18"/>
                  <w:szCs w:val="18"/>
                  <w:lang w:val="en-US"/>
                </w:rPr>
                <w:t>CC BY-NC-SA</w:t>
              </w:r>
            </w:hyperlink>
            <w:r w:rsidRPr="00443C4D">
              <w:rPr>
                <w:rFonts w:ascii="Palatino Linotype" w:hAnsi="Palatino Linotype"/>
                <w:i/>
                <w:iCs/>
                <w:color w:val="000000"/>
                <w:sz w:val="18"/>
                <w:szCs w:val="18"/>
                <w:lang w:val="en-US"/>
              </w:rPr>
              <w:t xml:space="preserve"> license.</w:t>
            </w:r>
          </w:p>
          <w:p w14:paraId="40746B36" w14:textId="77777777" w:rsidR="0048254D" w:rsidRPr="00443C4D" w:rsidRDefault="0048254D" w:rsidP="001C18FA">
            <w:pPr>
              <w:spacing w:before="120" w:after="120"/>
              <w:jc w:val="right"/>
              <w:rPr>
                <w:rFonts w:ascii="Palatino Linotype" w:hAnsi="Palatino Linotype"/>
                <w:i/>
                <w:iCs/>
                <w:color w:val="000000"/>
                <w:sz w:val="18"/>
                <w:szCs w:val="18"/>
                <w:lang w:val="en-US"/>
              </w:rPr>
            </w:pPr>
            <w:r w:rsidRPr="00443C4D">
              <w:rPr>
                <w:rFonts w:ascii="Palatino Linotype" w:hAnsi="Palatino Linotype"/>
                <w:noProof/>
                <w:lang w:val="en-US"/>
              </w:rPr>
              <w:drawing>
                <wp:inline distT="0" distB="0" distL="0" distR="0" wp14:anchorId="6091C610" wp14:editId="53683C56">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43C4D" w14:paraId="6D75185E" w14:textId="77777777" w:rsidTr="0048254D">
        <w:trPr>
          <w:jc w:val="center"/>
        </w:trPr>
        <w:tc>
          <w:tcPr>
            <w:tcW w:w="8845" w:type="dxa"/>
            <w:gridSpan w:val="3"/>
            <w:tcBorders>
              <w:top w:val="nil"/>
              <w:left w:val="nil"/>
              <w:bottom w:val="double" w:sz="4" w:space="0" w:color="auto"/>
              <w:right w:val="nil"/>
            </w:tcBorders>
          </w:tcPr>
          <w:p w14:paraId="71C44037" w14:textId="77777777" w:rsidR="0048254D" w:rsidRPr="00443C4D" w:rsidRDefault="0048254D" w:rsidP="00E45249">
            <w:pPr>
              <w:pStyle w:val="Alishlah16affiliation"/>
              <w:ind w:left="0" w:firstLine="10"/>
              <w:rPr>
                <w:b/>
                <w:bCs/>
              </w:rPr>
            </w:pPr>
            <w:bookmarkStart w:id="0" w:name="_Hlk97159440"/>
            <w:r w:rsidRPr="00443C4D">
              <w:rPr>
                <w:b/>
                <w:bCs/>
              </w:rPr>
              <w:t>Corresponding Author</w:t>
            </w:r>
            <w:bookmarkEnd w:id="0"/>
            <w:r w:rsidRPr="00443C4D">
              <w:rPr>
                <w:b/>
                <w:bCs/>
              </w:rPr>
              <w:t>:</w:t>
            </w:r>
          </w:p>
          <w:p w14:paraId="10E07352" w14:textId="3FA0A974" w:rsidR="00457015" w:rsidRPr="00443C4D" w:rsidRDefault="0084178E" w:rsidP="00E45249">
            <w:pPr>
              <w:pStyle w:val="Alishlah2authorcorrespondence"/>
            </w:pPr>
            <w:proofErr w:type="spellStart"/>
            <w:r w:rsidRPr="0084178E">
              <w:t>Yulia</w:t>
            </w:r>
            <w:proofErr w:type="spellEnd"/>
            <w:r w:rsidRPr="0084178E">
              <w:t xml:space="preserve"> </w:t>
            </w:r>
            <w:proofErr w:type="spellStart"/>
            <w:r w:rsidRPr="0084178E">
              <w:t>Herdin</w:t>
            </w:r>
            <w:proofErr w:type="spellEnd"/>
          </w:p>
          <w:p w14:paraId="0DB4D5A7" w14:textId="1D9AFBCD" w:rsidR="0048254D" w:rsidRPr="00443C4D" w:rsidRDefault="0084178E" w:rsidP="00E45249">
            <w:pPr>
              <w:pStyle w:val="Alishlah2authorcorrespondence"/>
            </w:pPr>
            <w:proofErr w:type="spellStart"/>
            <w:r w:rsidRPr="0084178E">
              <w:rPr>
                <w:color w:val="auto"/>
              </w:rPr>
              <w:t>Universitas</w:t>
            </w:r>
            <w:proofErr w:type="spellEnd"/>
            <w:r w:rsidRPr="0084178E">
              <w:rPr>
                <w:color w:val="auto"/>
              </w:rPr>
              <w:t xml:space="preserve"> </w:t>
            </w:r>
            <w:proofErr w:type="spellStart"/>
            <w:r w:rsidRPr="0084178E">
              <w:rPr>
                <w:color w:val="auto"/>
              </w:rPr>
              <w:t>Negeri</w:t>
            </w:r>
            <w:proofErr w:type="spellEnd"/>
            <w:r w:rsidRPr="0084178E">
              <w:rPr>
                <w:color w:val="auto"/>
              </w:rPr>
              <w:t xml:space="preserve"> Yogyakarta; yulia.herdin@gmail.com</w:t>
            </w:r>
          </w:p>
        </w:tc>
      </w:tr>
    </w:tbl>
    <w:p w14:paraId="1825F3B2" w14:textId="3E7EEF26" w:rsidR="00727D5A" w:rsidRPr="00443C4D" w:rsidRDefault="0048254D" w:rsidP="005C24CD">
      <w:pPr>
        <w:pStyle w:val="Alishlah21heading1"/>
      </w:pPr>
      <w:r w:rsidRPr="00443C4D">
        <w:t>INTRODUCTION</w:t>
      </w:r>
    </w:p>
    <w:p w14:paraId="5F1E7E74" w14:textId="33CD5033" w:rsidR="005C24CD" w:rsidRPr="005C24CD" w:rsidRDefault="005C24CD" w:rsidP="005C24CD">
      <w:pPr>
        <w:pStyle w:val="Alishlah31text"/>
        <w:rPr>
          <w:spacing w:val="-2"/>
          <w:lang w:eastAsia="zh-CN"/>
        </w:rPr>
      </w:pPr>
      <w:bookmarkStart w:id="1" w:name="_Hlk164761334"/>
      <w:r w:rsidRPr="005C24CD">
        <w:rPr>
          <w:spacing w:val="-2"/>
          <w:lang w:eastAsia="zh-CN"/>
        </w:rPr>
        <w:t xml:space="preserve">Education is not only limited to transferring knowledge, but also plays an important role in shaping a person's </w:t>
      </w:r>
      <w:proofErr w:type="spellStart"/>
      <w:r w:rsidRPr="005C24CD">
        <w:rPr>
          <w:spacing w:val="-2"/>
          <w:lang w:eastAsia="zh-CN"/>
        </w:rPr>
        <w:t>characte</w:t>
      </w:r>
      <w:proofErr w:type="spellEnd"/>
      <w:r w:rsidRPr="005C24CD">
        <w:rPr>
          <w:spacing w:val="-2"/>
          <w:lang w:eastAsia="zh-CN"/>
        </w:rPr>
        <w:t xml:space="preserve"> </w:t>
      </w:r>
      <w:r w:rsidRPr="005C24CD">
        <w:rPr>
          <w:spacing w:val="-2"/>
          <w:lang w:eastAsia="zh-CN"/>
        </w:rPr>
        <w:fldChar w:fldCharType="begin" w:fldLock="1"/>
      </w:r>
      <w:r w:rsidR="00C11D39">
        <w:rPr>
          <w:spacing w:val="-2"/>
          <w:lang w:eastAsia="zh-CN"/>
        </w:rPr>
        <w:instrText>ADDIN CSL_CITATION {"citationItems":[{"id":"ITEM-1","itemData":{"DOI":"10.59373/attadzkir.v2i1.15","abstract":"Islamic religious education is very important for the formation of one's personality. Guidance and direction are religious doctrines designed to make people believe in the existence of God and religion wholeheartedly, comply with religious orders in the form of worship, and have noble morals. Through studying Islamic religious education, the author hopes that someone can have good values in himself so that he can turn them into good behavior in everyday life. In addition, Islamic religious education can also enable a person not to do things that are not allowed in religion. The application of Islamic education is carried out by increasing piety to Allah SWT, and noble character is the embodiment of the faith that is believed by everyone. Therefore, combining happiness and piety in one person will avoid destructive, slanderous, and socially detrimental behavior, and is very dangerous for the unity and integrity of the nation in the future.","author":[{"dropping-particle":"","family":"Komariah","given":"Nurul","non-dropping-particle":"","parse-names":false,"suffix":""},{"dropping-particle":"","family":"Nihayah","given":"Ishmatun","non-dropping-particle":"","parse-names":false,"suffix":""}],"container-title":"At-tadzkir: Islamic Education Journal","id":"ITEM-1","issue":"1","issued":{"date-parts":[["2023"]]},"page":"65-77","title":"Improving The Personality Character of Students Through Learning Islamic Religious Education","type":"article-journal","volume":"2"},"uris":["http://www.mendeley.com/documents/?uuid=5d5b11b0-b44b-4ea4-a007-4eca952d1ab9"]},{"id":"ITEM-2","itemData":{"DOI":"10.2478/jesr-2019-0032","ISSN":"22400524","abstract":"The ability of Indonesian schools related to the character education of students is still far from the expectations and mandate of the law. Based on the qualitative research conducted in the three schools in Indonesia, the current study shows that the educational process only introduce students to the standardized concepts with no involvement in social process and practices, which will give them experience and opportunities to adopt the character values. The school curriculum only forms the ideal type of character, does not stimulate the active involvement of students in the community. Students only learn the character, based on dominant values constrained by the state, i.e.: having loyalty, defending the country, and loving homeland. In addition to narrowing the character space values to the interests of the state, the character education also does not accommodate the wealth of ethnic and religious cultures in Indonesia. This paper proposes the need for changes in school autonomy from an extension of the government, leading to provision of a conducive climate for the emergence of various approaches to improve character education. Character education stems from differences in school ideology and Indonesian cultural diversity. The education system should release itself from the text orientation to better fit in with the dynamic cultural context as a source of character learning.","author":[{"dropping-particle":"","family":"Abdullah","given":"Irwan","non-dropping-particle":"","parse-names":false,"suffix":""},{"dropping-particle":"","family":"Hudayana","given":"Bambang","non-dropping-particle":"","parse-names":false,"suffix":""},{"dropping-particle":"","family":"Setiadi","given":"","non-dropping-particle":"","parse-names":false,"suffix":""},{"dropping-particle":"","family":"Kutanegara","given":"Pande Made","non-dropping-particle":"","parse-names":false,"suffix":""},{"dropping-particle":"","family":"Indiyanto","given":"Agus","non-dropping-particle":"","parse-names":false,"suffix":""}],"container-title":"Journal of Educational and Social Research","id":"ITEM-2","issue":"3","issued":{"date-parts":[["2019"]]},"page":"145-159","title":"Beyond School Reach: Character Education in Three Schools in Yogyakarta, Indonesia","type":"article-journal","volume":"9"},"uris":["http://www.mendeley.com/documents/?uuid=3e61bad7-4ec1-41f4-9f3e-233cf90d5216"]},{"id":"ITEM-3","itemData":{"DOI":"10.22373/jiif.v20i1.5797","ISSN":"24077542","abstract":"This study aims to analyze and examine the strategic role and function of Islamic Religious Education in strengthening character education, especially in the era of the industrial revolution 4.0. Era 4.0 is marked by the rapid development of trends in automation, data exchange, Artificial intelligence, internet of things, 3D printing, robots, and intelligent machines that massively replace human labor. Open access to information allows people to receive a variety of information and can influence and even change the character, way of thinking and behaving. Islamic Education acts as a facilitator who carries out cultural functions and ideal functions as values controls and directs the development of society. Strengthened with a social reconstruction curriculum that focuses learning on the problems faced in society so that students are able to adapt to the development of the modern world and are highly competitive but still characteristically integrative religious-holistic so that they can fortify the morale of the nation's generation from the negative effects of globalization. Strengthening character through Islamic Religious Education is an educational investment in realizing the character of the golden generation by building a balance of hard skills and soft skills which in turn will create a culture of learning communities.","author":[{"dropping-particle":"","family":"Taufik","given":"Muhammad","non-dropping-particle":"","parse-names":false,"suffix":""}],"container-title":"Jurnal Ilmiah Islam Futura","id":"ITEM-3","issue":"1","issued":{"date-parts":[["2020"]]},"page":"86-104","title":"Strategic Role of Islamic Religious Education in Strengthening Character Education in the Era of Industrial Revolution 4.0","type":"article-journal","volume":"20"},"uris":["http://www.mendeley.com/documents/?uuid=28cdb39b-43e3-4d67-a607-ff0b1f781854"]}],"mendeley":{"formattedCitation":"(Abdullah, Hudayana, Setiadi, Kutanegara, &amp; Indiyanto, 2019; Komariah &amp; Nihayah, 2023; Taufik, 2020)","plainTextFormattedCitation":"(Abdullah, Hudayana, Setiadi, Kutanegara, &amp; Indiyanto, 2019; Komariah &amp; Nihayah, 2023; Taufik, 2020)","previouslyFormattedCitation":"(Abdullah et al., 2019; Komariah &amp; Nihayah, 2023; Taufik, 2020)"},"properties":{"noteIndex":0},"schema":"https://github.com/citation-style-language/schema/raw/master/csl-citation.json"}</w:instrText>
      </w:r>
      <w:r w:rsidRPr="005C24CD">
        <w:rPr>
          <w:spacing w:val="-2"/>
          <w:lang w:eastAsia="zh-CN"/>
        </w:rPr>
        <w:fldChar w:fldCharType="separate"/>
      </w:r>
      <w:r w:rsidR="00C11D39" w:rsidRPr="00C11D39">
        <w:rPr>
          <w:noProof/>
          <w:spacing w:val="-2"/>
          <w:lang w:eastAsia="zh-CN"/>
        </w:rPr>
        <w:t>(Abdullah, Hudayana, Setiadi, Kutanegara, &amp; Indiyanto, 2019; Komariah &amp; Nihayah, 2023; Taufik, 2020)</w:t>
      </w:r>
      <w:r w:rsidRPr="005C24CD">
        <w:rPr>
          <w:spacing w:val="-2"/>
          <w:lang w:eastAsia="zh-CN"/>
        </w:rPr>
        <w:fldChar w:fldCharType="end"/>
      </w:r>
      <w:r w:rsidRPr="005C24CD">
        <w:rPr>
          <w:spacing w:val="-2"/>
          <w:lang w:eastAsia="zh-CN"/>
        </w:rPr>
        <w:t xml:space="preserve">. A good educational process not only emphasizes academic achievement, but also the development of strong moral, ethical and personality values </w:t>
      </w:r>
      <w:r w:rsidRPr="005C24CD">
        <w:rPr>
          <w:spacing w:val="-2"/>
          <w:lang w:eastAsia="zh-CN"/>
        </w:rPr>
        <w:fldChar w:fldCharType="begin" w:fldLock="1"/>
      </w:r>
      <w:r w:rsidRPr="005C24CD">
        <w:rPr>
          <w:spacing w:val="-2"/>
          <w:lang w:eastAsia="zh-CN"/>
        </w:rPr>
        <w:instrText>ADDIN CSL_CITATION {"citationItems":[{"id":"ITEM-1","itemData":{"DOI":"10.21831/jss.v15i1.25226","ISSN":"1858-2656","abstract":"Character education is a growing discipline in recent times with the intent of optimizing student’s ethical behaviour. The outcome of character education has been seen in the continuous encouragement and preparation of a solid background of the leaders of tomorrow. The promotion of character education should not just be that of   lip service but should be followed-up with a concrete action plan that will stand the test of time. In other words, education policy should take the lead to actualize moral education. The stakeholders, including parent and Administrators should join hands and work together in making sure that the student’s exhibit good conduct and character in all aspects of their lives.  The outline of this paper was to identify and define the place of character education in our education system reviewing of the Character Education Partnership’s (hereafter CEP) eleven (11) principles of character education in the future, The Classroom/Activity-Based Character Education Program Implementation and finally the Models of Character Education: Perspectives and Developmental Issues, teaching Strategies and benefits of character education were also discussed.Keywords: character education, 21st century, teaching","author":[{"dropping-particle":"","family":"Singh","given":"Balraj","non-dropping-particle":"","parse-names":false,"suffix":""}],"container-title":"Journal of Social Studies (JSS)","id":"ITEM-1","issue":"1","issued":{"date-parts":[["2019"]]},"page":"1-12","title":"Character education in the 21st century","type":"article-journal","volume":"15"},"uris":["http://www.mendeley.com/documents/?uuid=f0d7e0ea-be04-4580-a177-88ba7453f250"]},{"id":"ITEM-2","itemData":{"DOI":"10.18196/ijiep.1105","abstract":"Education must have a good and robust foundation, because with this foundation, the direction of the implementation of education is not merely a momentary shock or turmoil. The foundation of knowledge is an essential in the process of advancing education. Thus, the basis of education is a fundamental problem because the primary school will determine the style and content of learning. In the meantime, its relation to Islamic teaching, the basis or foundation of Islamic education, is the foundation that forms the basis or principle to stand tall. Therefore, the basis of Islamic culture must be considered comprehensively in revealing through the next educational steps. AlQur'an and Hadith are sources of Islamic law and complete knowledge, covering the whole of human life, both the world and the hereafter. Both become an apparent clue for humans and the pace of their lives at all times. Al-Qur'an and Hadith, as a basis for Islamic education as well as a source of shari'a teachings, not only work as a book but also exploration for daily life. Islam is a religion that carries a mission so that people conduct education and teaching. This is an open access article under the CC–BY-SA license","author":[{"dropping-particle":"","family":"Khaidir","given":"Erniwati","non-dropping-particle":"","parse-names":false,"suffix":""},{"dropping-particle":"","family":"Suud","given":"Fitriah M.","non-dropping-particle":"","parse-names":false,"suffix":""}],"container-title":"International Journal of Islamic Educational Psychology (IJIEP)","id":"ITEM-2","issue":"1","issued":{"date-parts":[["2020"]]},"page":"50-63","title":"Islamic Education in Forming Students' Characters At As-Shofa Islamic High School, Pekanbaru Riau","type":"article-journal","volume":"1"},"uris":["http://www.mendeley.com/documents/?uuid=8f082823-1142-4bab-8d72-51c09e44805f"]}],"mendeley":{"formattedCitation":"(Khaidir &amp; Suud, 2020; Singh, 2019)","plainTextFormattedCitation":"(Khaidir &amp; Suud, 2020; Singh, 2019)","previouslyFormattedCitation":"(Khaidir &amp; Suud, 2020; Singh, 2019)"},"properties":{"noteIndex":0},"schema":"https://github.com/citation-style-language/schema/raw/master/csl-citation.json"}</w:instrText>
      </w:r>
      <w:r w:rsidRPr="005C24CD">
        <w:rPr>
          <w:spacing w:val="-2"/>
          <w:lang w:eastAsia="zh-CN"/>
        </w:rPr>
        <w:fldChar w:fldCharType="separate"/>
      </w:r>
      <w:r w:rsidRPr="005C24CD">
        <w:rPr>
          <w:noProof/>
          <w:spacing w:val="-2"/>
          <w:lang w:eastAsia="zh-CN"/>
        </w:rPr>
        <w:t>(Khaidir &amp; Suud, 2020; Singh, 2019)</w:t>
      </w:r>
      <w:r w:rsidRPr="005C24CD">
        <w:rPr>
          <w:spacing w:val="-2"/>
          <w:lang w:eastAsia="zh-CN"/>
        </w:rPr>
        <w:fldChar w:fldCharType="end"/>
      </w:r>
      <w:r w:rsidRPr="005C24CD">
        <w:rPr>
          <w:spacing w:val="-2"/>
          <w:lang w:eastAsia="zh-CN"/>
        </w:rPr>
        <w:t xml:space="preserve">. Good characters, such as integrity, hard work, honesty, empathy and a sense of responsibility, are very important in forming individuals who are able to contribute positively to society </w:t>
      </w:r>
      <w:r w:rsidRPr="005C24CD">
        <w:rPr>
          <w:spacing w:val="-2"/>
          <w:lang w:eastAsia="zh-CN"/>
        </w:rPr>
        <w:fldChar w:fldCharType="begin" w:fldLock="1"/>
      </w:r>
      <w:r w:rsidR="00C11D39">
        <w:rPr>
          <w:spacing w:val="-2"/>
          <w:lang w:eastAsia="zh-CN"/>
        </w:rPr>
        <w:instrText>ADDIN CSL_CITATION {"citationItems":[{"id":"ITEM-1","itemData":{"abstract":"The existence of a nation is largely determined by its character. Only the nation who has a strong character will become capable of making itself a nation that is dignified and respected …","author":[{"dropping-particle":"","family":"Kiritin","given":"Antonius","non-dropping-particle":"","parse-names":false,"suffix":""},{"dropping-particle":"","family":"Darsono","given":"Kunto","non-dropping-particle":"","parse-names":false,"suffix":""}],"container-title":"International Journal on Recent Trends in Business and Tourism","id":"ITEM-1","issue":"2","issued":{"date-parts":[["2019"]]},"page":"13-20","title":"The Importance of Character Education in Forming Mental Quality of Enterpreneurs to Open Work Fields","type":"article-journal","volume":"3"},"uris":["http://www.mendeley.com/documents/?uuid=b1437c16-7d29-4cc1-a09c-4048584e266a"]},{"id":"ITEM-2","itemData":{"DOI":"10.51817/jpdr.v3i2.301","abstract":"The interest in pencak silat is waning, evident in the current generation's preference for kempo, karate, and taekwondo. However, pencak silat holds significant societal value, fostering a heightened sense of concern for others. This study aims to explore and analyze the philosophical discourse of pencak silat as a fundamental element of character education and social cohesion in society. The research methodology adopted is a literature study, involving a thorough search and review of various works on pencak silat, encompassing art, culture, and aesthetics, as well as its role in strengthening social bonds among teachers, students, and their peers. The findings of this study emphasize that pencak silat is a valuable cultural heritage of Indonesia's ancestors, deserving preservation and conservation as it serves as a cornerstone of character education, encompassing nine core values. These character values are deeply ingrained within pencak silat, making it an effective platform for fostering personal growth and moral development. Through pencak silat, social bonds are fortified, leading to enhanced camaraderie and harmonious relationships among different community groups. Two essential aspects that contribute to strengthening social ties in pencak silat are the sense of brotherhood among practitioners and the cultivation of strong spiritual values that resonate within every student engaged in pencak silat training.","author":[{"dropping-particle":"","family":"Sarbaitinil","given":"Sarbaitinil","non-dropping-particle":"","parse-names":false,"suffix":""},{"dropping-particle":"","family":"Rudagi","given":"Reindy","non-dropping-particle":"","parse-names":false,"suffix":""},{"dropping-particle":"","family":"Rahmat","given":"Indra","non-dropping-particle":"","parse-names":false,"suffix":""},{"dropping-particle":"","family":"Elfemi","given":"Nilda","non-dropping-particle":"","parse-names":false,"suffix":""},{"dropping-particle":"","family":"Isnaini","given":"Isnaini","non-dropping-particle":"","parse-names":false,"suffix":""}],"container-title":"Journal of Pragmatics and Discourse Research","id":"ITEM-2","issue":"2","issued":{"date-parts":[["2023"]]},"page":"150-162","title":"Expressing Philosophical Discourse In Pencak Silat As A Pillar of Character Education And Strengthening Social Ties In Society","type":"article-journal","volume":"3"},"uris":["http://www.mendeley.com/documents/?uuid=a5cb5e80-fb9c-400b-8518-a5bc49a617d0"]},{"id":"ITEM-3","itemData":{"DOI":"10.15294/usej.v10i3.46695","ISSN":"2252-6617","abstract":"Lubuk Larangan is an area in a river restricted by the community, which must not be disturbed and is forbidden for fishing. It is in Rantau Keloyang District, Muara Bungo Regency, Jambi Province. The local wisdom of Lubuk Larangan has the potential to bring contextual science learning to conserve the environment based on customary regulations for sustainable development. This study aims to determine the potential of Lubuk Larangan area as a source of science learning. Using descriptive exploratory method, the data were obtained from the interviews with Datuk Rio, a traditional leader and science teacher at SMP Negeri 1 Pelepat Ilir. Data collection techniques included observation, interview, and documentation. The findings indicate that several basic competencies are suitable for science education with the material about Lubuk Larangan, namely analyzing the occurrence of environmental pollution and its impact on the ecosystem (KD 3.8); Lubuk Larangan can be developed in learning media such as modules, assessments, and practical activities; Lubuk Larangan can be integrated into science learning to instill education for sustainable development competencies, especially for action on climate. Based on this study, in general, science learning can be linked to local wisdom of Lubuk Larangan according to learning indicators that refer to education for sustainable development.","author":[{"dropping-particle":"","family":"Arizaldy","given":"","non-dropping-particle":"","parse-names":false,"suffix":""},{"dropping-particle":"","family":"Solihat","given":"Rini","non-dropping-particle":"","parse-names":false,"suffix":""},{"dropping-particle":"","family":"Riandi","given":"Riandi","non-dropping-particle":"","parse-names":false,"suffix":""},{"dropping-particle":"","family":"Firman","given":"Harry","non-dropping-particle":"","parse-names":false,"suffix":""}],"container-title":"Unnes Science Education Journal","id":"ITEM-3","issue":"3","issued":{"date-parts":[["2021"]]},"page":"145-150","title":"Analysis of the Potential of Lubuk Larangan Local Wisdom in Science Learning in Junior High Schools","type":"article-journal","volume":"10"},"uris":["http://www.mendeley.com/documents/?uuid=c72377d8-95ff-4ac0-9017-0ad9d22c80d2"]}],"mendeley":{"formattedCitation":"(Arizaldy, Solihat, Riandi, &amp; Firman, 2021; Kiritin &amp; Darsono, 2019; Sarbaitinil, Rudagi, Rahmat, Elfemi, &amp; Isnaini, 2023)","plainTextFormattedCitation":"(Arizaldy, Solihat, Riandi, &amp; Firman, 2021; Kiritin &amp; Darsono, 2019; Sarbaitinil, Rudagi, Rahmat, Elfemi, &amp; Isnaini, 2023)","previouslyFormattedCitation":"(Arizaldy et al., 2021; Kiritin &amp; Darsono, 2019; Sarbaitinil et al., 2023)"},"properties":{"noteIndex":0},"schema":"https://github.com/citation-style-language/schema/raw/master/csl-citation.json"}</w:instrText>
      </w:r>
      <w:r w:rsidRPr="005C24CD">
        <w:rPr>
          <w:spacing w:val="-2"/>
          <w:lang w:eastAsia="zh-CN"/>
        </w:rPr>
        <w:fldChar w:fldCharType="separate"/>
      </w:r>
      <w:r w:rsidR="00C11D39" w:rsidRPr="00C11D39">
        <w:rPr>
          <w:noProof/>
          <w:spacing w:val="-2"/>
          <w:lang w:eastAsia="zh-CN"/>
        </w:rPr>
        <w:t>(Arizaldy, Solihat, Riandi, &amp; Firman, 2021; Kiritin &amp; Darsono, 2019; Sarbaitinil, Rudagi, Rahmat, Elfemi, &amp; Isnaini, 2023)</w:t>
      </w:r>
      <w:r w:rsidRPr="005C24CD">
        <w:rPr>
          <w:spacing w:val="-2"/>
          <w:lang w:eastAsia="zh-CN"/>
        </w:rPr>
        <w:fldChar w:fldCharType="end"/>
      </w:r>
      <w:r w:rsidRPr="005C24CD">
        <w:rPr>
          <w:spacing w:val="-2"/>
          <w:lang w:eastAsia="zh-CN"/>
        </w:rPr>
        <w:t xml:space="preserve">. This is all in line with the goals of national education which are not only to develop intellectual abilities, </w:t>
      </w:r>
      <w:r w:rsidRPr="005C24CD">
        <w:rPr>
          <w:spacing w:val="-2"/>
          <w:lang w:eastAsia="zh-CN"/>
        </w:rPr>
        <w:lastRenderedPageBreak/>
        <w:t xml:space="preserve">but also </w:t>
      </w:r>
      <w:proofErr w:type="spellStart"/>
      <w:r w:rsidRPr="005C24CD">
        <w:rPr>
          <w:spacing w:val="-2"/>
          <w:lang w:eastAsia="zh-CN"/>
        </w:rPr>
        <w:t>toforming</w:t>
      </w:r>
      <w:proofErr w:type="spellEnd"/>
      <w:r w:rsidRPr="005C24CD">
        <w:rPr>
          <w:spacing w:val="-2"/>
          <w:lang w:eastAsia="zh-CN"/>
        </w:rPr>
        <w:t xml:space="preserve"> </w:t>
      </w:r>
      <w:proofErr w:type="spellStart"/>
      <w:r w:rsidRPr="005C24CD">
        <w:rPr>
          <w:spacing w:val="-2"/>
          <w:lang w:eastAsia="zh-CN"/>
        </w:rPr>
        <w:t>charactergood</w:t>
      </w:r>
      <w:proofErr w:type="spellEnd"/>
      <w:r w:rsidRPr="005C24CD">
        <w:rPr>
          <w:spacing w:val="-2"/>
          <w:lang w:eastAsia="zh-CN"/>
        </w:rPr>
        <w:t xml:space="preserve"> and dignified civilization </w:t>
      </w:r>
      <w:r w:rsidRPr="005C24CD">
        <w:rPr>
          <w:spacing w:val="-2"/>
          <w:lang w:eastAsia="zh-CN"/>
        </w:rPr>
        <w:fldChar w:fldCharType="begin" w:fldLock="1"/>
      </w:r>
      <w:r w:rsidRPr="005C24CD">
        <w:rPr>
          <w:spacing w:val="-2"/>
          <w:lang w:eastAsia="zh-CN"/>
        </w:rPr>
        <w:instrText>ADDIN CSL_CITATION {"citationItems":[{"id":"ITEM-1","itemData":{"ISSN":"2344-4890","abstract":"Pancasila as the state ideology has a significant role in providing direction and basis for social and national life in Indonesia. Smart character becomes the cornerstone for individuals to live a good, harmonious and prosperous life, which is not only beneficial for themselves, but also for others. The purpose of this research is to understand how the application of Pancasila values affects the character of elementary school students, bearing in mind that currently there is a character crisis in students. This study uses a qualitative approach in research emphasizing in-depth understanding and interpretation of the context, phenomenon, or problem being studied. The literature study method is one of the methods commonly used in a qualitative approach. This method involves an analysis of various sources of literature that are relevant to the research topic. The research technique used is to examine sources one by one from related journals and other relevant sources, then use logical thinking to construct a number of concepts. In realizing the character of elementary school children, Pancasila is the foundation that must be applied in the lives of students. Pancasila has values that can produce the character of the people of the country to become someone who is religious, has noble character, is able to tolerate and others. In realizing the character of elementary school children, Pancasila is the foundation that must be applied in the lives of students. Character education is defined as a deliberate (conscious) effort to help humans understand, pay attention to, and apply the main moral principles. Therefore, the role of the teacher in shaping the character of students is very important because the purpose of learning is to form good citizens in everyday life.","author":[{"dropping-particle":"","family":"Nabillah","given":"Putri","non-dropping-particle":"","parse-names":false,"suffix":""},{"dropping-particle":"","family":"Nisa","given":"Atika Khairul","non-dropping-particle":"","parse-names":false,"suffix":""}],"container-title":"International Journal of Students Education","id":"ITEM-1","issue":"1","issued":{"date-parts":[["2024"]]},"page":"90-94","title":"the Influence of Instilling Pancasila Values on Strengthening the Character of Elementary School Students","type":"article-journal","volume":"1"},"uris":["http://www.mendeley.com/documents/?uuid=7b1f9ad5-5e11-4ad7-aecc-36672f0ad4ef"]},{"id":"ITEM-2","itemData":{"DOI":"10.20414/jpk.v19i1.7170","ISSN":"1829-6491","abstract":"Penelitian ini bertujuan untuk mendekripsikan serta mendalami konsep pendidikan Islam Raden Hadji Oemar Said Tjokroaminoto dan relevansinya terhadap pendidikan karakter. Generasi muda saat ini sangat rentan terhadap perkembangan era globalisasi, olehkarenanya sangat dibutuhkan sistem dan konsep pendidikan yang tepat untuk menghadapinya. Penelitian ini menggunakan pendekatan Penelitian Kualitatif Narrative Research yakni studi terhadap satu tokoh untuk mendapatkan suatu data tentang sejarah perjalanan hidupya dan kemudian disusun sebagai laporan naratif. Pendidikan Islam Tjokroaminoto merupakan pendidikan yang mengembalikan pengajaran pada ajaran Islam yang sebenar benarnya untuk membentuk manusia yang religius, berintelektual. Konsep pendidikan Islam Tjokroaminoto diantaranya Lagger Onderwijs, Middlebaar Onderwijs, Hooger Onderwijs. Pendidikan Islam Tjokroaminoto memiliki relevansi dengan pendidikan karakter, dengan kembali pada Al- Qur’an dan Hadits, Agama Islam telah memberikan gambaran memimbing dan mendidik peserta didik. Jika konsep pendidikan dikembalikan pada pendidikan Islam yang sebenarnya maka karakter bangsa akan sesuai dengan cita-cita bangsa yang terukir dalam falsafah pancasila dan pembukaan UUD 1945.","author":[{"dropping-particle":"","family":"Haryanto","given":"Rifqi","non-dropping-particle":"","parse-names":false,"suffix":""},{"dropping-particle":"","family":"Kurnia","given":"Heri","non-dropping-particle":"","parse-names":false,"suffix":""}],"container-title":"Jurnal Penelitian Keislaman","id":"ITEM-2","issue":"1","issued":{"date-parts":[["2023"]]},"page":"59-76","title":"H.O.S Tjokroaminoto’s Islamic Education Concept And its Relevance to Character Education","type":"article-journal","volume":"19"},"uris":["http://www.mendeley.com/documents/?uuid=f9d82398-6133-4fcb-a8f0-32f928809ee4"]}],"mendeley":{"formattedCitation":"(Haryanto &amp; Kurnia, 2023; Nabillah &amp; Nisa, 2024)","plainTextFormattedCitation":"(Haryanto &amp; Kurnia, 2023; Nabillah &amp; Nisa, 2024)","previouslyFormattedCitation":"(Haryanto &amp; Kurnia, 2023; Nabillah &amp; Nisa, 2024)"},"properties":{"noteIndex":0},"schema":"https://github.com/citation-style-language/schema/raw/master/csl-citation.json"}</w:instrText>
      </w:r>
      <w:r w:rsidRPr="005C24CD">
        <w:rPr>
          <w:spacing w:val="-2"/>
          <w:lang w:eastAsia="zh-CN"/>
        </w:rPr>
        <w:fldChar w:fldCharType="separate"/>
      </w:r>
      <w:r w:rsidRPr="005C24CD">
        <w:rPr>
          <w:noProof/>
          <w:spacing w:val="-2"/>
          <w:lang w:eastAsia="zh-CN"/>
        </w:rPr>
        <w:t>(Haryanto &amp; Kurnia, 2023; Nabillah &amp; Nisa, 2024)</w:t>
      </w:r>
      <w:r w:rsidRPr="005C24CD">
        <w:rPr>
          <w:spacing w:val="-2"/>
          <w:lang w:eastAsia="zh-CN"/>
        </w:rPr>
        <w:fldChar w:fldCharType="end"/>
      </w:r>
      <w:r w:rsidRPr="005C24CD">
        <w:rPr>
          <w:spacing w:val="-2"/>
          <w:lang w:eastAsia="zh-CN"/>
        </w:rPr>
        <w:t>. Therefore, comprehensive education must include character development as an integral part of the learning process.</w:t>
      </w:r>
    </w:p>
    <w:p w14:paraId="2FE61EAE" w14:textId="77777777" w:rsidR="005C24CD" w:rsidRPr="005C24CD" w:rsidRDefault="005C24CD" w:rsidP="005C24CD">
      <w:pPr>
        <w:pStyle w:val="Alishlah31text"/>
        <w:rPr>
          <w:spacing w:val="-2"/>
          <w:lang w:eastAsia="zh-CN"/>
        </w:rPr>
      </w:pPr>
      <w:r w:rsidRPr="005C24CD">
        <w:rPr>
          <w:spacing w:val="-2"/>
          <w:lang w:eastAsia="zh-CN"/>
        </w:rPr>
        <w:t xml:space="preserve">However, character issues are often in the spotlight in various contexts of life, especially in the realm of education, such as a lack of awareness of the importance of moral and ethical values ​​in everyday life </w:t>
      </w:r>
      <w:r w:rsidRPr="005C24CD">
        <w:rPr>
          <w:spacing w:val="-2"/>
          <w:lang w:eastAsia="zh-CN"/>
        </w:rPr>
        <w:fldChar w:fldCharType="begin" w:fldLock="1"/>
      </w:r>
      <w:r w:rsidRPr="005C24CD">
        <w:rPr>
          <w:spacing w:val="-2"/>
          <w:lang w:eastAsia="zh-CN"/>
        </w:rPr>
        <w:instrText>ADDIN CSL_CITATION {"citationItems":[{"id":"ITEM-1","itemData":{"DOI":"10.1145/3351095.3372860","abstract":"The word 'ethics' is under siege in technology policy circles. Weaponized in support of deregulation, self-regulation or hands-off governance, “ethics” is increasingly identified with technology companies' self-regulatory efforts and with shallow appearances of ethical behavior. So-called “ethics washing” by tech companies is on the rise, prompting criticism and scrutiny from scholars and the tech community at large. In parallel to the growth of ethics washing, its condemnation has led to a tendency to engage in “ethics bashing.” This consists in the trivialization of ethics and moral philosophy now understood as discrete tools or pre-formed social structures such as ethics boards, self-governance schemes or stakeholder groups. The misunderstandings underlying ethics bashing are at least threefold: (a) philosophy and “ethics” are seen as a communications strategy and as a form of instrumentalized cover-up or façade for unethical behavior, (b) philosophy is understood in opposition and as alternative to political representation and social organizing and (c) the role and importance of moral philosophy is downplayed and portrayed as mere “ivory tower” intellectualization of complex problems that need to be dealt with in practice. This paper argues that the rhetoric of ethics and morality should not be reductively instrumentalized, either by the industry in the form of “ethics washing,” or by scholars and policy-makers in the form of “ethics bashing.” Grappling with the role of philosophy and ethics requires moving beyond both tendencies and seeing ethics as a mode of inquiry that facilitates the evaluation of competing tech policy strategies. In other words, we must resist narrow reductivism of moral philosophy as instrumentalized performance and renew our faith in its intrinsic moral value as a mode of knowledge-seeking and inquiry. Far from mandating a self-regulatory scheme or a given governance structure, moral philosophy in fact facilitates the questioning and reconsideration of any given practice, situating it within a complex web of legal, political and economic institutions. Moral philosophy indeed can shed new light on human practices by adding needed perspective, explaining the relationship between technology and other worthy goals, situating technology within the human, the social, the political. It has become urgent to start considering technology ethics also from within and not only from outside of ethics.","author":[{"dropping-particle":"","family":"Bietti","given":"Elettra","non-dropping-particle":"","parse-names":false,"suffix":""}],"container-title":"Proceedings of the 2020 Conference on Fairness, Accountability, and Transparency","id":"ITEM-1","issued":{"date-parts":[["2020"]]},"page":"210-219","title":"From ethics washing to ethics bashing","type":"paper-conference"},"uris":["http://www.mendeley.com/documents/?uuid=fb835a8c-c37c-4efa-ba97-1fef1690fe2f"]}],"mendeley":{"formattedCitation":"(Bietti, 2020)","plainTextFormattedCitation":"(Bietti, 2020)","previouslyFormattedCitation":"(Bietti, 2020)"},"properties":{"noteIndex":0},"schema":"https://github.com/citation-style-language/schema/raw/master/csl-citation.json"}</w:instrText>
      </w:r>
      <w:r w:rsidRPr="005C24CD">
        <w:rPr>
          <w:spacing w:val="-2"/>
          <w:lang w:eastAsia="zh-CN"/>
        </w:rPr>
        <w:fldChar w:fldCharType="separate"/>
      </w:r>
      <w:r w:rsidRPr="005C24CD">
        <w:rPr>
          <w:noProof/>
          <w:spacing w:val="-2"/>
          <w:lang w:eastAsia="zh-CN"/>
        </w:rPr>
        <w:t>(Bietti, 2020)</w:t>
      </w:r>
      <w:r w:rsidRPr="005C24CD">
        <w:rPr>
          <w:spacing w:val="-2"/>
          <w:lang w:eastAsia="zh-CN"/>
        </w:rPr>
        <w:fldChar w:fldCharType="end"/>
      </w:r>
      <w:r w:rsidRPr="005C24CD">
        <w:rPr>
          <w:spacing w:val="-2"/>
          <w:lang w:eastAsia="zh-CN"/>
        </w:rPr>
        <w:t xml:space="preserve">. Apart from that, the influence of the social media environment can also worsen this situation by introducing unhealthy values ​​to students </w:t>
      </w:r>
      <w:r w:rsidRPr="005C24CD">
        <w:rPr>
          <w:spacing w:val="-2"/>
          <w:lang w:eastAsia="zh-CN"/>
        </w:rPr>
        <w:fldChar w:fldCharType="begin" w:fldLock="1"/>
      </w:r>
      <w:r w:rsidRPr="005C24CD">
        <w:rPr>
          <w:spacing w:val="-2"/>
          <w:lang w:eastAsia="zh-CN"/>
        </w:rPr>
        <w:instrText>ADDIN CSL_CITATION {"citationItems":[{"id":"ITEM-1","itemData":{"DOI":"10.1007/s10796-021-10202-z","ISBN":"0123456789","ISSN":"15729419","abstract":"As the COVID-19 pandemic continues to spread at an unprecedented rate, many universities around the world halted physical forms of teaching and learning to stop the spread of the virus. As a result, many university students were forced to utilize online learning through channels such as mobile social media. Due to the novelty of this situation, there are many unknowns particularly with the negative influences of mobile learning via social media on university students. Thus, this study looks to examine this subject matter from the perspective of the stimulus–organism–response theory. The uniquely developed research model included four stimuli (i.e., social overload, information overload, life invasion, and privacy invasion), two organisms (i.e., technostress and exhaustion) as well as a response in terms of reduced intention to use mobile learning via social media. The responses were collected from 384 university students via an online survey and analyzed with the Partial-Least-Square-Structural-Equation-Modelling. It was found that the antecedents for both technostress and exhaustion were able to account for more than half of their respective variances. Furthermore, technostress and exhaustion were significant facilitators of the students’ reduced intention to use mobile learning via social media. In addition to the practical insights for stakeholders in the education industry, this study also posited several theoretical implications for researchers.","author":[{"dropping-particle":"","family":"Loh","given":"Xiu Kin","non-dropping-particle":"","parse-names":false,"suffix":""},{"dropping-particle":"","family":"Lee","given":"Voon Hsien","non-dropping-particle":"","parse-names":false,"suffix":""},{"dropping-particle":"","family":"Loh","given":"Xiu Ming","non-dropping-particle":"","parse-names":false,"suffix":""},{"dropping-particle":"","family":"Tan","given":"Garry Wei Han","non-dropping-particle":"","parse-names":false,"suffix":""},{"dropping-particle":"","family":"Ooi","given":"Keng Boon","non-dropping-particle":"","parse-names":false,"suffix":""},{"dropping-particle":"","family":"Dwivedi","given":"Yogesh K.","non-dropping-particle":"","parse-names":false,"suffix":""}],"container-title":"Information Systems Frontiers","id":"ITEM-1","issue":"6","issued":{"date-parts":[["2022"]]},"page":"1887-1904","publisher":"Springer US","title":"The Dark Side of Mobile Learning via Social Media: How Bad Can It Get?","type":"article-journal","volume":"24"},"uris":["http://www.mendeley.com/documents/?uuid=d198cf3a-a0fa-423d-847b-1bf18ac310b9"]}],"mendeley":{"formattedCitation":"(Loh et al., 2022)","plainTextFormattedCitation":"(Loh et al., 2022)","previouslyFormattedCitation":"(Loh et al., 2022)"},"properties":{"noteIndex":0},"schema":"https://github.com/citation-style-language/schema/raw/master/csl-citation.json"}</w:instrText>
      </w:r>
      <w:r w:rsidRPr="005C24CD">
        <w:rPr>
          <w:spacing w:val="-2"/>
          <w:lang w:eastAsia="zh-CN"/>
        </w:rPr>
        <w:fldChar w:fldCharType="separate"/>
      </w:r>
      <w:r w:rsidRPr="005C24CD">
        <w:rPr>
          <w:noProof/>
          <w:spacing w:val="-2"/>
          <w:lang w:eastAsia="zh-CN"/>
        </w:rPr>
        <w:t>(Loh et al., 2022)</w:t>
      </w:r>
      <w:r w:rsidRPr="005C24CD">
        <w:rPr>
          <w:spacing w:val="-2"/>
          <w:lang w:eastAsia="zh-CN"/>
        </w:rPr>
        <w:fldChar w:fldCharType="end"/>
      </w:r>
      <w:r w:rsidRPr="005C24CD">
        <w:rPr>
          <w:spacing w:val="-2"/>
          <w:lang w:eastAsia="zh-CN"/>
        </w:rPr>
        <w:t xml:space="preserve">. Therefore, character issues are not just trivial </w:t>
      </w:r>
      <w:proofErr w:type="gramStart"/>
      <w:r w:rsidRPr="005C24CD">
        <w:rPr>
          <w:spacing w:val="-2"/>
          <w:lang w:eastAsia="zh-CN"/>
        </w:rPr>
        <w:t>issues,</w:t>
      </w:r>
      <w:proofErr w:type="gramEnd"/>
      <w:r w:rsidRPr="005C24CD">
        <w:rPr>
          <w:spacing w:val="-2"/>
          <w:lang w:eastAsia="zh-CN"/>
        </w:rPr>
        <w:t xml:space="preserve"> schools need to take concrete steps to overcome these problems by strengthening students' character through implementing character education that integrates local wisdom values.</w:t>
      </w:r>
    </w:p>
    <w:p w14:paraId="2A33BA53" w14:textId="692634F2" w:rsidR="005C24CD" w:rsidRPr="005C24CD" w:rsidRDefault="005C24CD" w:rsidP="005C24CD">
      <w:pPr>
        <w:pStyle w:val="Alishlah31text"/>
        <w:rPr>
          <w:spacing w:val="-2"/>
          <w:lang w:eastAsia="zh-CN"/>
        </w:rPr>
      </w:pPr>
      <w:r w:rsidRPr="005C24CD">
        <w:rPr>
          <w:spacing w:val="-2"/>
          <w:lang w:eastAsia="zh-CN"/>
        </w:rPr>
        <w:t xml:space="preserve">The application of character education that integrates local wisdom values ​​is an approach that is increasingly recognized as important in the world of education </w:t>
      </w:r>
      <w:r w:rsidRPr="005C24CD">
        <w:rPr>
          <w:spacing w:val="-2"/>
          <w:lang w:eastAsia="zh-CN"/>
        </w:rPr>
        <w:fldChar w:fldCharType="begin" w:fldLock="1"/>
      </w:r>
      <w:r w:rsidR="00C11D39">
        <w:rPr>
          <w:spacing w:val="-2"/>
          <w:lang w:eastAsia="zh-CN"/>
        </w:rPr>
        <w:instrText>ADDIN CSL_CITATION {"citationItems":[{"id":"ITEM-1","itemData":{"DOI":"10.29333/iji.2020.13213a","ISSN":"13081470","abstract":"Bojonegoro. Samin people reject school, fez, polygamy, long trousers, and trade. Although they look like out of date, they have 7 good characters i. e discipline, honesty, responsibility, cooperation, tolerance, social care, and environmental care. This research aimed at investigating the strategies for implementing local wisdombased character education among Indonesian higher education students by focusing on the values sated in Jamuskalimasada book of Samin Community. The data of this phenomenological research were collected by observation, interview, questionnaire, and documentation. The findings demonstrated that teaching character education in the higher education based on local wisdom could be conducted by integrating values and aesthetics in the course, internalizing positive values to students, habituation and training, providing example and model, creating characterized-situation based on local wisdom, and civilizing. Value-based vision of study program or campus can be achieved through educational strategy formulation including value habituation, value role model, value internalization, value integration in learning, and cultural value. Teaching character education was related to both character actualization programmed in the lesson plan and good example provision in the classroom and daily campus activities.","author":[{"dropping-particle":"","family":"Hidayati","given":"Nur Alfin","non-dropping-particle":"","parse-names":false,"suffix":""},{"dropping-particle":"","family":"Waluyo","given":"Herman J.","non-dropping-particle":"","parse-names":false,"suffix":""},{"dropping-particle":"","family":"Winarni","given":"Retno","non-dropping-particle":"","parse-names":false,"suffix":""},{"dropping-particle":"","family":"Suyitno","given":"","non-dropping-particle":"","parse-names":false,"suffix":""}],"container-title":"International Journal of Instruction","id":"ITEM-1","issue":"2","issued":{"date-parts":[["2020"]]},"page":"179-198","title":"Exploring the implementation of local wisdom-based character education among indonesian higher education students","type":"article-journal","volume":"13"},"uris":["http://www.mendeley.com/documents/?uuid=40b795f8-6804-4fbb-a7bd-879b4bfe78d5"]},{"id":"ITEM-2","itemData":{"DOI":"10.11591/ijere.v11i1.21869","ISSN":"26205440","abstract":"The study discussed the urgency of character education in East Lombok elementary schools based on Sasak ethnic local wisdom. This study used descriptive qualitative research methods to describe the phenomena of educational activities, learning, and curriculum implementation related to character education based on local wisdom of the Sasak ethnic group in East Lombok elementary schools. Data were collected by using interview techniques, group observation, and documentation. Data analysis was organized into some categories, describing it into units, synthesizing, arranging into patterns, interpreting, and making conclusions. The main problem faced in the implementation of character education in East Lombok elementary school is the absence of a character education model that is appropriate or methodologically adequate for learning process, it is individually developed continuously. The richness and diversity of Sasak culture with the values of local wisdom has potential to be integrated holistically into the curriculum both in co-curricular, intra-curricular and extra-curricular aspects, and even has the leverage to become the basis for character education. So that character education in East Lombok elementary schools based on Sasak ethnic local wisdom is very urgent to be implemented.","author":[{"dropping-particle":"","family":"Tohri","given":"Ahmad","non-dropping-particle":"","parse-names":false,"suffix":""},{"dropping-particle":"","family":"Rasyad","given":"Abdul","non-dropping-particle":"","parse-names":false,"suffix":""},{"dropping-particle":"","family":"Sururuddin","given":"Muhammad","non-dropping-particle":"","parse-names":false,"suffix":""},{"dropping-particle":"","family":"Istiqlal","given":"Lalu Muhammad","non-dropping-particle":"","parse-names":false,"suffix":""}],"container-title":"International Journal of Evaluation and Research in Education","id":"ITEM-2","issue":"1","issued":{"date-parts":[["2022"]]},"page":"333-344","title":"The urgency of Sasak local wisdom-based character education for elementary school in East Lombok, Indonesia","type":"article-journal","volume":"11"},"uris":["http://www.mendeley.com/documents/?uuid=b18c385f-0130-4d97-9983-0d017adc8015"]}],"mendeley":{"formattedCitation":"(Hidayati, Waluyo, Winarni, &amp; Suyitno, 2020; Tohri, Rasyad, Sururuddin, &amp; Istiqlal, 2022)","plainTextFormattedCitation":"(Hidayati, Waluyo, Winarni, &amp; Suyitno, 2020; Tohri, Rasyad, Sururuddin, &amp; Istiqlal, 2022)","previouslyFormattedCitation":"(Hidayati et al., 2020; Tohri et al., 2022)"},"properties":{"noteIndex":0},"schema":"https://github.com/citation-style-language/schema/raw/master/csl-citation.json"}</w:instrText>
      </w:r>
      <w:r w:rsidRPr="005C24CD">
        <w:rPr>
          <w:spacing w:val="-2"/>
          <w:lang w:eastAsia="zh-CN"/>
        </w:rPr>
        <w:fldChar w:fldCharType="separate"/>
      </w:r>
      <w:r w:rsidR="00C11D39" w:rsidRPr="00C11D39">
        <w:rPr>
          <w:noProof/>
          <w:spacing w:val="-2"/>
          <w:lang w:eastAsia="zh-CN"/>
        </w:rPr>
        <w:t>(Hidayati, Waluyo, Winarni, &amp; Suyitno, 2020; Tohri, Rasyad, Sururuddin, &amp; Istiqlal, 2022)</w:t>
      </w:r>
      <w:r w:rsidRPr="005C24CD">
        <w:rPr>
          <w:spacing w:val="-2"/>
          <w:lang w:eastAsia="zh-CN"/>
        </w:rPr>
        <w:fldChar w:fldCharType="end"/>
      </w:r>
      <w:r w:rsidRPr="005C24CD">
        <w:rPr>
          <w:spacing w:val="-2"/>
          <w:lang w:eastAsia="zh-CN"/>
        </w:rPr>
        <w:t xml:space="preserve">. This refers to efforts to not only teach universal moral and ethical values, but also introduce students to cultural values ​​and traditions unique to their environment </w:t>
      </w:r>
      <w:r w:rsidRPr="005C24CD">
        <w:rPr>
          <w:spacing w:val="-2"/>
          <w:lang w:eastAsia="zh-CN"/>
        </w:rPr>
        <w:fldChar w:fldCharType="begin" w:fldLock="1"/>
      </w:r>
      <w:r w:rsidRPr="005C24CD">
        <w:rPr>
          <w:spacing w:val="-2"/>
          <w:lang w:eastAsia="zh-CN"/>
        </w:rPr>
        <w:instrText>ADDIN CSL_CITATION {"citationItems":[{"id":"ITEM-1","itemData":{"ISSN":"0193-4120","abstract":"This study aims to explain that early character education can build superior human resources. The formal education of human children starts from the early childhood education level up to the University, so that they become educated and cultured human beings. Educators should be responsible to their responsibilities and teach the students to refer to learning that is based on religious moral values, the values found in Pancasila, and the values that exist in the local wisdom environment. This research was conducted at the Indonesian Christian University, with the research method used is library research, namely by utilizing published research results related to this topic as a source of data to answer the problems in this study taken online. The findings of this study are to build superior human resources, the education process must start from the family as the smallest unit of society that will have a big impact later on as adults and live in society by equipping children early on with the character of honesty, discipline, and noble character or universal moral values that must be taught to students, the better the character of the student, the better human resources they have, the better human resources they have, the least willing to do corruption in the future. Thus it can be concluded that in minimizing the corruption, the character education needs to be improved both in the family and in the educational environment (formal and non-formal) for the development of superior human resources.","author":[{"dropping-particle":"","family":"Handayani Tyas","given":"E","non-dropping-particle":"","parse-names":false,"suffix":""},{"dropping-particle":"","family":"Naibaho","given":"Lamhot","non-dropping-particle":"","parse-names":false,"suffix":""}],"container-title":"Test Engineering &amp; Management","id":"ITEM-1","issued":{"date-parts":[["2020"]]},"page":"11864-11873","title":"Building Superior Human Resources through Character Education","type":"article-journal","volume":"83"},"uris":["http://www.mendeley.com/documents/?uuid=b2f2b333-2cc9-443b-afb3-e1f6fac45e9d"]},{"id":"ITEM-2","itemData":{"abstract":"… a key role in the development of high moral qualities in man. Greek philosophers raised the … These national values serve to form moral education in the minds of students. From the time …","author":[{"dropping-particle":"","family":"Karimova","given":"Mukaddas Otajonovna","non-dropping-particle":"","parse-names":false,"suffix":""},{"dropping-particle":"","family":"Saidullaeva","given":"Aziza Rakhimovna","non-dropping-particle":"","parse-names":false,"suffix":""},{"dropping-particle":"","family":"State","given":"Fergana","non-dropping-particle":"","parse-names":false,"suffix":""},{"dropping-particle":"","family":"Student","given":"Degree","non-dropping-particle":"","parse-names":false,"suffix":""},{"dropping-particle":"","family":"Karimova","given":"Otajonovna","non-dropping-particle":"","parse-names":false,"suffix":""},{"dropping-particle":"","family":"The","given":"Of","non-dropping-particle":"","parse-names":false,"suffix":""},{"dropping-particle":"","family":"Of","given":"Use","non-dropping-particle":"","parse-names":false,"suffix":""},{"dropping-particle":"","family":"Values","given":"National","non-dropping-particle":"","parse-names":false,"suffix":""},{"dropping-particle":"","family":"The","given":"In","non-dropping-particle":"","parse-names":false,"suffix":""},{"dropping-particle":"","family":"Of","given":"Moral Education","non-dropping-particle":"","parse-names":false,"suffix":""},{"dropping-particle":"","family":"Value","given":"Keywords-","non-dropping-particle":"","parse-names":false,"suffix":""}],"container-title":"PalArch’s Journal of Archaeology of Egypt","id":"ITEM-2","issue":"7","issued":{"date-parts":[["2020"]]},"page":"8547-8555","title":"Pedagogical Basis of the Use of Universal and National Values in the Spiritual and Moral Education of Children","type":"article-journal","volume":"17"},"uris":["http://www.mendeley.com/documents/?uuid=bd9f2821-f139-4f00-ae42-1d5ef73242f8"]}],"mendeley":{"formattedCitation":"(Handayani Tyas &amp; Naibaho, 2020; Karimova et al., 2020)","plainTextFormattedCitation":"(Handayani Tyas &amp; Naibaho, 2020; Karimova et al., 2020)","previouslyFormattedCitation":"(Handayani Tyas &amp; Naibaho, 2020; Karimova et al., 2020)"},"properties":{"noteIndex":0},"schema":"https://github.com/citation-style-language/schema/raw/master/csl-citation.json"}</w:instrText>
      </w:r>
      <w:r w:rsidRPr="005C24CD">
        <w:rPr>
          <w:spacing w:val="-2"/>
          <w:lang w:eastAsia="zh-CN"/>
        </w:rPr>
        <w:fldChar w:fldCharType="separate"/>
      </w:r>
      <w:r w:rsidRPr="005C24CD">
        <w:rPr>
          <w:noProof/>
          <w:spacing w:val="-2"/>
          <w:lang w:eastAsia="zh-CN"/>
        </w:rPr>
        <w:t>(Handayani Tyas &amp; Naibaho, 2020; Karimova et al., 2020)</w:t>
      </w:r>
      <w:r w:rsidRPr="005C24CD">
        <w:rPr>
          <w:spacing w:val="-2"/>
          <w:lang w:eastAsia="zh-CN"/>
        </w:rPr>
        <w:fldChar w:fldCharType="end"/>
      </w:r>
      <w:r w:rsidRPr="005C24CD">
        <w:rPr>
          <w:spacing w:val="-2"/>
          <w:lang w:eastAsia="zh-CN"/>
        </w:rPr>
        <w:t xml:space="preserve">. Through learning that utilizes local stories, traditions and values ​​passed down from generation to generation, students can better understand and appreciate their own cultural heritage </w:t>
      </w:r>
      <w:r w:rsidRPr="005C24CD">
        <w:rPr>
          <w:spacing w:val="-2"/>
          <w:lang w:eastAsia="zh-CN"/>
        </w:rPr>
        <w:fldChar w:fldCharType="begin" w:fldLock="1"/>
      </w:r>
      <w:r w:rsidR="00C11D39">
        <w:rPr>
          <w:spacing w:val="-2"/>
          <w:lang w:eastAsia="zh-CN"/>
        </w:rPr>
        <w:instrText>ADDIN CSL_CITATION {"citationItems":[{"id":"ITEM-1","itemData":{"DOI":"10.3390/su12229416","ISSN":"20711050","abstract":"Digital storytelling can offer multiple benefits both to students and teachers, and new media provide multimodal ways to produce, transmit and communicate stories. In parallel, the need to engage preschool children with the creative use of technology emerges in order to address concerns that arise from the modern way of life and the need to safeguard intangible cultural heritage and to communicate its value for sustainable development. The current study presents an example of digital storytelling utilization in a preschool class to raise awareness on sustainability issues. A linear digital storytelling was created, representing a local myth about watermills, then an educational intervention was conducted, where the myth’s digital representation was used as an educational tool to raise awareness on local cultural heritage and sustainability issues and also as an example to inspire and guide teachers and students to create their own stories. Results showed that the digital storytelling was an effective educational tool to the acquisition of new knowledge and the motivation of preschool children’s interest about the cultural asset of watermills and that the production of digital storytelling is feasible in the class context. These findings prove the potential of digital storytelling and mobile technology by using low-cost devices and applying simple techniques in preschool education.","author":[{"dropping-particle":"","family":"Tzima","given":"Stavroula","non-dropping-particle":"","parse-names":false,"suffix":""},{"dropping-particle":"","family":"Styliaras","given":"Georgios","non-dropping-particle":"","parse-names":false,"suffix":""},{"dropping-particle":"","family":"Bassounas","given":"Athanasios","non-dropping-particle":"","parse-names":false,"suffix":""},{"dropping-particle":"","family":"Tzima","given":"Maria","non-dropping-particle":"","parse-names":false,"suffix":""}],"container-title":"Sustainability (Switzerland)","id":"ITEM-1","issue":"22","issued":{"date-parts":[["2020"]]},"page":"1-22","title":"Harnessing the potential of storytelling and mobile technology in intangible cultural heritage: A case study in early childhood education in sustainability","type":"article-journal","volume":"12"},"uris":["http://www.mendeley.com/documents/?uuid=7d6666cb-5922-4688-82ed-08de73f2fde3"]},{"id":"ITEM-2","itemData":{"DOI":"10.3390/su13094958","ISSN":"20711050","abstract":"Heritage education can enable social empowerment. Within the broader goal of social empowerment, a current challenge is to establish principles that promote social participation in traditional education. The practice of protecting intangible cultural heritage in China has developed its own unique working model based on the basic theoretical level of UNESCO. This research used cultural citizenship as a theoretical guide, focused on the traditional embroidery craftsmanship of China’s intangible cultural heritage, and conducted exploratory research on the learning intention and value influence indicators of citizens participating in intangible cultural heritage. The research design of this study was divided into two phases: the first phase was designed to collect evaluation indicators that affect the learning of intangible cultural heritage skills, and to support these data using semi-structured in-depth interviews. In the second phase, the convergence of the value indicators that affect the learning of intangible cultural heritage techniques was completed using questionnaire surveys and statistical analyses. Factor analysis was performed using SPSS software. SEM (structural equation modeling) confirmatory analysis was performed using Amos software. Through a two-stage hybrid study, a value recognition scale for the informal educational inheritance of intangible cultural heritage handicrafts was obtained within the local context of China. The scale contains four first-level indicators (ICH’s authenticity, cultural identity, performed value, and social recognition) and 17 second-level indicators. The research results were based on UNESCO’s education indicators for SDG 4, and put forward principles for practices aimed at protecting China’s intangible cultural heritage’s local informal education. Reflecting on the Chinese tradition of citizen participation in protecting intangible cultural heritage could provide references for the practice of intangible cultural heritage protection in other fields and regions. This is consistent with the UN’s SDG 4.7 (ensure all learners acquire knowledge and skills needed to promote sustainable development).","author":[{"dropping-particle":"","family":"Yan","given":"Wen Jie","non-dropping-particle":"","parse-names":false,"suffix":""},{"dropping-particle":"","family":"Chiou","given":"Shang Chia","non-dropping-particle":"","parse-names":false,"suffix":""}],"container-title":"Sustainability (Switzerland)","id":"ITEM-2","issue":"9","issued":{"date-parts":[["2021"]]},"title":"The safeguarding of intangible cultural heritage from the perspective of civic participation: The informal education of chinese embroidery handicrafts","type":"article-journal","volume":"13"},"uris":["http://www.mendeley.com/documents/?uuid=acb3ced4-b0b7-43e7-9e9e-0c5e128a9887"]}],"mendeley":{"formattedCitation":"(Tzima, Styliaras, Bassounas, &amp; Tzima, 2020; Yan &amp; Chiou, 2021)","plainTextFormattedCitation":"(Tzima, Styliaras, Bassounas, &amp; Tzima, 2020; Yan &amp; Chiou, 2021)","previouslyFormattedCitation":"(Tzima et al., 2020; Yan &amp; Chiou, 2021)"},"properties":{"noteIndex":0},"schema":"https://github.com/citation-style-language/schema/raw/master/csl-citation.json"}</w:instrText>
      </w:r>
      <w:r w:rsidRPr="005C24CD">
        <w:rPr>
          <w:spacing w:val="-2"/>
          <w:lang w:eastAsia="zh-CN"/>
        </w:rPr>
        <w:fldChar w:fldCharType="separate"/>
      </w:r>
      <w:r w:rsidR="00C11D39" w:rsidRPr="00C11D39">
        <w:rPr>
          <w:noProof/>
          <w:spacing w:val="-2"/>
          <w:lang w:eastAsia="zh-CN"/>
        </w:rPr>
        <w:t>(Tzima, Styliaras, Bassounas, &amp; Tzima, 2020; Yan &amp; Chiou, 2021)</w:t>
      </w:r>
      <w:r w:rsidRPr="005C24CD">
        <w:rPr>
          <w:spacing w:val="-2"/>
          <w:lang w:eastAsia="zh-CN"/>
        </w:rPr>
        <w:fldChar w:fldCharType="end"/>
      </w:r>
      <w:r w:rsidRPr="005C24CD">
        <w:rPr>
          <w:spacing w:val="-2"/>
          <w:lang w:eastAsia="zh-CN"/>
        </w:rPr>
        <w:t xml:space="preserve">. Implementing character education that integrates local wisdom not only helps build strong character and good morality, but also strengthens a sense of pride in cultural identity </w:t>
      </w:r>
      <w:r w:rsidRPr="005C24CD">
        <w:rPr>
          <w:spacing w:val="-2"/>
          <w:lang w:eastAsia="zh-CN"/>
        </w:rPr>
        <w:fldChar w:fldCharType="begin" w:fldLock="1"/>
      </w:r>
      <w:r w:rsidR="00C11D39">
        <w:rPr>
          <w:spacing w:val="-2"/>
          <w:lang w:eastAsia="zh-CN"/>
        </w:rPr>
        <w:instrText>ADDIN CSL_CITATION {"citationItems":[{"id":"ITEM-1","itemData":{"DOI":"10.4108/eai.19-10-2018.2281394","abstract":"… This study aims: (1) the meaning contained in local wisdom and (2) Application of local wisdom-based character education in elementary school education. Data collection techniques …","author":[{"dropping-particle":"","family":"Pradita","given":"Linda","non-dropping-particle":"","parse-names":false,"suffix":""},{"dropping-particle":"","family":"Sumarlam","given":"Sumarlam","non-dropping-particle":"","parse-names":false,"suffix":""},{"dropping-particle":"","family":"Saddono","given":"Kundharu","non-dropping-particle":"","parse-names":false,"suffix":""},{"dropping-particle":"","family":"Rohmadi","given":"Muhammad","non-dropping-particle":"","parse-names":false,"suffix":""}],"container-title":"Proceedings of the 1st International Conference on Science and Technology for an Internet of Things,","id":"ITEM-1","issued":{"date-parts":[["2018"]]},"title":"Strengthening the Character of Students Based on Local Cultural Wisdom in “Petatah Petitih Sunan Gunung Jati”","type":"paper-conference"},"uris":["http://www.mendeley.com/documents/?uuid=5a238aab-0835-4bdf-8b2d-2d7d75b5d20b"]},{"id":"ITEM-2","itemData":{"DOI":"10.33650/al-tanzim.v5i2.1970","ISSN":"2549-3663","abstract":"This study aims to describe the integrated school management with PPK. The research was conducted at Muhammadiyah Wirobrajan 3 Elementary School in Yogyakarta City (Wibraga). This research is a qualitative approach. Data were collected through interviews, observations, and documentation. The results of this research are as follows: Firstly, the school management was integrated with the character education program at Wibraga, covering four functions; 1) The systemic-integrative planning by forming a development team for formulating PPK programs; 2) The organizing job description with three departments, the head of Curriculum and Teaching, ISMUBA and BHI, and Activities and Student Affairs; 3) The implementation of PPK programs was integrated through intra-curricular activities, the class based on co-curricular and extracurricular activities, Islamic and society life culture; 4) The controlling of PPK programs was realized in attitude books, school regulations, and external supervision with teachers, public relations, student parents, and local society.","author":[{"dropping-particle":"","family":"Atika","given":"Atika","non-dropping-particle":"","parse-names":false,"suffix":""},{"dropping-particle":"","family":"Arifin","given":"Zainal","non-dropping-particle":"","parse-names":false,"suffix":""},{"dropping-particle":"","family":"Jannana","given":"Nora Saiva","non-dropping-particle":"","parse-names":false,"suffix":""}],"container-title":"AL-TANZIM: Jurnal Manajemen Pendidikan Islam","id":"ITEM-2","issue":"2","issued":{"date-parts":[["2021"]]},"page":"15-26","title":"Integrated School Management-Character Education Affirmation: a Case Study in Muhammadiyah Wirobrajan 3 Elementary School Yogyakarta","type":"article-journal","volume":"5"},"uris":["http://www.mendeley.com/documents/?uuid=3b62c384-34a6-48ac-ac60-3a0fdcb36e8e"]}],"mendeley":{"formattedCitation":"(Atika, Arifin, &amp; Jannana, 2021; Pradita, Sumarlam, Saddono, &amp; Rohmadi, 2018)","plainTextFormattedCitation":"(Atika, Arifin, &amp; Jannana, 2021; Pradita, Sumarlam, Saddono, &amp; Rohmadi, 2018)","previouslyFormattedCitation":"(Atika et al., 2021; Pradita et al., 2018)"},"properties":{"noteIndex":0},"schema":"https://github.com/citation-style-language/schema/raw/master/csl-citation.json"}</w:instrText>
      </w:r>
      <w:r w:rsidRPr="005C24CD">
        <w:rPr>
          <w:spacing w:val="-2"/>
          <w:lang w:eastAsia="zh-CN"/>
        </w:rPr>
        <w:fldChar w:fldCharType="separate"/>
      </w:r>
      <w:r w:rsidR="00C11D39" w:rsidRPr="00C11D39">
        <w:rPr>
          <w:noProof/>
          <w:spacing w:val="-2"/>
          <w:lang w:eastAsia="zh-CN"/>
        </w:rPr>
        <w:t>(Atika, Arifin, &amp; Jannana, 2021; Pradita, Sumarlam, Saddono, &amp; Rohmadi, 2018)</w:t>
      </w:r>
      <w:r w:rsidRPr="005C24CD">
        <w:rPr>
          <w:spacing w:val="-2"/>
          <w:lang w:eastAsia="zh-CN"/>
        </w:rPr>
        <w:fldChar w:fldCharType="end"/>
      </w:r>
      <w:r w:rsidRPr="005C24CD">
        <w:rPr>
          <w:spacing w:val="-2"/>
          <w:lang w:eastAsia="zh-CN"/>
        </w:rPr>
        <w:t>. In doing so, students become better prepared to face global challenges while remaining true to their cultural roots.</w:t>
      </w:r>
    </w:p>
    <w:p w14:paraId="1D7FD613" w14:textId="5E82789E" w:rsidR="005C24CD" w:rsidRPr="005C24CD" w:rsidRDefault="005C24CD" w:rsidP="005C24CD">
      <w:pPr>
        <w:pStyle w:val="Alishlah31text"/>
        <w:rPr>
          <w:spacing w:val="-2"/>
          <w:lang w:eastAsia="zh-CN"/>
        </w:rPr>
      </w:pPr>
      <w:r w:rsidRPr="005C24CD">
        <w:rPr>
          <w:spacing w:val="-2"/>
          <w:lang w:eastAsia="zh-CN"/>
        </w:rPr>
        <w:t xml:space="preserve">One of the local wisdoms that can be applied in integrating character education in history learning is the local wisdom of </w:t>
      </w:r>
      <w:proofErr w:type="spellStart"/>
      <w:r w:rsidRPr="005C24CD">
        <w:rPr>
          <w:spacing w:val="-2"/>
          <w:lang w:eastAsia="zh-CN"/>
        </w:rPr>
        <w:t>Tepuk</w:t>
      </w:r>
      <w:proofErr w:type="spellEnd"/>
      <w:r w:rsidRPr="005C24CD">
        <w:rPr>
          <w:spacing w:val="-2"/>
          <w:lang w:eastAsia="zh-CN"/>
        </w:rPr>
        <w:t xml:space="preserve"> </w:t>
      </w:r>
      <w:proofErr w:type="spellStart"/>
      <w:r w:rsidRPr="005C24CD">
        <w:rPr>
          <w:spacing w:val="-2"/>
          <w:lang w:eastAsia="zh-CN"/>
        </w:rPr>
        <w:t>tepung</w:t>
      </w:r>
      <w:proofErr w:type="spellEnd"/>
      <w:r w:rsidRPr="005C24CD">
        <w:rPr>
          <w:spacing w:val="-2"/>
          <w:lang w:eastAsia="zh-CN"/>
        </w:rPr>
        <w:t xml:space="preserve"> </w:t>
      </w:r>
      <w:proofErr w:type="spellStart"/>
      <w:r w:rsidRPr="005C24CD">
        <w:rPr>
          <w:spacing w:val="-2"/>
          <w:lang w:eastAsia="zh-CN"/>
        </w:rPr>
        <w:t>tawar</w:t>
      </w:r>
      <w:proofErr w:type="spellEnd"/>
      <w:r w:rsidRPr="005C24CD">
        <w:rPr>
          <w:spacing w:val="-2"/>
          <w:lang w:eastAsia="zh-CN"/>
        </w:rPr>
        <w:t xml:space="preserve"> which comes from Riau province. The wisdom of </w:t>
      </w:r>
      <w:proofErr w:type="spellStart"/>
      <w:r w:rsidRPr="005C24CD">
        <w:rPr>
          <w:spacing w:val="-2"/>
          <w:lang w:eastAsia="zh-CN"/>
        </w:rPr>
        <w:t>Tepuk</w:t>
      </w:r>
      <w:proofErr w:type="spellEnd"/>
      <w:r w:rsidRPr="005C24CD">
        <w:rPr>
          <w:spacing w:val="-2"/>
          <w:lang w:eastAsia="zh-CN"/>
        </w:rPr>
        <w:t xml:space="preserve"> </w:t>
      </w:r>
      <w:proofErr w:type="spellStart"/>
      <w:r w:rsidRPr="005C24CD">
        <w:rPr>
          <w:spacing w:val="-2"/>
          <w:lang w:eastAsia="zh-CN"/>
        </w:rPr>
        <w:t>tepung</w:t>
      </w:r>
      <w:proofErr w:type="spellEnd"/>
      <w:r w:rsidRPr="005C24CD">
        <w:rPr>
          <w:spacing w:val="-2"/>
          <w:lang w:eastAsia="zh-CN"/>
        </w:rPr>
        <w:t xml:space="preserve"> </w:t>
      </w:r>
      <w:proofErr w:type="spellStart"/>
      <w:r w:rsidRPr="005C24CD">
        <w:rPr>
          <w:spacing w:val="-2"/>
          <w:lang w:eastAsia="zh-CN"/>
        </w:rPr>
        <w:t>tawar</w:t>
      </w:r>
      <w:proofErr w:type="spellEnd"/>
      <w:r w:rsidRPr="005C24CD">
        <w:rPr>
          <w:spacing w:val="-2"/>
          <w:lang w:eastAsia="zh-CN"/>
        </w:rPr>
        <w:t xml:space="preserve"> is a traditional Riau Malay cultural ceremony inherited from previous kings which is used as a form of thanksgiving offering </w:t>
      </w:r>
      <w:r w:rsidRPr="005C24CD">
        <w:rPr>
          <w:spacing w:val="-2"/>
          <w:lang w:eastAsia="zh-CN"/>
        </w:rPr>
        <w:fldChar w:fldCharType="begin" w:fldLock="1"/>
      </w:r>
      <w:r w:rsidRPr="005C24CD">
        <w:rPr>
          <w:spacing w:val="-2"/>
          <w:lang w:eastAsia="zh-CN"/>
        </w:rPr>
        <w:instrText>ADDIN CSL_CITATION {"citationItems":[{"id":"ITEM-1","itemData":{"author":[{"dropping-particle":"","family":"Ardiansyah","given":"Ogie","non-dropping-particle":"","parse-names":false,"suffix":""},{"dropping-particle":"","family":"Masrokhin","given":"Masrokhin","non-dropping-particle":"","parse-names":false,"suffix":""}],"container-title":"El-Usrah: Jurnal Hukum Keluarga","id":"ITEM-1","issue":"3","issued":{"date-parts":[["2023"]]},"page":"2023","title":"The Tradition of Tepuk Tepung Tawar in Malay Weddings from the Perspective of Islamic Law: A Case Study at Tanjungpinang, Riau Islands","type":"article-journal","volume":"46"},"uris":["http://www.mendeley.com/documents/?uuid=b5574262-eb75-4645-a512-23ab83c4925e"]}],"mendeley":{"formattedCitation":"(Ardiansyah &amp; Masrokhin, 2023)","plainTextFormattedCitation":"(Ardiansyah &amp; Masrokhin, 2023)","previouslyFormattedCitation":"(Ardiansyah &amp; Masrokhin, 2023)"},"properties":{"noteIndex":0},"schema":"https://github.com/citation-style-language/schema/raw/master/csl-citation.json"}</w:instrText>
      </w:r>
      <w:r w:rsidRPr="005C24CD">
        <w:rPr>
          <w:spacing w:val="-2"/>
          <w:lang w:eastAsia="zh-CN"/>
        </w:rPr>
        <w:fldChar w:fldCharType="separate"/>
      </w:r>
      <w:r w:rsidRPr="005C24CD">
        <w:rPr>
          <w:noProof/>
          <w:spacing w:val="-2"/>
          <w:lang w:eastAsia="zh-CN"/>
        </w:rPr>
        <w:t>(Ardiansyah &amp; Masrokhin, 2023)</w:t>
      </w:r>
      <w:r w:rsidRPr="005C24CD">
        <w:rPr>
          <w:spacing w:val="-2"/>
          <w:lang w:eastAsia="zh-CN"/>
        </w:rPr>
        <w:fldChar w:fldCharType="end"/>
      </w:r>
      <w:r w:rsidRPr="005C24CD">
        <w:rPr>
          <w:spacing w:val="-2"/>
          <w:lang w:eastAsia="zh-CN"/>
        </w:rPr>
        <w:t xml:space="preserve">. Local wisdom is that </w:t>
      </w:r>
      <w:proofErr w:type="spellStart"/>
      <w:r w:rsidRPr="005C24CD">
        <w:rPr>
          <w:spacing w:val="-2"/>
          <w:lang w:eastAsia="zh-CN"/>
        </w:rPr>
        <w:t>Tepuk</w:t>
      </w:r>
      <w:proofErr w:type="spellEnd"/>
      <w:r w:rsidRPr="005C24CD">
        <w:rPr>
          <w:spacing w:val="-2"/>
          <w:lang w:eastAsia="zh-CN"/>
        </w:rPr>
        <w:t xml:space="preserve"> </w:t>
      </w:r>
      <w:proofErr w:type="spellStart"/>
      <w:r w:rsidRPr="005C24CD">
        <w:rPr>
          <w:spacing w:val="-2"/>
          <w:lang w:eastAsia="zh-CN"/>
        </w:rPr>
        <w:t>tepung</w:t>
      </w:r>
      <w:proofErr w:type="spellEnd"/>
      <w:r w:rsidRPr="005C24CD">
        <w:rPr>
          <w:spacing w:val="-2"/>
          <w:lang w:eastAsia="zh-CN"/>
        </w:rPr>
        <w:t xml:space="preserve"> </w:t>
      </w:r>
      <w:proofErr w:type="spellStart"/>
      <w:r w:rsidRPr="005C24CD">
        <w:rPr>
          <w:spacing w:val="-2"/>
          <w:lang w:eastAsia="zh-CN"/>
        </w:rPr>
        <w:t>tawar</w:t>
      </w:r>
      <w:proofErr w:type="spellEnd"/>
      <w:r w:rsidRPr="005C24CD">
        <w:rPr>
          <w:spacing w:val="-2"/>
          <w:lang w:eastAsia="zh-CN"/>
        </w:rPr>
        <w:t xml:space="preserve"> is usually used for certain events such as weddings, moving into a new house, driving a new vehicle, circumcisions, and other forms of outbursts of joy for people having celebrations </w:t>
      </w:r>
      <w:r w:rsidRPr="005C24CD">
        <w:rPr>
          <w:spacing w:val="-2"/>
          <w:lang w:eastAsia="zh-CN"/>
        </w:rPr>
        <w:fldChar w:fldCharType="begin" w:fldLock="1"/>
      </w:r>
      <w:r w:rsidR="00C11D39">
        <w:rPr>
          <w:spacing w:val="-2"/>
          <w:lang w:eastAsia="zh-CN"/>
        </w:rPr>
        <w:instrText>ADDIN CSL_CITATION {"citationItems":[{"id":"ITEM-1","itemData":{"DOI":"10.53398/ja.v2i2.317","ISSN":"2830-3318","abstract":"The Tepuk Tepung Tawar tradition is one of the traditional customs of the Malay community, especially in Rupat District, Pangkalan Nyirih Village. Fresh flour is divided into two types, namely in events such as weddings, haircuts, circumcision, erection of houses and moving. at the same time Goods or equipment purchased In general, for example cars, motorbikes, and canoes. Malay society is a society that is passionate about upholding cultural values as a whole, including truth, justice, and respect for all differences. Especially the Malay community in the village of Nyirih Base, the people really care about and uphold customs. This study aims to find out how the Flour Tradition is in Pangkalan Nyirih Village, Dusun V Sei Cuna, Rupat District, Bengkalis Regency, and to find out how the flour tradition is from an Islamic perspective. Qualitative field research is the approach taken. As a result, data will be collected through interviews with community leaders (traditional leaders) in Pangkalan Nyirih Village, Rupat District, Bengkalis Regency with the title Bargaining Tradition in the Islamic Perspective of the Riau Malay Community. This research is included in the analysis description research. In this study, researchers used critical analysis or also known as critical discourse analysis. In this method, the data is processed from the perspective of the researcher by examining the theoretical weaknesses of the data findings","author":[{"dropping-particle":"","family":"Mariatik","given":"Mariatik","non-dropping-particle":"","parse-names":false,"suffix":""},{"dropping-particle":"","family":"Maizatul","given":"Maizatul","non-dropping-particle":"","parse-names":false,"suffix":""},{"dropping-particle":"","family":"Jailani","given":"Ahmad","non-dropping-particle":"","parse-names":false,"suffix":""}],"container-title":"Jurnal Al-Kifayah: Ilmu Tarbiyah dan Keguruan","id":"ITEM-1","issue":"2","issued":{"date-parts":[["2023"]]},"page":"268-280","title":"Tradisi Tepuk Tepung Tawar Dalam Perspektif Islam Masyarakat Melayu Riau Di Desa Pangkalan Nyirih Kecamatan Rupat Kabupaten Bengkalis","type":"article-journal","volume":"2"},"uris":["http://www.mendeley.com/documents/?uuid=9850c463-db07-4079-a38b-7ec5a08dfdbf"]},{"id":"ITEM-2","itemData":{"abstract":"Teacher performance is one of the factors in developing the potential of participants as a form of improving the quality of education. The quality of education and the development of students in Indonesia cannot be separated from Indonesia's positioning with other countries in the world as a mirroring indicator of the quality of education. This study aimed to determine the effect of Servant leadership, compensation, and professional development as variables on teacher performance. This study uses a qualitative approach with the method used is a survey method with the AMOS type SEM technique. The research was conducted at a Public Elementary School in Region II West Jakarta, DKI Jakarta Province, Indonesia. The population in this study used Random SampliRandomobtain, a population of 745 PNS teachers who were certified educators. As for data collection techniques using questionnaires and questionnaires. The data results show an influence of Servant leadership, compensation, and professional development as variables on teacher performance. Keywords:","author":[{"dropping-particle":"","family":"Rehayati","given":"Rina","non-dropping-particle":"","parse-names":false,"suffix":""},{"dropping-particle":"","family":"Hasbi","given":"M. Ridwan","non-dropping-particle":"","parse-names":false,"suffix":""},{"dropping-particle":"","family":"Martius","given":"","non-dropping-particle":"","parse-names":false,"suffix":""}],"container-title":"International Journal of Social Science Research and Review","id":"ITEM-2","issue":"1","issued":{"date-parts":[["2023"]]},"page":"159-165","title":"An Exploration of Local Wisdom: Rites of Passage in Malay Culture in Riau and Palembang","type":"article-journal","volume":"5"},"uris":["http://www.mendeley.com/documents/?uuid=5b888ee4-070e-46ad-8f6d-879b54f35bf5"]}],"mendeley":{"formattedCitation":"(Mariatik, Maizatul, &amp; Jailani, 2023; Rehayati, Hasbi, &amp; Martius, 2023)","plainTextFormattedCitation":"(Mariatik, Maizatul, &amp; Jailani, 2023; Rehayati, Hasbi, &amp; Martius, 2023)","previouslyFormattedCitation":"(Mariatik et al., 2023; Rehayati et al., 2023)"},"properties":{"noteIndex":0},"schema":"https://github.com/citation-style-language/schema/raw/master/csl-citation.json"}</w:instrText>
      </w:r>
      <w:r w:rsidRPr="005C24CD">
        <w:rPr>
          <w:spacing w:val="-2"/>
          <w:lang w:eastAsia="zh-CN"/>
        </w:rPr>
        <w:fldChar w:fldCharType="separate"/>
      </w:r>
      <w:r w:rsidR="00C11D39" w:rsidRPr="00C11D39">
        <w:rPr>
          <w:noProof/>
          <w:spacing w:val="-2"/>
          <w:lang w:eastAsia="zh-CN"/>
        </w:rPr>
        <w:t>(Mariatik, Maizatul, &amp; Jailani, 2023; Rehayati, Hasbi, &amp; Martius, 2023)</w:t>
      </w:r>
      <w:r w:rsidRPr="005C24CD">
        <w:rPr>
          <w:spacing w:val="-2"/>
          <w:lang w:eastAsia="zh-CN"/>
        </w:rPr>
        <w:fldChar w:fldCharType="end"/>
      </w:r>
      <w:r w:rsidRPr="005C24CD">
        <w:rPr>
          <w:spacing w:val="-2"/>
          <w:lang w:eastAsia="zh-CN"/>
        </w:rPr>
        <w:t xml:space="preserve">. Teachers might use the local wisdom of </w:t>
      </w:r>
      <w:proofErr w:type="spellStart"/>
      <w:r w:rsidRPr="005C24CD">
        <w:rPr>
          <w:spacing w:val="-2"/>
          <w:lang w:eastAsia="zh-CN"/>
        </w:rPr>
        <w:t>Tepuk</w:t>
      </w:r>
      <w:proofErr w:type="spellEnd"/>
      <w:r w:rsidRPr="005C24CD">
        <w:rPr>
          <w:spacing w:val="-2"/>
          <w:lang w:eastAsia="zh-CN"/>
        </w:rPr>
        <w:t xml:space="preserve"> </w:t>
      </w:r>
      <w:proofErr w:type="spellStart"/>
      <w:r w:rsidRPr="005C24CD">
        <w:rPr>
          <w:spacing w:val="-2"/>
          <w:lang w:eastAsia="zh-CN"/>
        </w:rPr>
        <w:t>tepung</w:t>
      </w:r>
      <w:proofErr w:type="spellEnd"/>
      <w:r w:rsidRPr="005C24CD">
        <w:rPr>
          <w:spacing w:val="-2"/>
          <w:lang w:eastAsia="zh-CN"/>
        </w:rPr>
        <w:t xml:space="preserve"> </w:t>
      </w:r>
      <w:proofErr w:type="spellStart"/>
      <w:r w:rsidRPr="005C24CD">
        <w:rPr>
          <w:spacing w:val="-2"/>
          <w:lang w:eastAsia="zh-CN"/>
        </w:rPr>
        <w:t>tawar</w:t>
      </w:r>
      <w:proofErr w:type="spellEnd"/>
      <w:r w:rsidRPr="005C24CD">
        <w:rPr>
          <w:spacing w:val="-2"/>
          <w:lang w:eastAsia="zh-CN"/>
        </w:rPr>
        <w:t xml:space="preserve"> to enhance pupils' character qualities. This can help students to develop a deeper understanding of local wisdom that still exists today </w:t>
      </w:r>
      <w:r w:rsidRPr="005C24CD">
        <w:rPr>
          <w:spacing w:val="-2"/>
          <w:lang w:eastAsia="zh-CN"/>
        </w:rPr>
        <w:fldChar w:fldCharType="begin" w:fldLock="1"/>
      </w:r>
      <w:r w:rsidR="00C11D39">
        <w:rPr>
          <w:spacing w:val="-2"/>
          <w:lang w:eastAsia="zh-CN"/>
        </w:rPr>
        <w:instrText>ADDIN CSL_CITATION {"citationItems":[{"id":"ITEM-1","itemData":{"DOI":"10.1088/1742-6596/1816/1/012105","ISSN":"17426596","abstract":"This study aims to describe local wisdom on the island of Lombok that has the potential for ethnoscience to develop a learning model at Junior High School. This research uses a qualitative approach. The data collection method is done by using observation, interview, documentation, and literature study. The results showed that local wisdom on the island of Lombok that has the potential for ethnoscience is Sasak Sade Village, Bau Nyale Tradition, Sesek Weaving, Gendang Beleq, and Poteng Reket. Sasak Sade Village has a traditional house using certain sizes, namely length (Sedepa), width (Sesata), and height (Sprunjung). The Bau Nyale tradition is the hunting tradition of Nyale (sea worms). Sesek Weaving has various motifs and philosophies, various preparation processes, weaving and finishing processes to traditional waste utilization. Gendang Beleq is a traditional musical instrument made of animal skin and the two sides are closed, when it is hit the sound will bounce off the other side and go through a damping process so the resulting sound will sound smoother. Poteng Reket is a conventional biotechnology product. This local wisdom that has the potential for ethnoscience can be utilized in the development of learning models, especially in science subjects at Junior High School.","author":[{"dropping-particle":"","family":"Hikmawati","given":"","non-dropping-particle":"","parse-names":false,"suffix":""},{"dropping-particle":"","family":"Suastra","given":"I. W.","non-dropping-particle":"","parse-names":false,"suffix":""},{"dropping-particle":"","family":"Pujani","given":"N. M.","non-dropping-particle":"","parse-names":false,"suffix":""}],"container-title":"Journal of Physics: Conference Series","id":"ITEM-1","issued":{"date-parts":[["2021"]]},"title":"Local wisdom in Lombok island with the potential of ethnoscience for the development of learning models in junior high school","type":"paper-conference"},"uris":["http://www.mendeley.com/documents/?uuid=fb5a3c42-3438-49f6-b960-c57a24fb195d"]}],"mendeley":{"formattedCitation":"(Hikmawati, Suastra, &amp; Pujani, 2021)","plainTextFormattedCitation":"(Hikmawati, Suastra, &amp; Pujani, 2021)","previouslyFormattedCitation":"(Hikmawati et al., 2021)"},"properties":{"noteIndex":0},"schema":"https://github.com/citation-style-language/schema/raw/master/csl-citation.json"}</w:instrText>
      </w:r>
      <w:r w:rsidRPr="005C24CD">
        <w:rPr>
          <w:spacing w:val="-2"/>
          <w:lang w:eastAsia="zh-CN"/>
        </w:rPr>
        <w:fldChar w:fldCharType="separate"/>
      </w:r>
      <w:r w:rsidR="00C11D39" w:rsidRPr="00C11D39">
        <w:rPr>
          <w:noProof/>
          <w:spacing w:val="-2"/>
          <w:lang w:eastAsia="zh-CN"/>
        </w:rPr>
        <w:t>(Hikmawati, Suastra, &amp; Pujani, 2021)</w:t>
      </w:r>
      <w:r w:rsidRPr="005C24CD">
        <w:rPr>
          <w:spacing w:val="-2"/>
          <w:lang w:eastAsia="zh-CN"/>
        </w:rPr>
        <w:fldChar w:fldCharType="end"/>
      </w:r>
      <w:r w:rsidRPr="005C24CD">
        <w:rPr>
          <w:spacing w:val="-2"/>
          <w:lang w:eastAsia="zh-CN"/>
        </w:rPr>
        <w:t xml:space="preserve">. </w:t>
      </w:r>
      <w:proofErr w:type="gramStart"/>
      <w:r w:rsidRPr="005C24CD">
        <w:rPr>
          <w:spacing w:val="-2"/>
          <w:lang w:eastAsia="zh-CN"/>
        </w:rPr>
        <w:t>Thus learning not only from textbooks, but also from cultural practices that have been passed down from generation to generation.</w:t>
      </w:r>
      <w:proofErr w:type="gramEnd"/>
      <w:r w:rsidRPr="005C24CD">
        <w:rPr>
          <w:spacing w:val="-2"/>
          <w:lang w:eastAsia="zh-CN"/>
        </w:rPr>
        <w:t xml:space="preserve"> This also strengthens students' sense of identity with the culture and society that occurs around them.</w:t>
      </w:r>
    </w:p>
    <w:p w14:paraId="407D9049" w14:textId="03E20742" w:rsidR="005C24CD" w:rsidRPr="00443C4D" w:rsidRDefault="005C24CD" w:rsidP="005C24CD">
      <w:pPr>
        <w:pStyle w:val="Alishlah31text"/>
        <w:rPr>
          <w:spacing w:val="-2"/>
          <w:lang w:eastAsia="zh-CN"/>
        </w:rPr>
      </w:pPr>
      <w:r w:rsidRPr="005C24CD">
        <w:rPr>
          <w:spacing w:val="-2"/>
          <w:lang w:eastAsia="zh-CN"/>
        </w:rPr>
        <w:t xml:space="preserve">Several studies on character formation through local wisdom values, such as research conducted by </w:t>
      </w:r>
      <w:proofErr w:type="spellStart"/>
      <w:r w:rsidRPr="005C24CD">
        <w:rPr>
          <w:spacing w:val="-2"/>
          <w:lang w:eastAsia="zh-CN"/>
        </w:rPr>
        <w:t>Muhtar</w:t>
      </w:r>
      <w:proofErr w:type="spellEnd"/>
      <w:r w:rsidRPr="005C24CD">
        <w:rPr>
          <w:spacing w:val="-2"/>
          <w:lang w:eastAsia="zh-CN"/>
        </w:rPr>
        <w:t xml:space="preserve"> </w:t>
      </w:r>
      <w:r w:rsidRPr="005C24CD">
        <w:rPr>
          <w:spacing w:val="-2"/>
          <w:lang w:eastAsia="zh-CN"/>
        </w:rPr>
        <w:fldChar w:fldCharType="begin" w:fldLock="1"/>
      </w:r>
      <w:r w:rsidRPr="005C24CD">
        <w:rPr>
          <w:spacing w:val="-2"/>
          <w:lang w:eastAsia="zh-CN"/>
        </w:rPr>
        <w:instrText>ADDIN CSL_CITATION {"citationItems":[{"id":"ITEM-1","itemData":{"abstract":"Blended learning merupakan salah satu model pembelajaran inovatif yang mengintegrasikan teknologi sesuai dengan tuntutan pembelajaran abad ke-21 dan relevan dengan pembelajaran masa covid-19, namun di Indonesia khususnya Sekolah Dasar belum banyak yang mengimplementasikan model pembelajaran blended learning bahkan guru ada yang belum mengetahui model pembelajaran ini. Penelitian ini bertujuan untuk mendeskripsikan implementasi pembelajaran blended learning dan pengaruhnya terhadap peserta didik sehingga guru di Sekolah Dasar dapat tertarik untuk mengembangkan serta menerapkan model pembelajaran Blended Learning di sekolahnya. Metode yang digunakan adalah tinjauan Pustaka sistematis. Hasil pengumpulan 30 artikel tentang blended learning di berbagai jenjang pendidikan, peneliti melakukan reduksi artikel agar literature review sesuai dengan topik yang dimuat pada artikel ini. Reduksi yang dilakukan peneliti adalah memilih artikel dan prosiding dengan beberapa kriteria sehingga didapatkan 10 artikel. Artikel yang terkumpul adalah 5 artikel nasional dan 5 artikel internasional. Langkah selanjutnya peneliti mereview artikel yang telah dikumpulkan serta direduksi sesuai kriteria yang ditentukan. Berdasarkan hasil penelitian diperoleh Pembelajaran blended learning dapat diterapkan di sekolah dasar dengan cara offline ataupun hybrid learning. Pembelajaran dengan online dapat dilakukan dengan menggunakan berbagai macam platform online seperti portal rumah belajar, google classroom, Edmodo, web, kipin school dan sebagainya.","author":[{"dropping-particle":"","family":"Maharani","given":"Suci Trisia","non-dropping-particle":"","parse-names":false,"suffix":""},{"dropping-particle":"","family":"Muhtar","given":"Tatang","non-dropping-particle":"","parse-names":false,"suffix":""}],"container-title":"Jurnal Basicedu","id":"ITEM-1","issue":"1","issued":{"date-parts":[["2024"]]},"page":"466-467","title":"Implementasi Pembelajaran Berbasis Kearifan Lokal untuk Meningkatkan Karakter Siswa","type":"article-journal","volume":"8"},"uris":["http://www.mendeley.com/documents/?uuid=20dcccd9-22f6-4b3b-a19b-2a343b1fe15f"]}],"mendeley":{"formattedCitation":"(Maharani &amp; Muhtar, 2024)","manualFormatting":"(2024)","plainTextFormattedCitation":"(Maharani &amp; Muhtar, 2024)","previouslyFormattedCitation":"(Maharani &amp; Muhtar, 2024)"},"properties":{"noteIndex":0},"schema":"https://github.com/citation-style-language/schema/raw/master/csl-citation.json"}</w:instrText>
      </w:r>
      <w:r w:rsidRPr="005C24CD">
        <w:rPr>
          <w:spacing w:val="-2"/>
          <w:lang w:eastAsia="zh-CN"/>
        </w:rPr>
        <w:fldChar w:fldCharType="separate"/>
      </w:r>
      <w:r w:rsidRPr="005C24CD">
        <w:rPr>
          <w:noProof/>
          <w:spacing w:val="-2"/>
          <w:lang w:eastAsia="zh-CN"/>
        </w:rPr>
        <w:t>(2024)</w:t>
      </w:r>
      <w:r w:rsidRPr="005C24CD">
        <w:rPr>
          <w:spacing w:val="-2"/>
          <w:lang w:eastAsia="zh-CN"/>
        </w:rPr>
        <w:fldChar w:fldCharType="end"/>
      </w:r>
      <w:r w:rsidRPr="005C24CD">
        <w:rPr>
          <w:spacing w:val="-2"/>
          <w:lang w:eastAsia="zh-CN"/>
        </w:rPr>
        <w:t xml:space="preserve"> which examines the implementation of local wisdom-based learning to improve student character through literature studies that focus on local wisdom and student character. Research by </w:t>
      </w:r>
      <w:proofErr w:type="spellStart"/>
      <w:r w:rsidRPr="005C24CD">
        <w:rPr>
          <w:spacing w:val="-2"/>
          <w:lang w:eastAsia="zh-CN"/>
        </w:rPr>
        <w:t>Enceng</w:t>
      </w:r>
      <w:proofErr w:type="spellEnd"/>
      <w:r w:rsidRPr="005C24CD">
        <w:rPr>
          <w:spacing w:val="-2"/>
          <w:lang w:eastAsia="zh-CN"/>
        </w:rPr>
        <w:t xml:space="preserve"> </w:t>
      </w:r>
      <w:r w:rsidRPr="005C24CD">
        <w:rPr>
          <w:spacing w:val="-2"/>
          <w:lang w:eastAsia="zh-CN"/>
        </w:rPr>
        <w:fldChar w:fldCharType="begin" w:fldLock="1"/>
      </w:r>
      <w:r w:rsidR="00C11D39">
        <w:rPr>
          <w:spacing w:val="-2"/>
          <w:lang w:eastAsia="zh-CN"/>
        </w:rPr>
        <w:instrText>ADDIN CSL_CITATION {"citationItems":[{"id":"ITEM-1","itemData":{"DOI":"10.46843/jiecr.v4i3.910","ISSN":"2722-9696","abstract":"This study aims to determine the values of Cirebon Batik's local wisdom that can be used as an alternative source and material for developing economic behavior. This research was designed qualitatively, collecting data through interviews, observation, and document analysis. The research was conducted in Cirebon Regency. The batik craftsmen were key informants, boutique owners, batik leaders, employees, and local government, who became supporting informants in this study. The results show three aspects of economic behavior in the activities of batik craftsmen: economic morality, rationality, and altruism. The value of local wisdom that can be used to determine student behavior is the attitude of morality reflected in the attitude of honesty, discipline, commitment, and prioritizing the interests of others. Rationality is reflected in the attitude of wisdom, feeling sufficient in economic terms, and effective and efficient consideration in economic aspects, and altruism is reflected in the attitude of concern for others, sincere sharing, and empathy. This study finds that traditional Cirebon batik motifs are relevant to the value of five characteristics of education, including religion, nationalism, independence, mutual cooperation, and integrity. The values in Cirebon batik motifs can then be used as a learning resource for students, especially for developing character education based on cultural heritage. The academic contribution of this research can improve good economic behavior in the midst of eroding moral values and the love of the younger generation for local culture. The results of this study can be used as a reference for stakeholders in instilling and developing positive character, wise and able to preserve the prevailing local wisdom values.","author":[{"dropping-particle":"","family":"Yana","given":"Enceng","non-dropping-particle":"","parse-names":false,"suffix":""},{"dropping-particle":"","family":"Anisah","given":"Aan","non-dropping-particle":"","parse-names":false,"suffix":""},{"dropping-particle":"","family":"Yulianto","given":"Agung","non-dropping-particle":"","parse-names":false,"suffix":""}],"container-title":"Journal of Innovation in Educational and Cultural Research","id":"ITEM-1","issue":"3","issued":{"date-parts":[["2023"]]},"page":"534-543","title":"Ethnopedagogical Study of Local Wisdom Values as a Source of Learning for Forming Economic Behavior","type":"article-journal","volume":"4"},"uris":["http://www.mendeley.com/documents/?uuid=cb76cdcf-3df0-416a-a573-9b873653a21b"]}],"mendeley":{"formattedCitation":"(Yana, Anisah, &amp; Yulianto, 2023)","manualFormatting":"(2023)","plainTextFormattedCitation":"(Yana, Anisah, &amp; Yulianto, 2023)","previouslyFormattedCitation":"(Yana et al., 2023)"},"properties":{"noteIndex":0},"schema":"https://github.com/citation-style-language/schema/raw/master/csl-citation.json"}</w:instrText>
      </w:r>
      <w:r w:rsidRPr="005C24CD">
        <w:rPr>
          <w:spacing w:val="-2"/>
          <w:lang w:eastAsia="zh-CN"/>
        </w:rPr>
        <w:fldChar w:fldCharType="separate"/>
      </w:r>
      <w:r w:rsidRPr="005C24CD">
        <w:rPr>
          <w:noProof/>
          <w:spacing w:val="-2"/>
          <w:lang w:eastAsia="zh-CN"/>
        </w:rPr>
        <w:t>(2023)</w:t>
      </w:r>
      <w:r w:rsidRPr="005C24CD">
        <w:rPr>
          <w:spacing w:val="-2"/>
          <w:lang w:eastAsia="zh-CN"/>
        </w:rPr>
        <w:fldChar w:fldCharType="end"/>
      </w:r>
      <w:r w:rsidRPr="005C24CD">
        <w:rPr>
          <w:spacing w:val="-2"/>
          <w:lang w:eastAsia="zh-CN"/>
        </w:rPr>
        <w:t xml:space="preserve"> which aims to develop character education values ​​based on local wisdom in elementary school students by including local batik motifs. Furthermore, research conducted by </w:t>
      </w:r>
      <w:proofErr w:type="spellStart"/>
      <w:r w:rsidRPr="005C24CD">
        <w:rPr>
          <w:spacing w:val="-2"/>
          <w:lang w:eastAsia="zh-CN"/>
        </w:rPr>
        <w:t>Arizaldy</w:t>
      </w:r>
      <w:proofErr w:type="spellEnd"/>
      <w:r w:rsidRPr="005C24CD">
        <w:rPr>
          <w:spacing w:val="-2"/>
          <w:lang w:eastAsia="zh-CN"/>
        </w:rPr>
        <w:t xml:space="preserve">  </w:t>
      </w:r>
      <w:r w:rsidRPr="005C24CD">
        <w:rPr>
          <w:spacing w:val="-2"/>
          <w:lang w:eastAsia="zh-CN"/>
        </w:rPr>
        <w:fldChar w:fldCharType="begin" w:fldLock="1"/>
      </w:r>
      <w:r w:rsidRPr="005C24CD">
        <w:rPr>
          <w:spacing w:val="-2"/>
          <w:lang w:eastAsia="zh-CN"/>
        </w:rPr>
        <w:instrText>ADDIN CSL_CITATION {"citationItems":[{"id":"ITEM-1","itemData":{"DOI":"10.15294/usej.v10i3.46695","ISSN":"2252-6617","abstract":"Lubuk Larangan is an area in a river restricted by the community, which must not be disturbed and is forbidden for fishing. It is in Rantau Keloyang District, Muara Bungo Regency, Jambi Province. The local wisdom of Lubuk Larangan has the potential to bring contextual science learning to conserve the environment based on customary regulations for sustainable development. This study aims to determine the potential of Lubuk Larangan area as a source of science learning. Using descriptive exploratory method, the data were obtained from the interviews with Datuk Rio, a traditional leader and science teacher at SMP Negeri 1 Pelepat Ilir. Data collection techniques included observation, interview, and documentation. The findings indicate that several basic competencies are suitable for science education with the material about Lubuk Larangan, namely analyzing the occurrence of environmental pollution and its impact on the ecosystem (KD 3.8); Lubuk Larangan can be developed in learning media such as modules, assessments, and practical activities; Lubuk Larangan can be integrated into science learning to instill education for sustainable development competencies, especially for action on climate. Based on this study, in general, science learning can be linked to local wisdom of Lubuk Larangan according to learning indicators that refer to education for sustainable development.","author":[{"dropping-particle":"","family":"Arizaldy","given":"","non-dropping-particle":"","parse-names":false,"suffix":""},{"dropping-particle":"","family":"Solihat","given":"Rini","non-dropping-particle":"","parse-names":false,"suffix":""},{"dropping-particle":"","family":"Riandi","given":"Riandi","non-dropping-particle":"","parse-names":false,"suffix":""},{"dropping-particle":"","family":"Firman","given":"Harry","non-dropping-particle":"","parse-names":false,"suffix":""}],"container-title":"Unnes Science Education Journal","id":"ITEM-1","issue":"3","issued":{"date-parts":[["2021"]]},"page":"145-150","title":"Analysis of the Potential of Lubuk Larangan Local Wisdom in Science Learning in Junior High Schools","type":"article-journal","volume":"10"},"uris":["http://www.mendeley.com/documents/?uuid=c72377d8-95ff-4ac0-9017-0ad9d22c80d2"]}],"mendeley":{"formattedCitation":"(Arizaldy et al., 2021)","manualFormatting":"(2021)","plainTextFormattedCitation":"(Arizaldy et al., 2021)","previouslyFormattedCitation":"(Arizaldy et al., 2021)"},"properties":{"noteIndex":0},"schema":"https://github.com/citation-style-language/schema/raw/master/csl-citation.json"}</w:instrText>
      </w:r>
      <w:r w:rsidRPr="005C24CD">
        <w:rPr>
          <w:spacing w:val="-2"/>
          <w:lang w:eastAsia="zh-CN"/>
        </w:rPr>
        <w:fldChar w:fldCharType="separate"/>
      </w:r>
      <w:r w:rsidRPr="005C24CD">
        <w:rPr>
          <w:noProof/>
          <w:spacing w:val="-2"/>
          <w:lang w:eastAsia="zh-CN"/>
        </w:rPr>
        <w:t>(2021)</w:t>
      </w:r>
      <w:r w:rsidRPr="005C24CD">
        <w:rPr>
          <w:spacing w:val="-2"/>
          <w:lang w:eastAsia="zh-CN"/>
        </w:rPr>
        <w:fldChar w:fldCharType="end"/>
      </w:r>
      <w:r w:rsidRPr="005C24CD">
        <w:rPr>
          <w:spacing w:val="-2"/>
          <w:lang w:eastAsia="zh-CN"/>
        </w:rPr>
        <w:t xml:space="preserve"> shows that the application of a science learning model based on local wisdom can increase student creativity and learning outcomes by emphasizing the </w:t>
      </w:r>
      <w:proofErr w:type="spellStart"/>
      <w:r w:rsidRPr="005C24CD">
        <w:rPr>
          <w:spacing w:val="-2"/>
          <w:lang w:eastAsia="zh-CN"/>
        </w:rPr>
        <w:t>Pranata</w:t>
      </w:r>
      <w:proofErr w:type="spellEnd"/>
      <w:r w:rsidRPr="005C24CD">
        <w:rPr>
          <w:spacing w:val="-2"/>
          <w:lang w:eastAsia="zh-CN"/>
        </w:rPr>
        <w:t xml:space="preserve"> </w:t>
      </w:r>
      <w:proofErr w:type="spellStart"/>
      <w:r w:rsidRPr="005C24CD">
        <w:rPr>
          <w:spacing w:val="-2"/>
          <w:lang w:eastAsia="zh-CN"/>
        </w:rPr>
        <w:t>Mangsa</w:t>
      </w:r>
      <w:proofErr w:type="spellEnd"/>
      <w:r w:rsidRPr="005C24CD">
        <w:rPr>
          <w:spacing w:val="-2"/>
          <w:lang w:eastAsia="zh-CN"/>
        </w:rPr>
        <w:t xml:space="preserve"> Calendar in Javanese </w:t>
      </w:r>
      <w:proofErr w:type="spellStart"/>
      <w:r w:rsidRPr="005C24CD">
        <w:rPr>
          <w:spacing w:val="-2"/>
          <w:lang w:eastAsia="zh-CN"/>
        </w:rPr>
        <w:t>society.</w:t>
      </w:r>
      <w:r w:rsidRPr="005C24CD">
        <w:rPr>
          <w:rFonts w:eastAsia="Palatino Linotype"/>
          <w:spacing w:val="-2"/>
          <w:lang w:eastAsia="zh-CN"/>
        </w:rPr>
        <w:t>The</w:t>
      </w:r>
      <w:proofErr w:type="spellEnd"/>
      <w:r w:rsidRPr="005C24CD">
        <w:rPr>
          <w:rFonts w:eastAsia="Palatino Linotype"/>
          <w:spacing w:val="-2"/>
          <w:lang w:eastAsia="zh-CN"/>
        </w:rPr>
        <w:t xml:space="preserve"> research above has similarities with this research in that it both discusses local wisdom values ​​which are used to form students' character values. However, previous research has not focused its research on increasing character values ​​through implementing </w:t>
      </w:r>
      <w:proofErr w:type="spellStart"/>
      <w:r w:rsidRPr="005C24CD">
        <w:rPr>
          <w:rFonts w:eastAsia="Palatino Linotype"/>
          <w:spacing w:val="-2"/>
          <w:lang w:eastAsia="zh-CN"/>
        </w:rPr>
        <w:t>Tepuk</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Tepung</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Tawar</w:t>
      </w:r>
      <w:proofErr w:type="spellEnd"/>
      <w:r w:rsidRPr="005C24CD">
        <w:rPr>
          <w:rFonts w:eastAsia="Palatino Linotype"/>
          <w:spacing w:val="-2"/>
          <w:lang w:eastAsia="zh-CN"/>
        </w:rPr>
        <w:t xml:space="preserve"> local wisdom values ​​in history learning. So research is important to </w:t>
      </w:r>
      <w:proofErr w:type="spellStart"/>
      <w:r w:rsidRPr="005C24CD">
        <w:rPr>
          <w:rFonts w:eastAsia="Palatino Linotype"/>
          <w:spacing w:val="-2"/>
          <w:lang w:eastAsia="zh-CN"/>
        </w:rPr>
        <w:t>do.</w:t>
      </w:r>
      <w:r w:rsidRPr="005C24CD">
        <w:rPr>
          <w:spacing w:val="-2"/>
          <w:lang w:eastAsia="zh-CN"/>
        </w:rPr>
        <w:t>Therefore</w:t>
      </w:r>
      <w:proofErr w:type="spellEnd"/>
      <w:r w:rsidRPr="005C24CD">
        <w:rPr>
          <w:spacing w:val="-2"/>
          <w:lang w:eastAsia="zh-CN"/>
        </w:rPr>
        <w:t xml:space="preserve">, The statement of the problem in this study is whether character education based on the local wisdom of </w:t>
      </w:r>
      <w:proofErr w:type="spellStart"/>
      <w:r w:rsidRPr="005C24CD">
        <w:rPr>
          <w:spacing w:val="-2"/>
          <w:lang w:eastAsia="zh-CN"/>
        </w:rPr>
        <w:t>Tepuk</w:t>
      </w:r>
      <w:proofErr w:type="spellEnd"/>
      <w:r w:rsidRPr="005C24CD">
        <w:rPr>
          <w:spacing w:val="-2"/>
          <w:lang w:eastAsia="zh-CN"/>
        </w:rPr>
        <w:t xml:space="preserve"> </w:t>
      </w:r>
      <w:proofErr w:type="spellStart"/>
      <w:r w:rsidRPr="005C24CD">
        <w:rPr>
          <w:spacing w:val="-2"/>
          <w:lang w:eastAsia="zh-CN"/>
        </w:rPr>
        <w:t>Tepung</w:t>
      </w:r>
      <w:proofErr w:type="spellEnd"/>
      <w:r w:rsidRPr="005C24CD">
        <w:rPr>
          <w:spacing w:val="-2"/>
          <w:lang w:eastAsia="zh-CN"/>
        </w:rPr>
        <w:t xml:space="preserve"> </w:t>
      </w:r>
      <w:proofErr w:type="spellStart"/>
      <w:r w:rsidRPr="005C24CD">
        <w:rPr>
          <w:spacing w:val="-2"/>
          <w:lang w:eastAsia="zh-CN"/>
        </w:rPr>
        <w:t>Tawar</w:t>
      </w:r>
      <w:proofErr w:type="spellEnd"/>
      <w:r w:rsidRPr="005C24CD">
        <w:rPr>
          <w:spacing w:val="-2"/>
          <w:lang w:eastAsia="zh-CN"/>
        </w:rPr>
        <w:t xml:space="preserve"> is effective in forming students' character values.</w:t>
      </w:r>
      <w:bookmarkEnd w:id="1"/>
    </w:p>
    <w:p w14:paraId="08F31A16" w14:textId="46DC5D83" w:rsidR="005C24CD" w:rsidRPr="00443C4D" w:rsidRDefault="005B5AEC" w:rsidP="005C24CD">
      <w:pPr>
        <w:pStyle w:val="Alishlah21heading1"/>
        <w:rPr>
          <w:rFonts w:eastAsia="Arial"/>
        </w:rPr>
      </w:pPr>
      <w:r w:rsidRPr="00443C4D">
        <w:rPr>
          <w:rFonts w:eastAsia="Arial"/>
        </w:rPr>
        <w:t>METHODS</w:t>
      </w:r>
    </w:p>
    <w:p w14:paraId="69ED5649" w14:textId="77777777" w:rsidR="005C24CD" w:rsidRPr="005C24CD" w:rsidRDefault="005C24CD" w:rsidP="005C24CD">
      <w:pPr>
        <w:pStyle w:val="Alishlah31text"/>
        <w:rPr>
          <w:rFonts w:eastAsia="Palatino Linotype"/>
          <w:spacing w:val="-2"/>
          <w:lang w:eastAsia="zh-CN"/>
        </w:rPr>
      </w:pPr>
      <w:r w:rsidRPr="005C24CD">
        <w:rPr>
          <w:rFonts w:eastAsia="Palatino Linotype"/>
          <w:spacing w:val="-2"/>
          <w:lang w:eastAsia="zh-CN"/>
        </w:rPr>
        <w:t xml:space="preserve">This research </w:t>
      </w:r>
      <w:proofErr w:type="spellStart"/>
      <w:r w:rsidRPr="005C24CD">
        <w:rPr>
          <w:rFonts w:eastAsia="Palatino Linotype"/>
          <w:spacing w:val="-2"/>
          <w:lang w:eastAsia="zh-CN"/>
        </w:rPr>
        <w:t>usesexperimental</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methodas</w:t>
      </w:r>
      <w:proofErr w:type="spellEnd"/>
      <w:r w:rsidRPr="005C24CD">
        <w:rPr>
          <w:rFonts w:eastAsia="Palatino Linotype"/>
          <w:spacing w:val="-2"/>
          <w:lang w:eastAsia="zh-CN"/>
        </w:rPr>
        <w:t xml:space="preserve"> an approach used to observe the impact of a particular treatment on other variables in the environment that can be controlled. The research design uses an </w:t>
      </w:r>
      <w:r w:rsidRPr="005C24CD">
        <w:rPr>
          <w:rFonts w:eastAsia="Palatino Linotype"/>
          <w:spacing w:val="-2"/>
          <w:lang w:eastAsia="zh-CN"/>
        </w:rPr>
        <w:lastRenderedPageBreak/>
        <w:t xml:space="preserve">experimental design </w:t>
      </w:r>
      <w:proofErr w:type="spellStart"/>
      <w:r w:rsidRPr="005C24CD">
        <w:rPr>
          <w:rFonts w:eastAsia="Palatino Linotype"/>
          <w:spacing w:val="-2"/>
          <w:lang w:eastAsia="zh-CN"/>
        </w:rPr>
        <w:t>approachOne</w:t>
      </w:r>
      <w:proofErr w:type="spellEnd"/>
      <w:r w:rsidRPr="005C24CD">
        <w:rPr>
          <w:rFonts w:eastAsia="Palatino Linotype"/>
          <w:spacing w:val="-2"/>
          <w:lang w:eastAsia="zh-CN"/>
        </w:rPr>
        <w:t xml:space="preserve"> Group Pretest-Posttest Design. Experimental research is carried out on only one group that is chosen randomly and there is no testing of the stability or condition of the group before being given treatment. The One Group Pretest-Posttest approach is designed by conducting a pre-test before giving treatment and a post-test after giving treatment for each training session. The One Group Pretest – Posttest scheme can be seen in the following picture.</w:t>
      </w:r>
    </w:p>
    <w:p w14:paraId="51142EA5" w14:textId="77777777" w:rsidR="005C24CD" w:rsidRPr="005C24CD" w:rsidRDefault="005C24CD" w:rsidP="005C24CD">
      <w:pPr>
        <w:pStyle w:val="Alishlah31text"/>
        <w:jc w:val="center"/>
        <w:rPr>
          <w:rFonts w:eastAsia="Palatino Linotype"/>
          <w:spacing w:val="-2"/>
          <w:lang w:eastAsia="zh-CN"/>
        </w:rPr>
      </w:pPr>
      <w:r w:rsidRPr="005C24CD">
        <w:rPr>
          <w:rFonts w:eastAsia="Palatino Linotype"/>
          <w:noProof/>
          <w:spacing w:val="-2"/>
          <w:lang w:eastAsia="en-US" w:bidi="ar-SA"/>
        </w:rPr>
        <w:drawing>
          <wp:inline distT="0" distB="0" distL="0" distR="0" wp14:anchorId="71BB70BF" wp14:editId="3EE13F1B">
            <wp:extent cx="3244850" cy="1862212"/>
            <wp:effectExtent l="0" t="0" r="0" b="5080"/>
            <wp:docPr id="1743139466" name="Gambar 1" descr="Sebuah gambar berisi teks, cuplikan layar, Font, diagram&#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39466" name="Gambar 1" descr="Sebuah gambar berisi teks, cuplikan layar, Font, diagram&#10;&#10;Deskripsi dibuat secara otomatis"/>
                    <pic:cNvPicPr/>
                  </pic:nvPicPr>
                  <pic:blipFill rotWithShape="1">
                    <a:blip r:embed="rId11" cstate="print">
                      <a:extLst>
                        <a:ext uri="{28A0092B-C50C-407E-A947-70E740481C1C}">
                          <a14:useLocalDpi xmlns:a14="http://schemas.microsoft.com/office/drawing/2010/main" val="0"/>
                        </a:ext>
                      </a:extLst>
                    </a:blip>
                    <a:srcRect t="18170" b="24440"/>
                    <a:stretch/>
                  </pic:blipFill>
                  <pic:spPr bwMode="auto">
                    <a:xfrm>
                      <a:off x="0" y="0"/>
                      <a:ext cx="3260288" cy="1871072"/>
                    </a:xfrm>
                    <a:prstGeom prst="rect">
                      <a:avLst/>
                    </a:prstGeom>
                    <a:ln>
                      <a:noFill/>
                    </a:ln>
                    <a:extLst>
                      <a:ext uri="{53640926-AAD7-44D8-BBD7-CCE9431645EC}">
                        <a14:shadowObscured xmlns:a14="http://schemas.microsoft.com/office/drawing/2010/main"/>
                      </a:ext>
                    </a:extLst>
                  </pic:spPr>
                </pic:pic>
              </a:graphicData>
            </a:graphic>
          </wp:inline>
        </w:drawing>
      </w:r>
    </w:p>
    <w:p w14:paraId="0E4E6103" w14:textId="1D2A9BF4" w:rsidR="005C24CD" w:rsidRPr="00443C4D" w:rsidRDefault="005C24CD" w:rsidP="005C24CD">
      <w:pPr>
        <w:pStyle w:val="Alishlah31text"/>
        <w:jc w:val="center"/>
        <w:rPr>
          <w:rFonts w:eastAsia="Palatino Linotype"/>
          <w:spacing w:val="-2"/>
          <w:sz w:val="18"/>
          <w:szCs w:val="20"/>
          <w:lang w:eastAsia="zh-CN"/>
        </w:rPr>
      </w:pPr>
      <w:proofErr w:type="gramStart"/>
      <w:r w:rsidRPr="00443C4D">
        <w:rPr>
          <w:b/>
          <w:sz w:val="18"/>
          <w:szCs w:val="20"/>
        </w:rPr>
        <w:t>Figure 1</w:t>
      </w:r>
      <w:r w:rsidRPr="005C24CD">
        <w:rPr>
          <w:rFonts w:eastAsia="Palatino Linotype"/>
          <w:spacing w:val="-2"/>
          <w:sz w:val="18"/>
          <w:szCs w:val="20"/>
          <w:lang w:eastAsia="zh-CN"/>
        </w:rPr>
        <w:t>.</w:t>
      </w:r>
      <w:proofErr w:type="gramEnd"/>
      <w:r w:rsidRPr="005C24CD">
        <w:rPr>
          <w:rFonts w:eastAsia="Palatino Linotype"/>
          <w:spacing w:val="-2"/>
          <w:sz w:val="18"/>
          <w:szCs w:val="20"/>
          <w:lang w:eastAsia="zh-CN"/>
        </w:rPr>
        <w:t xml:space="preserve"> One Group Pretest – Posttest Scheme</w:t>
      </w:r>
    </w:p>
    <w:p w14:paraId="6BC53C50" w14:textId="77777777" w:rsidR="00443C4D" w:rsidRPr="005C24CD" w:rsidRDefault="00443C4D" w:rsidP="005C24CD">
      <w:pPr>
        <w:pStyle w:val="Alishlah31text"/>
        <w:jc w:val="center"/>
        <w:rPr>
          <w:rFonts w:eastAsia="Palatino Linotype"/>
          <w:spacing w:val="-2"/>
          <w:sz w:val="18"/>
          <w:szCs w:val="20"/>
          <w:lang w:eastAsia="zh-CN"/>
        </w:rPr>
      </w:pPr>
    </w:p>
    <w:p w14:paraId="6FEC673C" w14:textId="77777777" w:rsidR="005C24CD" w:rsidRPr="005C24CD" w:rsidRDefault="005C24CD" w:rsidP="005C24CD">
      <w:pPr>
        <w:pStyle w:val="Alishlah31text"/>
        <w:rPr>
          <w:rFonts w:eastAsia="Palatino Linotype"/>
          <w:spacing w:val="-2"/>
          <w:lang w:eastAsia="zh-CN"/>
        </w:rPr>
      </w:pPr>
      <w:r w:rsidRPr="005C24CD">
        <w:rPr>
          <w:rFonts w:eastAsia="Palatino Linotype"/>
          <w:spacing w:val="-2"/>
          <w:lang w:eastAsia="zh-CN"/>
        </w:rPr>
        <w:t xml:space="preserve">The </w:t>
      </w:r>
      <w:proofErr w:type="gramStart"/>
      <w:r w:rsidRPr="005C24CD">
        <w:rPr>
          <w:rFonts w:eastAsia="Palatino Linotype"/>
          <w:spacing w:val="-2"/>
          <w:lang w:eastAsia="zh-CN"/>
        </w:rPr>
        <w:t>population in this study were</w:t>
      </w:r>
      <w:proofErr w:type="gramEnd"/>
      <w:r w:rsidRPr="005C24CD">
        <w:rPr>
          <w:rFonts w:eastAsia="Palatino Linotype"/>
          <w:spacing w:val="-2"/>
          <w:lang w:eastAsia="zh-CN"/>
        </w:rPr>
        <w:t xml:space="preserve"> students at SMA 1 Riau, where 40 students were included. Because the population is rather small, this study makes use of a saturation sampling approach. Research data was collected through interviews and student test results. The instrument used in this research </w:t>
      </w:r>
      <w:proofErr w:type="spellStart"/>
      <w:r w:rsidRPr="005C24CD">
        <w:rPr>
          <w:rFonts w:eastAsia="Palatino Linotype"/>
          <w:spacing w:val="-2"/>
          <w:lang w:eastAsia="zh-CN"/>
        </w:rPr>
        <w:t>usesTestChoiceDouble</w:t>
      </w:r>
      <w:proofErr w:type="spellEnd"/>
      <w:r w:rsidRPr="005C24CD">
        <w:rPr>
          <w:rFonts w:eastAsia="Palatino Linotype"/>
          <w:spacing w:val="-2"/>
          <w:lang w:eastAsia="zh-CN"/>
        </w:rPr>
        <w:t>.</w:t>
      </w:r>
    </w:p>
    <w:p w14:paraId="39AF20ED" w14:textId="77777777" w:rsidR="005C24CD" w:rsidRPr="00443C4D" w:rsidRDefault="005C24CD" w:rsidP="005C24CD">
      <w:pPr>
        <w:pStyle w:val="Alishlah31text"/>
        <w:rPr>
          <w:rFonts w:eastAsia="Palatino Linotype"/>
          <w:spacing w:val="-2"/>
          <w:lang w:eastAsia="zh-CN"/>
        </w:rPr>
      </w:pPr>
      <w:r w:rsidRPr="005C24CD">
        <w:rPr>
          <w:rFonts w:eastAsia="Palatino Linotype"/>
          <w:spacing w:val="-2"/>
          <w:lang w:eastAsia="zh-CN"/>
        </w:rPr>
        <w:t xml:space="preserve">So that the instrument used can assess students' knowledge and understanding of the character values ​​in the local wisdom of </w:t>
      </w:r>
      <w:proofErr w:type="spellStart"/>
      <w:r w:rsidRPr="005C24CD">
        <w:rPr>
          <w:rFonts w:eastAsia="Palatino Linotype"/>
          <w:spacing w:val="-2"/>
          <w:lang w:eastAsia="zh-CN"/>
        </w:rPr>
        <w:t>Tepuk</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Tepung</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Tawar</w:t>
      </w:r>
      <w:proofErr w:type="spellEnd"/>
      <w:r w:rsidRPr="005C24CD">
        <w:rPr>
          <w:rFonts w:eastAsia="Palatino Linotype"/>
          <w:spacing w:val="-2"/>
          <w:lang w:eastAsia="zh-CN"/>
        </w:rPr>
        <w:t>, a validity and reliability test of the instrument was conducted. The following table shows the instrument validity test.</w:t>
      </w:r>
    </w:p>
    <w:p w14:paraId="7471FF3D" w14:textId="77777777" w:rsidR="00443C4D" w:rsidRPr="00443C4D" w:rsidRDefault="00443C4D" w:rsidP="005C24CD">
      <w:pPr>
        <w:pStyle w:val="Alishlah31text"/>
        <w:rPr>
          <w:rFonts w:eastAsia="Palatino Linotype"/>
          <w:spacing w:val="-2"/>
          <w:lang w:eastAsia="zh-CN"/>
        </w:rPr>
      </w:pPr>
    </w:p>
    <w:p w14:paraId="5B415D02" w14:textId="5459BF0B" w:rsidR="005C24CD" w:rsidRPr="005C24CD" w:rsidRDefault="005C24CD" w:rsidP="005C24CD">
      <w:pPr>
        <w:pStyle w:val="Alishlah31text"/>
        <w:ind w:firstLine="0"/>
        <w:jc w:val="center"/>
        <w:rPr>
          <w:rFonts w:eastAsia="Palatino Linotype"/>
          <w:spacing w:val="-2"/>
          <w:sz w:val="18"/>
          <w:szCs w:val="20"/>
          <w:lang w:eastAsia="zh-CN"/>
        </w:rPr>
      </w:pPr>
      <w:proofErr w:type="gramStart"/>
      <w:r w:rsidRPr="005C24CD">
        <w:rPr>
          <w:rFonts w:eastAsia="Palatino Linotype"/>
          <w:b/>
          <w:bCs/>
          <w:spacing w:val="-2"/>
          <w:sz w:val="18"/>
          <w:szCs w:val="20"/>
          <w:lang w:eastAsia="zh-CN"/>
        </w:rPr>
        <w:t>Table 1</w:t>
      </w:r>
      <w:r w:rsidRPr="005C24CD">
        <w:rPr>
          <w:rFonts w:eastAsia="Palatino Linotype"/>
          <w:spacing w:val="-2"/>
          <w:sz w:val="18"/>
          <w:szCs w:val="20"/>
          <w:lang w:eastAsia="zh-CN"/>
        </w:rPr>
        <w:t>.</w:t>
      </w:r>
      <w:proofErr w:type="gramEnd"/>
      <w:r w:rsidRPr="005C24CD">
        <w:rPr>
          <w:rFonts w:eastAsia="Palatino Linotype"/>
          <w:spacing w:val="-2"/>
          <w:sz w:val="18"/>
          <w:szCs w:val="20"/>
          <w:lang w:eastAsia="zh-CN"/>
        </w:rPr>
        <w:t xml:space="preserve"> Test Instrument </w:t>
      </w:r>
      <w:proofErr w:type="gramStart"/>
      <w:r w:rsidRPr="005C24CD">
        <w:rPr>
          <w:rFonts w:eastAsia="Palatino Linotype"/>
          <w:spacing w:val="-2"/>
          <w:sz w:val="18"/>
          <w:szCs w:val="20"/>
          <w:lang w:eastAsia="zh-CN"/>
        </w:rPr>
        <w:t>Indicators</w:t>
      </w:r>
      <w:r w:rsidRPr="00443C4D">
        <w:rPr>
          <w:rFonts w:eastAsia="Palatino Linotype"/>
          <w:spacing w:val="-2"/>
          <w:sz w:val="18"/>
          <w:szCs w:val="20"/>
          <w:lang w:eastAsia="zh-CN"/>
        </w:rPr>
        <w:t xml:space="preserve">  </w:t>
      </w:r>
      <w:r w:rsidRPr="005C24CD">
        <w:rPr>
          <w:rFonts w:eastAsia="Palatino Linotype"/>
          <w:spacing w:val="-2"/>
          <w:sz w:val="18"/>
          <w:szCs w:val="20"/>
          <w:lang w:eastAsia="zh-CN"/>
        </w:rPr>
        <w:t>Choice</w:t>
      </w:r>
      <w:proofErr w:type="gramEnd"/>
      <w:r w:rsidRPr="00443C4D">
        <w:rPr>
          <w:rFonts w:eastAsia="Palatino Linotype"/>
          <w:spacing w:val="-2"/>
          <w:sz w:val="18"/>
          <w:szCs w:val="20"/>
          <w:lang w:eastAsia="zh-CN"/>
        </w:rPr>
        <w:t xml:space="preserve"> </w:t>
      </w:r>
      <w:r w:rsidRPr="005C24CD">
        <w:rPr>
          <w:rFonts w:eastAsia="Palatino Linotype"/>
          <w:spacing w:val="-2"/>
          <w:sz w:val="18"/>
          <w:szCs w:val="20"/>
          <w:lang w:eastAsia="zh-CN"/>
        </w:rPr>
        <w:t>Double</w:t>
      </w:r>
    </w:p>
    <w:tbl>
      <w:tblPr>
        <w:tblW w:w="7650" w:type="dxa"/>
        <w:jc w:val="center"/>
        <w:tblBorders>
          <w:top w:val="single" w:sz="4" w:space="0" w:color="auto"/>
          <w:bottom w:val="single" w:sz="4" w:space="0" w:color="auto"/>
        </w:tblBorders>
        <w:tblLayout w:type="fixed"/>
        <w:tblLook w:val="0400" w:firstRow="0" w:lastRow="0" w:firstColumn="0" w:lastColumn="0" w:noHBand="0" w:noVBand="1"/>
      </w:tblPr>
      <w:tblGrid>
        <w:gridCol w:w="577"/>
        <w:gridCol w:w="5802"/>
        <w:gridCol w:w="1271"/>
      </w:tblGrid>
      <w:tr w:rsidR="005C24CD" w:rsidRPr="005C24CD" w14:paraId="70C57C9A" w14:textId="77777777" w:rsidTr="005C24CD">
        <w:trPr>
          <w:jc w:val="center"/>
        </w:trPr>
        <w:tc>
          <w:tcPr>
            <w:tcW w:w="577" w:type="dxa"/>
            <w:tcBorders>
              <w:top w:val="single" w:sz="4" w:space="0" w:color="auto"/>
              <w:bottom w:val="single" w:sz="4" w:space="0" w:color="auto"/>
            </w:tcBorders>
          </w:tcPr>
          <w:p w14:paraId="759A0B70" w14:textId="06ADAFE5" w:rsidR="005C24CD" w:rsidRPr="005C24CD" w:rsidRDefault="005C24CD" w:rsidP="005C24CD">
            <w:pPr>
              <w:pStyle w:val="Alishlah31text"/>
              <w:spacing w:line="240" w:lineRule="auto"/>
              <w:ind w:firstLine="0"/>
              <w:jc w:val="center"/>
              <w:rPr>
                <w:rFonts w:eastAsia="Palatino Linotype"/>
                <w:b/>
                <w:bCs/>
                <w:spacing w:val="-2"/>
                <w:lang w:eastAsia="zh-CN"/>
              </w:rPr>
            </w:pPr>
            <w:r w:rsidRPr="005C24CD">
              <w:rPr>
                <w:rFonts w:eastAsia="Palatino Linotype"/>
                <w:b/>
                <w:bCs/>
                <w:spacing w:val="-2"/>
                <w:lang w:eastAsia="zh-CN"/>
              </w:rPr>
              <w:t>No</w:t>
            </w:r>
          </w:p>
        </w:tc>
        <w:tc>
          <w:tcPr>
            <w:tcW w:w="5802" w:type="dxa"/>
            <w:tcBorders>
              <w:top w:val="single" w:sz="4" w:space="0" w:color="auto"/>
              <w:bottom w:val="single" w:sz="4" w:space="0" w:color="auto"/>
            </w:tcBorders>
          </w:tcPr>
          <w:p w14:paraId="31B5AF3D" w14:textId="77777777" w:rsidR="005C24CD" w:rsidRPr="005C24CD" w:rsidRDefault="005C24CD" w:rsidP="005C24CD">
            <w:pPr>
              <w:pStyle w:val="Alishlah31text"/>
              <w:spacing w:line="240" w:lineRule="auto"/>
              <w:jc w:val="center"/>
              <w:rPr>
                <w:rFonts w:eastAsia="Palatino Linotype"/>
                <w:b/>
                <w:bCs/>
                <w:spacing w:val="-2"/>
                <w:lang w:eastAsia="zh-CN"/>
              </w:rPr>
            </w:pPr>
            <w:r w:rsidRPr="005C24CD">
              <w:rPr>
                <w:rFonts w:eastAsia="Palatino Linotype"/>
                <w:b/>
                <w:bCs/>
                <w:spacing w:val="-2"/>
                <w:lang w:eastAsia="zh-CN"/>
              </w:rPr>
              <w:t>Indicator</w:t>
            </w:r>
          </w:p>
        </w:tc>
        <w:tc>
          <w:tcPr>
            <w:tcW w:w="1271" w:type="dxa"/>
            <w:tcBorders>
              <w:top w:val="single" w:sz="4" w:space="0" w:color="auto"/>
              <w:bottom w:val="single" w:sz="4" w:space="0" w:color="auto"/>
            </w:tcBorders>
          </w:tcPr>
          <w:p w14:paraId="22109233" w14:textId="77777777" w:rsidR="005C24CD" w:rsidRPr="005C24CD" w:rsidRDefault="005C24CD" w:rsidP="005C24CD">
            <w:pPr>
              <w:pStyle w:val="Alishlah31text"/>
              <w:spacing w:line="240" w:lineRule="auto"/>
              <w:ind w:firstLine="0"/>
              <w:jc w:val="center"/>
              <w:rPr>
                <w:rFonts w:eastAsia="Palatino Linotype"/>
                <w:b/>
                <w:bCs/>
                <w:spacing w:val="-2"/>
                <w:lang w:eastAsia="zh-CN"/>
              </w:rPr>
            </w:pPr>
            <w:r w:rsidRPr="005C24CD">
              <w:rPr>
                <w:rFonts w:eastAsia="Palatino Linotype"/>
                <w:b/>
                <w:bCs/>
                <w:spacing w:val="-2"/>
                <w:lang w:eastAsia="zh-CN"/>
              </w:rPr>
              <w:t>Sig value. (2-tailed)</w:t>
            </w:r>
          </w:p>
        </w:tc>
      </w:tr>
      <w:tr w:rsidR="005C24CD" w:rsidRPr="005C24CD" w14:paraId="13D8CA67" w14:textId="77777777" w:rsidTr="005C24CD">
        <w:trPr>
          <w:jc w:val="center"/>
        </w:trPr>
        <w:tc>
          <w:tcPr>
            <w:tcW w:w="577" w:type="dxa"/>
            <w:tcBorders>
              <w:top w:val="single" w:sz="4" w:space="0" w:color="auto"/>
            </w:tcBorders>
          </w:tcPr>
          <w:p w14:paraId="634A041F" w14:textId="504185E9" w:rsidR="005C24CD" w:rsidRPr="005C24CD" w:rsidRDefault="005C24CD" w:rsidP="005C24CD">
            <w:pPr>
              <w:pStyle w:val="Alishlah31text"/>
              <w:spacing w:line="240" w:lineRule="auto"/>
              <w:ind w:firstLine="0"/>
              <w:jc w:val="center"/>
              <w:rPr>
                <w:rFonts w:eastAsia="Palatino Linotype"/>
                <w:spacing w:val="-2"/>
                <w:lang w:eastAsia="zh-CN"/>
              </w:rPr>
            </w:pPr>
            <w:r w:rsidRPr="005C24CD">
              <w:rPr>
                <w:rFonts w:eastAsia="Palatino Linotype"/>
                <w:spacing w:val="-2"/>
                <w:lang w:eastAsia="zh-CN"/>
              </w:rPr>
              <w:t>1</w:t>
            </w:r>
          </w:p>
        </w:tc>
        <w:tc>
          <w:tcPr>
            <w:tcW w:w="5802" w:type="dxa"/>
            <w:tcBorders>
              <w:top w:val="single" w:sz="4" w:space="0" w:color="auto"/>
            </w:tcBorders>
          </w:tcPr>
          <w:p w14:paraId="298D13EC" w14:textId="77777777" w:rsidR="005C24CD" w:rsidRPr="005C24CD" w:rsidRDefault="005C24CD" w:rsidP="005C24CD">
            <w:pPr>
              <w:pStyle w:val="Alishlah31text"/>
              <w:spacing w:line="240" w:lineRule="auto"/>
              <w:ind w:firstLine="0"/>
              <w:rPr>
                <w:rFonts w:eastAsia="Palatino Linotype"/>
                <w:spacing w:val="-2"/>
                <w:lang w:eastAsia="zh-CN"/>
              </w:rPr>
            </w:pPr>
            <w:r w:rsidRPr="005C24CD">
              <w:rPr>
                <w:rFonts w:eastAsia="Palatino Linotype"/>
                <w:spacing w:val="-2"/>
                <w:lang w:eastAsia="zh-CN"/>
              </w:rPr>
              <w:t xml:space="preserve">Knowledge of local wisdom </w:t>
            </w:r>
            <w:proofErr w:type="spellStart"/>
            <w:r w:rsidRPr="005C24CD">
              <w:rPr>
                <w:rFonts w:eastAsia="Palatino Linotype"/>
                <w:spacing w:val="-2"/>
                <w:lang w:eastAsia="zh-CN"/>
              </w:rPr>
              <w:t>Tepuk</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Tepung</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Tawar</w:t>
            </w:r>
            <w:proofErr w:type="spellEnd"/>
            <w:r w:rsidRPr="005C24CD">
              <w:rPr>
                <w:rFonts w:eastAsia="Palatino Linotype"/>
                <w:spacing w:val="-2"/>
                <w:lang w:eastAsia="zh-CN"/>
              </w:rPr>
              <w:t>.</w:t>
            </w:r>
          </w:p>
        </w:tc>
        <w:tc>
          <w:tcPr>
            <w:tcW w:w="1271" w:type="dxa"/>
            <w:tcBorders>
              <w:top w:val="single" w:sz="4" w:space="0" w:color="auto"/>
            </w:tcBorders>
          </w:tcPr>
          <w:p w14:paraId="24420579" w14:textId="77777777" w:rsidR="005C24CD" w:rsidRPr="005C24CD" w:rsidRDefault="005C24CD" w:rsidP="005C24CD">
            <w:pPr>
              <w:pStyle w:val="Alishlah31text"/>
              <w:spacing w:line="240" w:lineRule="auto"/>
              <w:rPr>
                <w:rFonts w:eastAsia="Palatino Linotype"/>
                <w:spacing w:val="-2"/>
                <w:lang w:eastAsia="zh-CN"/>
              </w:rPr>
            </w:pPr>
            <w:r w:rsidRPr="005C24CD">
              <w:rPr>
                <w:rFonts w:eastAsia="Palatino Linotype"/>
                <w:spacing w:val="-2"/>
                <w:lang w:eastAsia="zh-CN"/>
              </w:rPr>
              <w:t>0.512</w:t>
            </w:r>
          </w:p>
        </w:tc>
      </w:tr>
      <w:tr w:rsidR="005C24CD" w:rsidRPr="005C24CD" w14:paraId="5A218962" w14:textId="77777777" w:rsidTr="005C24CD">
        <w:trPr>
          <w:jc w:val="center"/>
        </w:trPr>
        <w:tc>
          <w:tcPr>
            <w:tcW w:w="577" w:type="dxa"/>
          </w:tcPr>
          <w:p w14:paraId="7ED983EB" w14:textId="2EB2D90D" w:rsidR="005C24CD" w:rsidRPr="005C24CD" w:rsidRDefault="005C24CD" w:rsidP="005C24CD">
            <w:pPr>
              <w:pStyle w:val="Alishlah31text"/>
              <w:spacing w:line="240" w:lineRule="auto"/>
              <w:ind w:firstLine="0"/>
              <w:jc w:val="center"/>
              <w:rPr>
                <w:rFonts w:eastAsia="Palatino Linotype"/>
                <w:spacing w:val="-2"/>
                <w:lang w:eastAsia="zh-CN"/>
              </w:rPr>
            </w:pPr>
            <w:r w:rsidRPr="005C24CD">
              <w:rPr>
                <w:rFonts w:eastAsia="Palatino Linotype"/>
                <w:spacing w:val="-2"/>
                <w:lang w:eastAsia="zh-CN"/>
              </w:rPr>
              <w:t>2</w:t>
            </w:r>
          </w:p>
        </w:tc>
        <w:tc>
          <w:tcPr>
            <w:tcW w:w="5802" w:type="dxa"/>
          </w:tcPr>
          <w:p w14:paraId="79A6B88B" w14:textId="77777777" w:rsidR="005C24CD" w:rsidRPr="005C24CD" w:rsidRDefault="005C24CD" w:rsidP="005C24CD">
            <w:pPr>
              <w:pStyle w:val="Alishlah31text"/>
              <w:spacing w:line="240" w:lineRule="auto"/>
              <w:ind w:firstLine="0"/>
              <w:rPr>
                <w:rFonts w:eastAsia="Palatino Linotype"/>
                <w:spacing w:val="-2"/>
                <w:lang w:eastAsia="zh-CN"/>
              </w:rPr>
            </w:pPr>
            <w:r w:rsidRPr="005C24CD">
              <w:rPr>
                <w:rFonts w:eastAsia="Palatino Linotype"/>
                <w:spacing w:val="-2"/>
                <w:lang w:eastAsia="zh-CN"/>
              </w:rPr>
              <w:t xml:space="preserve">Application of local wisdom values ​​of </w:t>
            </w:r>
            <w:proofErr w:type="spellStart"/>
            <w:r w:rsidRPr="005C24CD">
              <w:rPr>
                <w:rFonts w:eastAsia="Palatino Linotype"/>
                <w:spacing w:val="-2"/>
                <w:lang w:eastAsia="zh-CN"/>
              </w:rPr>
              <w:t>Tepuk</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Tepung</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Tawar</w:t>
            </w:r>
            <w:proofErr w:type="spellEnd"/>
            <w:r w:rsidRPr="005C24CD">
              <w:rPr>
                <w:rFonts w:eastAsia="Palatino Linotype"/>
                <w:spacing w:val="-2"/>
                <w:lang w:eastAsia="zh-CN"/>
              </w:rPr>
              <w:t xml:space="preserve"> in everyday life</w:t>
            </w:r>
          </w:p>
        </w:tc>
        <w:tc>
          <w:tcPr>
            <w:tcW w:w="1271" w:type="dxa"/>
          </w:tcPr>
          <w:p w14:paraId="0C02952D" w14:textId="77777777" w:rsidR="005C24CD" w:rsidRPr="005C24CD" w:rsidRDefault="005C24CD" w:rsidP="005C24CD">
            <w:pPr>
              <w:pStyle w:val="Alishlah31text"/>
              <w:spacing w:line="240" w:lineRule="auto"/>
              <w:rPr>
                <w:rFonts w:eastAsia="Palatino Linotype"/>
                <w:spacing w:val="-2"/>
                <w:lang w:eastAsia="zh-CN"/>
              </w:rPr>
            </w:pPr>
            <w:r w:rsidRPr="005C24CD">
              <w:rPr>
                <w:rFonts w:eastAsia="Palatino Linotype"/>
                <w:spacing w:val="-2"/>
                <w:lang w:eastAsia="zh-CN"/>
              </w:rPr>
              <w:t>0.671</w:t>
            </w:r>
          </w:p>
        </w:tc>
      </w:tr>
      <w:tr w:rsidR="005C24CD" w:rsidRPr="005C24CD" w14:paraId="00861178" w14:textId="77777777" w:rsidTr="005C24CD">
        <w:trPr>
          <w:jc w:val="center"/>
        </w:trPr>
        <w:tc>
          <w:tcPr>
            <w:tcW w:w="577" w:type="dxa"/>
          </w:tcPr>
          <w:p w14:paraId="53A04A9E" w14:textId="7CBB0B71" w:rsidR="005C24CD" w:rsidRPr="005C24CD" w:rsidRDefault="005C24CD" w:rsidP="005C24CD">
            <w:pPr>
              <w:pStyle w:val="Alishlah31text"/>
              <w:spacing w:line="240" w:lineRule="auto"/>
              <w:ind w:firstLine="0"/>
              <w:jc w:val="center"/>
              <w:rPr>
                <w:rFonts w:eastAsia="Palatino Linotype"/>
                <w:spacing w:val="-2"/>
                <w:lang w:eastAsia="zh-CN"/>
              </w:rPr>
            </w:pPr>
            <w:r w:rsidRPr="005C24CD">
              <w:rPr>
                <w:rFonts w:eastAsia="Palatino Linotype"/>
                <w:spacing w:val="-2"/>
                <w:lang w:eastAsia="zh-CN"/>
              </w:rPr>
              <w:t>3</w:t>
            </w:r>
          </w:p>
        </w:tc>
        <w:tc>
          <w:tcPr>
            <w:tcW w:w="5802" w:type="dxa"/>
          </w:tcPr>
          <w:p w14:paraId="475B7D51" w14:textId="77777777" w:rsidR="005C24CD" w:rsidRPr="005C24CD" w:rsidRDefault="005C24CD" w:rsidP="005C24CD">
            <w:pPr>
              <w:pStyle w:val="Alishlah31text"/>
              <w:spacing w:line="240" w:lineRule="auto"/>
              <w:ind w:firstLine="0"/>
              <w:rPr>
                <w:rFonts w:eastAsia="Palatino Linotype"/>
                <w:spacing w:val="-2"/>
                <w:lang w:eastAsia="zh-CN"/>
              </w:rPr>
            </w:pPr>
            <w:r w:rsidRPr="005C24CD">
              <w:rPr>
                <w:rFonts w:eastAsia="Palatino Linotype"/>
                <w:spacing w:val="-2"/>
                <w:lang w:eastAsia="zh-CN"/>
              </w:rPr>
              <w:t xml:space="preserve">Reflective questions on how </w:t>
            </w:r>
            <w:proofErr w:type="spellStart"/>
            <w:r w:rsidRPr="005C24CD">
              <w:rPr>
                <w:rFonts w:eastAsia="Palatino Linotype"/>
                <w:spacing w:val="-2"/>
                <w:lang w:eastAsia="zh-CN"/>
              </w:rPr>
              <w:t>Tepuk</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Tepung</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Tawar's</w:t>
            </w:r>
            <w:proofErr w:type="spellEnd"/>
            <w:r w:rsidRPr="005C24CD">
              <w:rPr>
                <w:rFonts w:eastAsia="Palatino Linotype"/>
                <w:spacing w:val="-2"/>
                <w:lang w:eastAsia="zh-CN"/>
              </w:rPr>
              <w:t xml:space="preserve"> local wisdom values ​​influence student behavior</w:t>
            </w:r>
          </w:p>
        </w:tc>
        <w:tc>
          <w:tcPr>
            <w:tcW w:w="1271" w:type="dxa"/>
          </w:tcPr>
          <w:p w14:paraId="1BE3782D" w14:textId="77777777" w:rsidR="005C24CD" w:rsidRPr="005C24CD" w:rsidRDefault="005C24CD" w:rsidP="005C24CD">
            <w:pPr>
              <w:pStyle w:val="Alishlah31text"/>
              <w:spacing w:line="240" w:lineRule="auto"/>
              <w:rPr>
                <w:rFonts w:eastAsia="Palatino Linotype"/>
                <w:spacing w:val="-2"/>
                <w:lang w:eastAsia="zh-CN"/>
              </w:rPr>
            </w:pPr>
            <w:r w:rsidRPr="005C24CD">
              <w:rPr>
                <w:rFonts w:eastAsia="Palatino Linotype"/>
                <w:spacing w:val="-2"/>
                <w:lang w:eastAsia="zh-CN"/>
              </w:rPr>
              <w:t>0.657</w:t>
            </w:r>
          </w:p>
        </w:tc>
      </w:tr>
    </w:tbl>
    <w:p w14:paraId="3258E822" w14:textId="77777777" w:rsidR="005C24CD" w:rsidRPr="005C24CD" w:rsidRDefault="005C24CD" w:rsidP="005C24CD">
      <w:pPr>
        <w:pStyle w:val="Alishlah31text"/>
        <w:rPr>
          <w:rFonts w:eastAsia="Palatino Linotype"/>
          <w:spacing w:val="-2"/>
          <w:lang w:eastAsia="zh-CN"/>
        </w:rPr>
      </w:pPr>
    </w:p>
    <w:p w14:paraId="5DC944E7" w14:textId="19981E59" w:rsidR="005C24CD" w:rsidRPr="005C24CD" w:rsidRDefault="005C24CD" w:rsidP="005C24CD">
      <w:pPr>
        <w:pStyle w:val="Alishlah31text"/>
        <w:rPr>
          <w:rFonts w:eastAsia="Palatino Linotype"/>
          <w:spacing w:val="-2"/>
          <w:lang w:eastAsia="zh-CN"/>
        </w:rPr>
      </w:pPr>
      <w:r w:rsidRPr="005C24CD">
        <w:rPr>
          <w:rFonts w:eastAsia="Palatino Linotype"/>
          <w:spacing w:val="-2"/>
          <w:lang w:eastAsia="zh-CN"/>
        </w:rPr>
        <w:t xml:space="preserve">Table 1 reveals that all three indicator items have a significance value greater than 0.05. This demonstrates that the instrument may be used to evaluate students' knowledge and comprehension of character values in the local wisdom of </w:t>
      </w:r>
      <w:proofErr w:type="spellStart"/>
      <w:r w:rsidRPr="005C24CD">
        <w:rPr>
          <w:rFonts w:eastAsia="Palatino Linotype"/>
          <w:spacing w:val="-2"/>
          <w:lang w:eastAsia="zh-CN"/>
        </w:rPr>
        <w:t>Tepuk</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Tepung</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Tawar</w:t>
      </w:r>
      <w:proofErr w:type="spellEnd"/>
      <w:r w:rsidRPr="005C24CD">
        <w:rPr>
          <w:rFonts w:eastAsia="Palatino Linotype"/>
          <w:spacing w:val="-2"/>
          <w:lang w:eastAsia="zh-CN"/>
        </w:rPr>
        <w:t xml:space="preserve">. Apart from that, </w:t>
      </w:r>
      <w:proofErr w:type="gramStart"/>
      <w:r w:rsidRPr="005C24CD">
        <w:rPr>
          <w:rFonts w:eastAsia="Palatino Linotype"/>
          <w:spacing w:val="-2"/>
          <w:lang w:eastAsia="zh-CN"/>
        </w:rPr>
        <w:t>The</w:t>
      </w:r>
      <w:proofErr w:type="gramEnd"/>
      <w:r w:rsidRPr="005C24CD">
        <w:rPr>
          <w:rFonts w:eastAsia="Palatino Linotype"/>
          <w:spacing w:val="-2"/>
          <w:lang w:eastAsia="zh-CN"/>
        </w:rPr>
        <w:t xml:space="preserve"> results of the instrument reliability test are shown in the following table.</w:t>
      </w:r>
    </w:p>
    <w:p w14:paraId="0D6544C0" w14:textId="77777777" w:rsidR="005C24CD" w:rsidRPr="005C24CD" w:rsidRDefault="005C24CD" w:rsidP="005C24CD">
      <w:pPr>
        <w:pStyle w:val="Alishlah31text"/>
        <w:rPr>
          <w:rFonts w:eastAsia="Palatino Linotype"/>
          <w:spacing w:val="-2"/>
          <w:lang w:eastAsia="zh-CN"/>
        </w:rPr>
      </w:pPr>
    </w:p>
    <w:p w14:paraId="010B280F" w14:textId="77777777" w:rsidR="005C24CD" w:rsidRPr="005C24CD" w:rsidRDefault="005C24CD" w:rsidP="005C24CD">
      <w:pPr>
        <w:pStyle w:val="Alishlah31text"/>
        <w:ind w:firstLine="0"/>
        <w:jc w:val="center"/>
        <w:rPr>
          <w:rFonts w:eastAsia="Palatino Linotype"/>
          <w:spacing w:val="-2"/>
          <w:sz w:val="18"/>
          <w:szCs w:val="20"/>
          <w:lang w:eastAsia="zh-CN"/>
        </w:rPr>
      </w:pPr>
      <w:proofErr w:type="gramStart"/>
      <w:r w:rsidRPr="005C24CD">
        <w:rPr>
          <w:rFonts w:eastAsia="Palatino Linotype"/>
          <w:b/>
          <w:bCs/>
          <w:spacing w:val="-2"/>
          <w:sz w:val="18"/>
          <w:szCs w:val="20"/>
          <w:lang w:eastAsia="zh-CN"/>
        </w:rPr>
        <w:t>Table 2</w:t>
      </w:r>
      <w:r w:rsidRPr="005C24CD">
        <w:rPr>
          <w:rFonts w:eastAsia="Palatino Linotype"/>
          <w:spacing w:val="-2"/>
          <w:sz w:val="18"/>
          <w:szCs w:val="20"/>
          <w:lang w:eastAsia="zh-CN"/>
        </w:rPr>
        <w:t>.</w:t>
      </w:r>
      <w:proofErr w:type="gramEnd"/>
      <w:r w:rsidRPr="005C24CD">
        <w:rPr>
          <w:rFonts w:eastAsia="Palatino Linotype"/>
          <w:spacing w:val="-2"/>
          <w:sz w:val="18"/>
          <w:szCs w:val="20"/>
          <w:lang w:eastAsia="zh-CN"/>
        </w:rPr>
        <w:t xml:space="preserve"> Reliability Test of research instruments</w:t>
      </w:r>
    </w:p>
    <w:tbl>
      <w:tblPr>
        <w:tblW w:w="4248" w:type="dxa"/>
        <w:jc w:val="center"/>
        <w:tblBorders>
          <w:top w:val="single" w:sz="4" w:space="0" w:color="auto"/>
          <w:bottom w:val="single" w:sz="4" w:space="0" w:color="auto"/>
        </w:tblBorders>
        <w:tblLayout w:type="fixed"/>
        <w:tblLook w:val="0400" w:firstRow="0" w:lastRow="0" w:firstColumn="0" w:lastColumn="0" w:noHBand="0" w:noVBand="1"/>
      </w:tblPr>
      <w:tblGrid>
        <w:gridCol w:w="2405"/>
        <w:gridCol w:w="1843"/>
      </w:tblGrid>
      <w:tr w:rsidR="005C24CD" w:rsidRPr="005C24CD" w14:paraId="31F6DB3F" w14:textId="77777777" w:rsidTr="005C24CD">
        <w:trPr>
          <w:jc w:val="center"/>
        </w:trPr>
        <w:tc>
          <w:tcPr>
            <w:tcW w:w="2405" w:type="dxa"/>
            <w:tcBorders>
              <w:top w:val="single" w:sz="4" w:space="0" w:color="auto"/>
              <w:bottom w:val="single" w:sz="4" w:space="0" w:color="auto"/>
            </w:tcBorders>
          </w:tcPr>
          <w:p w14:paraId="240C84AB" w14:textId="77777777" w:rsidR="005C24CD" w:rsidRPr="005C24CD" w:rsidRDefault="005C24CD" w:rsidP="005C24CD">
            <w:pPr>
              <w:pStyle w:val="Alishlah31text"/>
              <w:spacing w:line="240" w:lineRule="auto"/>
              <w:ind w:firstLine="0"/>
              <w:jc w:val="center"/>
              <w:rPr>
                <w:rFonts w:eastAsia="Palatino Linotype"/>
                <w:b/>
                <w:bCs/>
                <w:spacing w:val="-2"/>
                <w:lang w:eastAsia="zh-CN"/>
              </w:rPr>
            </w:pPr>
            <w:proofErr w:type="spellStart"/>
            <w:r w:rsidRPr="005C24CD">
              <w:rPr>
                <w:rFonts w:eastAsia="Palatino Linotype"/>
                <w:b/>
                <w:bCs/>
                <w:spacing w:val="-2"/>
                <w:lang w:eastAsia="zh-CN"/>
              </w:rPr>
              <w:t>Cronbach's</w:t>
            </w:r>
            <w:proofErr w:type="spellEnd"/>
            <w:r w:rsidRPr="005C24CD">
              <w:rPr>
                <w:rFonts w:eastAsia="Palatino Linotype"/>
                <w:b/>
                <w:bCs/>
                <w:spacing w:val="-2"/>
                <w:lang w:eastAsia="zh-CN"/>
              </w:rPr>
              <w:t xml:space="preserve"> Alpha</w:t>
            </w:r>
          </w:p>
        </w:tc>
        <w:tc>
          <w:tcPr>
            <w:tcW w:w="1843" w:type="dxa"/>
            <w:tcBorders>
              <w:top w:val="single" w:sz="4" w:space="0" w:color="auto"/>
              <w:bottom w:val="single" w:sz="4" w:space="0" w:color="auto"/>
            </w:tcBorders>
          </w:tcPr>
          <w:p w14:paraId="0F4A56F6" w14:textId="77777777" w:rsidR="005C24CD" w:rsidRPr="005C24CD" w:rsidRDefault="005C24CD" w:rsidP="005C24CD">
            <w:pPr>
              <w:pStyle w:val="Alishlah31text"/>
              <w:spacing w:line="240" w:lineRule="auto"/>
              <w:jc w:val="center"/>
              <w:rPr>
                <w:rFonts w:eastAsia="Palatino Linotype"/>
                <w:b/>
                <w:bCs/>
                <w:spacing w:val="-2"/>
                <w:lang w:eastAsia="zh-CN"/>
              </w:rPr>
            </w:pPr>
            <w:r w:rsidRPr="005C24CD">
              <w:rPr>
                <w:rFonts w:eastAsia="Palatino Linotype"/>
                <w:b/>
                <w:bCs/>
                <w:spacing w:val="-2"/>
                <w:lang w:eastAsia="zh-CN"/>
              </w:rPr>
              <w:t>N of items</w:t>
            </w:r>
          </w:p>
        </w:tc>
      </w:tr>
      <w:tr w:rsidR="005C24CD" w:rsidRPr="005C24CD" w14:paraId="1F75DF6B" w14:textId="77777777" w:rsidTr="005C24CD">
        <w:trPr>
          <w:jc w:val="center"/>
        </w:trPr>
        <w:tc>
          <w:tcPr>
            <w:tcW w:w="2405" w:type="dxa"/>
            <w:tcBorders>
              <w:top w:val="single" w:sz="4" w:space="0" w:color="auto"/>
            </w:tcBorders>
          </w:tcPr>
          <w:p w14:paraId="6645C0BC" w14:textId="77777777" w:rsidR="005C24CD" w:rsidRPr="005C24CD" w:rsidRDefault="005C24CD" w:rsidP="005C24CD">
            <w:pPr>
              <w:pStyle w:val="Alishlah31text"/>
              <w:spacing w:line="240" w:lineRule="auto"/>
              <w:jc w:val="center"/>
              <w:rPr>
                <w:rFonts w:eastAsia="Palatino Linotype"/>
                <w:spacing w:val="-2"/>
                <w:lang w:eastAsia="zh-CN"/>
              </w:rPr>
            </w:pPr>
            <w:r w:rsidRPr="005C24CD">
              <w:rPr>
                <w:rFonts w:eastAsia="Palatino Linotype"/>
                <w:spacing w:val="-2"/>
                <w:lang w:eastAsia="zh-CN"/>
              </w:rPr>
              <w:t>0.689</w:t>
            </w:r>
          </w:p>
        </w:tc>
        <w:tc>
          <w:tcPr>
            <w:tcW w:w="1843" w:type="dxa"/>
            <w:tcBorders>
              <w:top w:val="single" w:sz="4" w:space="0" w:color="auto"/>
            </w:tcBorders>
          </w:tcPr>
          <w:p w14:paraId="1CFFE160" w14:textId="6D1B404D" w:rsidR="005C24CD" w:rsidRPr="005C24CD" w:rsidRDefault="005C24CD" w:rsidP="005C24CD">
            <w:pPr>
              <w:pStyle w:val="Alishlah31text"/>
              <w:spacing w:line="240" w:lineRule="auto"/>
              <w:jc w:val="center"/>
              <w:rPr>
                <w:rFonts w:eastAsia="Palatino Linotype"/>
                <w:spacing w:val="-2"/>
                <w:lang w:eastAsia="zh-CN"/>
              </w:rPr>
            </w:pPr>
            <w:r w:rsidRPr="00443C4D">
              <w:rPr>
                <w:rFonts w:eastAsia="Palatino Linotype"/>
                <w:spacing w:val="-2"/>
                <w:lang w:eastAsia="zh-CN"/>
              </w:rPr>
              <w:t>3</w:t>
            </w:r>
          </w:p>
        </w:tc>
      </w:tr>
    </w:tbl>
    <w:p w14:paraId="0808C08D" w14:textId="77777777" w:rsidR="005C24CD" w:rsidRPr="005C24CD" w:rsidRDefault="005C24CD" w:rsidP="005C24CD">
      <w:pPr>
        <w:pStyle w:val="Alishlah31text"/>
        <w:rPr>
          <w:rFonts w:eastAsia="Palatino Linotype"/>
          <w:spacing w:val="-2"/>
          <w:lang w:eastAsia="zh-CN"/>
        </w:rPr>
      </w:pPr>
    </w:p>
    <w:p w14:paraId="52CF88EF" w14:textId="77777777" w:rsidR="005C24CD" w:rsidRPr="005C24CD" w:rsidRDefault="005C24CD" w:rsidP="005C24CD">
      <w:pPr>
        <w:pStyle w:val="Alishlah31text"/>
        <w:rPr>
          <w:rFonts w:eastAsia="Palatino Linotype"/>
          <w:spacing w:val="-2"/>
          <w:lang w:eastAsia="zh-CN"/>
        </w:rPr>
      </w:pPr>
      <w:r w:rsidRPr="005C24CD">
        <w:rPr>
          <w:rFonts w:eastAsia="Palatino Linotype"/>
          <w:spacing w:val="-2"/>
          <w:lang w:eastAsia="zh-CN"/>
        </w:rPr>
        <w:t xml:space="preserve">This table shows that the </w:t>
      </w:r>
      <w:proofErr w:type="spellStart"/>
      <w:r w:rsidRPr="005C24CD">
        <w:rPr>
          <w:rFonts w:eastAsia="Palatino Linotype"/>
          <w:spacing w:val="-2"/>
          <w:lang w:eastAsia="zh-CN"/>
        </w:rPr>
        <w:t>Cronbach</w:t>
      </w:r>
      <w:proofErr w:type="spellEnd"/>
      <w:r w:rsidRPr="005C24CD">
        <w:rPr>
          <w:rFonts w:eastAsia="Palatino Linotype"/>
          <w:spacing w:val="-2"/>
          <w:lang w:eastAsia="zh-CN"/>
        </w:rPr>
        <w:t xml:space="preserve"> Alpha reliability test is 0.689, which is greater than 0.05. As a result, the </w:t>
      </w:r>
      <w:proofErr w:type="spellStart"/>
      <w:r w:rsidRPr="005C24CD">
        <w:rPr>
          <w:rFonts w:eastAsia="Palatino Linotype"/>
          <w:spacing w:val="-2"/>
          <w:lang w:eastAsia="zh-CN"/>
        </w:rPr>
        <w:t>the</w:t>
      </w:r>
      <w:proofErr w:type="spellEnd"/>
      <w:r w:rsidRPr="005C24CD">
        <w:rPr>
          <w:rFonts w:eastAsia="Palatino Linotype"/>
          <w:spacing w:val="-2"/>
          <w:lang w:eastAsia="zh-CN"/>
        </w:rPr>
        <w:t xml:space="preserve"> instrument can measure the developing worth of students' character. Based on this statement, it can be said that the instrument tested was successful because it was valid and reliable.</w:t>
      </w:r>
    </w:p>
    <w:p w14:paraId="7EC51D00" w14:textId="5F3F01E8" w:rsidR="005C24CD" w:rsidRPr="00443C4D" w:rsidRDefault="005C24CD" w:rsidP="005C24CD">
      <w:pPr>
        <w:pStyle w:val="Alishlah31text"/>
        <w:rPr>
          <w:rFonts w:eastAsia="Palatino Linotype"/>
          <w:spacing w:val="-2"/>
          <w:lang w:eastAsia="zh-CN"/>
        </w:rPr>
      </w:pPr>
      <w:r w:rsidRPr="005C24CD">
        <w:rPr>
          <w:rFonts w:eastAsia="Palatino Linotype"/>
          <w:spacing w:val="-2"/>
          <w:lang w:eastAsia="zh-CN"/>
        </w:rPr>
        <w:t xml:space="preserve">To determine the implementation of local wisdom values ​​of </w:t>
      </w:r>
      <w:proofErr w:type="spellStart"/>
      <w:r w:rsidRPr="005C24CD">
        <w:rPr>
          <w:rFonts w:eastAsia="Palatino Linotype"/>
          <w:spacing w:val="-2"/>
          <w:lang w:eastAsia="zh-CN"/>
        </w:rPr>
        <w:t>Tepuk</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tepung</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tawar</w:t>
      </w:r>
      <w:proofErr w:type="spellEnd"/>
      <w:r w:rsidRPr="005C24CD">
        <w:rPr>
          <w:rFonts w:eastAsia="Palatino Linotype"/>
          <w:spacing w:val="-2"/>
          <w:lang w:eastAsia="zh-CN"/>
        </w:rPr>
        <w:t xml:space="preserve"> in improving students' character values ​​in history learning, this was done through a t test with a paired sample t-test. Apart from that, the N-Gain Test was utilized in this study to determine how much the local wisdom </w:t>
      </w:r>
      <w:r w:rsidRPr="005C24CD">
        <w:rPr>
          <w:rFonts w:eastAsia="Palatino Linotype"/>
          <w:spacing w:val="-2"/>
          <w:lang w:eastAsia="zh-CN"/>
        </w:rPr>
        <w:lastRenderedPageBreak/>
        <w:t xml:space="preserve">values of </w:t>
      </w:r>
      <w:proofErr w:type="spellStart"/>
      <w:r w:rsidRPr="005C24CD">
        <w:rPr>
          <w:rFonts w:eastAsia="Palatino Linotype"/>
          <w:spacing w:val="-2"/>
          <w:lang w:eastAsia="zh-CN"/>
        </w:rPr>
        <w:t>Tepuk</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Tepung</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Tawar</w:t>
      </w:r>
      <w:proofErr w:type="spellEnd"/>
      <w:r w:rsidRPr="005C24CD">
        <w:rPr>
          <w:rFonts w:eastAsia="Palatino Linotype"/>
          <w:spacing w:val="-2"/>
          <w:lang w:eastAsia="zh-CN"/>
        </w:rPr>
        <w:t xml:space="preserve"> help pupils improve their character scores. The N-Gain criteria, developed by Richard Hake (1999), are employed as follows</w:t>
      </w:r>
      <w:r w:rsidR="00443C4D" w:rsidRPr="00443C4D">
        <w:rPr>
          <w:rFonts w:eastAsia="Palatino Linotype"/>
          <w:spacing w:val="-2"/>
          <w:lang w:eastAsia="zh-CN"/>
        </w:rPr>
        <w:t>.</w:t>
      </w:r>
    </w:p>
    <w:p w14:paraId="1CC0CF7D" w14:textId="77777777" w:rsidR="00443C4D" w:rsidRPr="005C24CD" w:rsidRDefault="00443C4D" w:rsidP="005C24CD">
      <w:pPr>
        <w:pStyle w:val="Alishlah31text"/>
        <w:rPr>
          <w:rFonts w:eastAsia="Palatino Linotype"/>
          <w:spacing w:val="-2"/>
          <w:lang w:eastAsia="zh-CN"/>
        </w:rPr>
      </w:pPr>
    </w:p>
    <w:p w14:paraId="6AF68395" w14:textId="77777777" w:rsidR="005C24CD" w:rsidRPr="005C24CD" w:rsidRDefault="005C24CD" w:rsidP="005C24CD">
      <w:pPr>
        <w:pStyle w:val="Alishlah31text"/>
        <w:ind w:firstLine="0"/>
        <w:jc w:val="center"/>
        <w:rPr>
          <w:rFonts w:eastAsia="Palatino Linotype"/>
          <w:spacing w:val="-2"/>
          <w:sz w:val="18"/>
          <w:szCs w:val="20"/>
          <w:lang w:eastAsia="zh-CN"/>
        </w:rPr>
      </w:pPr>
      <w:proofErr w:type="gramStart"/>
      <w:r w:rsidRPr="005C24CD">
        <w:rPr>
          <w:rFonts w:eastAsia="Palatino Linotype"/>
          <w:b/>
          <w:bCs/>
          <w:spacing w:val="-2"/>
          <w:sz w:val="18"/>
          <w:szCs w:val="20"/>
          <w:lang w:eastAsia="zh-CN"/>
        </w:rPr>
        <w:t>Table 3</w:t>
      </w:r>
      <w:r w:rsidRPr="005C24CD">
        <w:rPr>
          <w:rFonts w:eastAsia="Palatino Linotype"/>
          <w:spacing w:val="-2"/>
          <w:sz w:val="18"/>
          <w:szCs w:val="20"/>
          <w:lang w:eastAsia="zh-CN"/>
        </w:rPr>
        <w:t>.</w:t>
      </w:r>
      <w:proofErr w:type="gramEnd"/>
      <w:r w:rsidRPr="005C24CD">
        <w:rPr>
          <w:rFonts w:eastAsia="Palatino Linotype"/>
          <w:spacing w:val="-2"/>
          <w:sz w:val="18"/>
          <w:szCs w:val="20"/>
          <w:lang w:eastAsia="zh-CN"/>
        </w:rPr>
        <w:t xml:space="preserve"> Criteria for N-Gain Score</w:t>
      </w:r>
    </w:p>
    <w:tbl>
      <w:tblPr>
        <w:tblW w:w="5239" w:type="dxa"/>
        <w:jc w:val="center"/>
        <w:tblBorders>
          <w:top w:val="single" w:sz="4" w:space="0" w:color="auto"/>
          <w:bottom w:val="single" w:sz="4" w:space="0" w:color="auto"/>
        </w:tblBorders>
        <w:tblLayout w:type="fixed"/>
        <w:tblLook w:val="0400" w:firstRow="0" w:lastRow="0" w:firstColumn="0" w:lastColumn="0" w:noHBand="0" w:noVBand="1"/>
      </w:tblPr>
      <w:tblGrid>
        <w:gridCol w:w="2620"/>
        <w:gridCol w:w="2619"/>
      </w:tblGrid>
      <w:tr w:rsidR="005C24CD" w:rsidRPr="005C24CD" w14:paraId="16B1EA48" w14:textId="77777777" w:rsidTr="005C24CD">
        <w:trPr>
          <w:jc w:val="center"/>
        </w:trPr>
        <w:tc>
          <w:tcPr>
            <w:tcW w:w="2620" w:type="dxa"/>
            <w:tcBorders>
              <w:top w:val="single" w:sz="4" w:space="0" w:color="auto"/>
              <w:bottom w:val="single" w:sz="4" w:space="0" w:color="auto"/>
            </w:tcBorders>
            <w:shd w:val="clear" w:color="auto" w:fill="auto"/>
          </w:tcPr>
          <w:p w14:paraId="0E22CB44" w14:textId="77777777" w:rsidR="005C24CD" w:rsidRPr="005C24CD" w:rsidRDefault="005C24CD" w:rsidP="00443C4D">
            <w:pPr>
              <w:pStyle w:val="Alishlah31text"/>
              <w:spacing w:line="240" w:lineRule="auto"/>
              <w:ind w:firstLine="0"/>
              <w:jc w:val="center"/>
              <w:rPr>
                <w:rFonts w:eastAsia="Palatino Linotype"/>
                <w:b/>
                <w:bCs/>
                <w:spacing w:val="-2"/>
                <w:lang w:eastAsia="zh-CN"/>
              </w:rPr>
            </w:pPr>
            <w:r w:rsidRPr="005C24CD">
              <w:rPr>
                <w:rFonts w:eastAsia="Palatino Linotype"/>
                <w:b/>
                <w:bCs/>
                <w:spacing w:val="-2"/>
                <w:lang w:eastAsia="zh-CN"/>
              </w:rPr>
              <w:t>Intervals</w:t>
            </w:r>
          </w:p>
        </w:tc>
        <w:tc>
          <w:tcPr>
            <w:tcW w:w="2619" w:type="dxa"/>
            <w:tcBorders>
              <w:top w:val="single" w:sz="4" w:space="0" w:color="auto"/>
              <w:bottom w:val="single" w:sz="4" w:space="0" w:color="auto"/>
            </w:tcBorders>
            <w:shd w:val="clear" w:color="auto" w:fill="auto"/>
          </w:tcPr>
          <w:p w14:paraId="67DCA4FA" w14:textId="77777777" w:rsidR="005C24CD" w:rsidRPr="005C24CD" w:rsidRDefault="005C24CD" w:rsidP="00443C4D">
            <w:pPr>
              <w:pStyle w:val="Alishlah31text"/>
              <w:spacing w:line="240" w:lineRule="auto"/>
              <w:ind w:firstLine="0"/>
              <w:jc w:val="center"/>
              <w:rPr>
                <w:rFonts w:eastAsia="Palatino Linotype"/>
                <w:b/>
                <w:bCs/>
                <w:spacing w:val="-2"/>
                <w:lang w:eastAsia="zh-CN"/>
              </w:rPr>
            </w:pPr>
            <w:r w:rsidRPr="005C24CD">
              <w:rPr>
                <w:rFonts w:eastAsia="Palatino Linotype"/>
                <w:b/>
                <w:bCs/>
                <w:spacing w:val="-2"/>
                <w:lang w:eastAsia="zh-CN"/>
              </w:rPr>
              <w:t>Criteria</w:t>
            </w:r>
          </w:p>
        </w:tc>
      </w:tr>
      <w:tr w:rsidR="005C24CD" w:rsidRPr="005C24CD" w14:paraId="1CF13A1C" w14:textId="77777777" w:rsidTr="005C24CD">
        <w:trPr>
          <w:jc w:val="center"/>
        </w:trPr>
        <w:tc>
          <w:tcPr>
            <w:tcW w:w="2620" w:type="dxa"/>
            <w:tcBorders>
              <w:top w:val="single" w:sz="4" w:space="0" w:color="auto"/>
            </w:tcBorders>
            <w:shd w:val="clear" w:color="auto" w:fill="auto"/>
          </w:tcPr>
          <w:p w14:paraId="42758F5E" w14:textId="77777777" w:rsidR="005C24CD" w:rsidRPr="005C24CD" w:rsidRDefault="005C24CD" w:rsidP="00443C4D">
            <w:pPr>
              <w:pStyle w:val="Alishlah31text"/>
              <w:spacing w:line="240" w:lineRule="auto"/>
              <w:ind w:firstLine="0"/>
              <w:jc w:val="center"/>
              <w:rPr>
                <w:rFonts w:eastAsia="Palatino Linotype"/>
                <w:spacing w:val="-2"/>
                <w:lang w:eastAsia="zh-CN"/>
              </w:rPr>
            </w:pPr>
            <w:r w:rsidRPr="005C24CD">
              <w:rPr>
                <w:rFonts w:eastAsia="Palatino Linotype"/>
                <w:spacing w:val="-2"/>
                <w:lang w:eastAsia="zh-CN"/>
              </w:rPr>
              <w:t>g ≥ 0.7</w:t>
            </w:r>
          </w:p>
        </w:tc>
        <w:tc>
          <w:tcPr>
            <w:tcW w:w="2619" w:type="dxa"/>
            <w:tcBorders>
              <w:top w:val="single" w:sz="4" w:space="0" w:color="auto"/>
            </w:tcBorders>
            <w:shd w:val="clear" w:color="auto" w:fill="auto"/>
          </w:tcPr>
          <w:p w14:paraId="3309E05E" w14:textId="77777777" w:rsidR="005C24CD" w:rsidRPr="005C24CD" w:rsidRDefault="005C24CD" w:rsidP="00443C4D">
            <w:pPr>
              <w:pStyle w:val="Alishlah31text"/>
              <w:spacing w:line="240" w:lineRule="auto"/>
              <w:ind w:firstLine="0"/>
              <w:jc w:val="center"/>
              <w:rPr>
                <w:rFonts w:eastAsia="Palatino Linotype"/>
                <w:spacing w:val="-2"/>
                <w:lang w:eastAsia="zh-CN"/>
              </w:rPr>
            </w:pPr>
            <w:r w:rsidRPr="005C24CD">
              <w:rPr>
                <w:rFonts w:eastAsia="Palatino Linotype"/>
                <w:spacing w:val="-2"/>
                <w:lang w:eastAsia="zh-CN"/>
              </w:rPr>
              <w:t>High</w:t>
            </w:r>
          </w:p>
        </w:tc>
      </w:tr>
      <w:tr w:rsidR="005C24CD" w:rsidRPr="005C24CD" w14:paraId="73DCF868" w14:textId="77777777" w:rsidTr="005C24CD">
        <w:trPr>
          <w:jc w:val="center"/>
        </w:trPr>
        <w:tc>
          <w:tcPr>
            <w:tcW w:w="2620" w:type="dxa"/>
            <w:shd w:val="clear" w:color="auto" w:fill="auto"/>
          </w:tcPr>
          <w:p w14:paraId="6D4F1458" w14:textId="77777777" w:rsidR="005C24CD" w:rsidRPr="005C24CD" w:rsidRDefault="005C24CD" w:rsidP="00443C4D">
            <w:pPr>
              <w:pStyle w:val="Alishlah31text"/>
              <w:spacing w:line="240" w:lineRule="auto"/>
              <w:ind w:firstLine="0"/>
              <w:jc w:val="center"/>
              <w:rPr>
                <w:rFonts w:eastAsia="Palatino Linotype"/>
                <w:spacing w:val="-2"/>
                <w:lang w:eastAsia="zh-CN"/>
              </w:rPr>
            </w:pPr>
            <w:r w:rsidRPr="005C24CD">
              <w:rPr>
                <w:rFonts w:eastAsia="Palatino Linotype"/>
                <w:spacing w:val="-2"/>
                <w:lang w:eastAsia="zh-CN"/>
              </w:rPr>
              <w:t>0.3 ≤ g ≥ 0.7</w:t>
            </w:r>
          </w:p>
        </w:tc>
        <w:tc>
          <w:tcPr>
            <w:tcW w:w="2619" w:type="dxa"/>
            <w:shd w:val="clear" w:color="auto" w:fill="auto"/>
          </w:tcPr>
          <w:p w14:paraId="0DCC5B73" w14:textId="77777777" w:rsidR="005C24CD" w:rsidRPr="005C24CD" w:rsidRDefault="005C24CD" w:rsidP="00443C4D">
            <w:pPr>
              <w:pStyle w:val="Alishlah31text"/>
              <w:spacing w:line="240" w:lineRule="auto"/>
              <w:ind w:firstLine="0"/>
              <w:jc w:val="center"/>
              <w:rPr>
                <w:rFonts w:eastAsia="Palatino Linotype"/>
                <w:spacing w:val="-2"/>
                <w:lang w:eastAsia="zh-CN"/>
              </w:rPr>
            </w:pPr>
            <w:r w:rsidRPr="005C24CD">
              <w:rPr>
                <w:rFonts w:eastAsia="Palatino Linotype"/>
                <w:spacing w:val="-2"/>
                <w:lang w:eastAsia="zh-CN"/>
              </w:rPr>
              <w:t>Middle</w:t>
            </w:r>
          </w:p>
        </w:tc>
      </w:tr>
      <w:tr w:rsidR="005C24CD" w:rsidRPr="005C24CD" w14:paraId="5A738B21" w14:textId="77777777" w:rsidTr="005C24CD">
        <w:trPr>
          <w:jc w:val="center"/>
        </w:trPr>
        <w:tc>
          <w:tcPr>
            <w:tcW w:w="2620" w:type="dxa"/>
            <w:shd w:val="clear" w:color="auto" w:fill="auto"/>
          </w:tcPr>
          <w:p w14:paraId="7F329F5E" w14:textId="77777777" w:rsidR="005C24CD" w:rsidRPr="005C24CD" w:rsidRDefault="005C24CD" w:rsidP="00443C4D">
            <w:pPr>
              <w:pStyle w:val="Alishlah31text"/>
              <w:spacing w:line="240" w:lineRule="auto"/>
              <w:ind w:firstLine="0"/>
              <w:jc w:val="center"/>
              <w:rPr>
                <w:rFonts w:eastAsia="Palatino Linotype"/>
                <w:spacing w:val="-2"/>
                <w:lang w:eastAsia="zh-CN"/>
              </w:rPr>
            </w:pPr>
            <w:r w:rsidRPr="005C24CD">
              <w:rPr>
                <w:rFonts w:eastAsia="Palatino Linotype"/>
                <w:spacing w:val="-2"/>
                <w:lang w:eastAsia="zh-CN"/>
              </w:rPr>
              <w:t>g &lt; 0.3</w:t>
            </w:r>
          </w:p>
        </w:tc>
        <w:tc>
          <w:tcPr>
            <w:tcW w:w="2619" w:type="dxa"/>
            <w:shd w:val="clear" w:color="auto" w:fill="auto"/>
          </w:tcPr>
          <w:p w14:paraId="5418E770" w14:textId="77777777" w:rsidR="005C24CD" w:rsidRPr="005C24CD" w:rsidRDefault="005C24CD" w:rsidP="00443C4D">
            <w:pPr>
              <w:pStyle w:val="Alishlah31text"/>
              <w:spacing w:line="240" w:lineRule="auto"/>
              <w:ind w:firstLine="0"/>
              <w:jc w:val="center"/>
              <w:rPr>
                <w:rFonts w:eastAsia="Palatino Linotype"/>
                <w:spacing w:val="-2"/>
                <w:lang w:eastAsia="zh-CN"/>
              </w:rPr>
            </w:pPr>
            <w:r w:rsidRPr="005C24CD">
              <w:rPr>
                <w:rFonts w:eastAsia="Palatino Linotype"/>
                <w:spacing w:val="-2"/>
                <w:lang w:eastAsia="zh-CN"/>
              </w:rPr>
              <w:t>Low</w:t>
            </w:r>
          </w:p>
        </w:tc>
      </w:tr>
    </w:tbl>
    <w:p w14:paraId="01874093" w14:textId="77777777" w:rsidR="00443C4D" w:rsidRPr="00443C4D" w:rsidRDefault="00443C4D" w:rsidP="005C24CD">
      <w:pPr>
        <w:pStyle w:val="Alishlah31text"/>
        <w:ind w:firstLine="426"/>
        <w:rPr>
          <w:rFonts w:eastAsia="Palatino Linotype"/>
          <w:spacing w:val="-2"/>
          <w:lang w:eastAsia="zh-CN"/>
        </w:rPr>
      </w:pPr>
    </w:p>
    <w:p w14:paraId="350E05F4" w14:textId="59F9F7DF" w:rsidR="005C24CD" w:rsidRPr="00443C4D" w:rsidRDefault="005C24CD" w:rsidP="005C24CD">
      <w:pPr>
        <w:pStyle w:val="Alishlah31text"/>
        <w:ind w:firstLine="426"/>
        <w:rPr>
          <w:rFonts w:eastAsia="Palatino Linotype" w:cs="Palatino Linotype"/>
          <w:lang w:eastAsia="zh-CN"/>
          <w14:ligatures w14:val="standardContextual"/>
        </w:rPr>
      </w:pPr>
      <w:r w:rsidRPr="005C24CD">
        <w:rPr>
          <w:rFonts w:eastAsia="Palatino Linotype"/>
          <w:spacing w:val="-2"/>
          <w:lang w:eastAsia="zh-CN"/>
        </w:rPr>
        <w:t xml:space="preserve">In this study, quantitative and qualitative data analysis approaches were utilized. To describe the application of </w:t>
      </w:r>
      <w:proofErr w:type="spellStart"/>
      <w:r w:rsidRPr="005C24CD">
        <w:rPr>
          <w:rFonts w:eastAsia="Palatino Linotype"/>
          <w:spacing w:val="-2"/>
          <w:lang w:eastAsia="zh-CN"/>
        </w:rPr>
        <w:t>Tepuk</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Tepung</w:t>
      </w:r>
      <w:proofErr w:type="spellEnd"/>
      <w:r w:rsidRPr="005C24CD">
        <w:rPr>
          <w:rFonts w:eastAsia="Palatino Linotype"/>
          <w:spacing w:val="-2"/>
          <w:lang w:eastAsia="zh-CN"/>
        </w:rPr>
        <w:t xml:space="preserve"> </w:t>
      </w:r>
      <w:proofErr w:type="spellStart"/>
      <w:r w:rsidRPr="005C24CD">
        <w:rPr>
          <w:rFonts w:eastAsia="Palatino Linotype"/>
          <w:spacing w:val="-2"/>
          <w:lang w:eastAsia="zh-CN"/>
        </w:rPr>
        <w:t>Tawar's</w:t>
      </w:r>
      <w:proofErr w:type="spellEnd"/>
      <w:r w:rsidRPr="005C24CD">
        <w:rPr>
          <w:rFonts w:eastAsia="Palatino Linotype"/>
          <w:spacing w:val="-2"/>
          <w:lang w:eastAsia="zh-CN"/>
        </w:rPr>
        <w:t xml:space="preserve"> local wisdom values in developing students' character values in history learning, a qualitative study is employed. To assess the extent to which the local wisdom of </w:t>
      </w:r>
      <w:proofErr w:type="spellStart"/>
      <w:r w:rsidRPr="005C24CD">
        <w:rPr>
          <w:rFonts w:eastAsia="Palatino Linotype"/>
          <w:spacing w:val="-2"/>
          <w:lang w:eastAsia="zh-CN"/>
        </w:rPr>
        <w:t>Tepuk</w:t>
      </w:r>
      <w:proofErr w:type="spellEnd"/>
      <w:r w:rsidRPr="005C24CD">
        <w:rPr>
          <w:rFonts w:eastAsia="Palatino Linotype"/>
          <w:spacing w:val="-2"/>
          <w:lang w:eastAsia="zh-CN"/>
        </w:rPr>
        <w:t xml:space="preserve"> </w:t>
      </w:r>
      <w:proofErr w:type="spellStart"/>
      <w:r w:rsidR="00443C4D" w:rsidRPr="005C24CD">
        <w:rPr>
          <w:rFonts w:eastAsia="Palatino Linotype"/>
          <w:spacing w:val="-2"/>
          <w:lang w:eastAsia="zh-CN"/>
        </w:rPr>
        <w:t>Tepung</w:t>
      </w:r>
      <w:proofErr w:type="spellEnd"/>
      <w:r w:rsidR="00443C4D" w:rsidRPr="005C24CD">
        <w:rPr>
          <w:rFonts w:eastAsia="Palatino Linotype"/>
          <w:spacing w:val="-2"/>
          <w:lang w:eastAsia="zh-CN"/>
        </w:rPr>
        <w:t xml:space="preserve"> </w:t>
      </w:r>
      <w:proofErr w:type="spellStart"/>
      <w:r w:rsidR="00443C4D" w:rsidRPr="005C24CD">
        <w:rPr>
          <w:rFonts w:eastAsia="Palatino Linotype"/>
          <w:spacing w:val="-2"/>
          <w:lang w:eastAsia="zh-CN"/>
        </w:rPr>
        <w:t>Tawar</w:t>
      </w:r>
      <w:proofErr w:type="spellEnd"/>
      <w:r w:rsidR="00443C4D" w:rsidRPr="005C24CD">
        <w:rPr>
          <w:rFonts w:eastAsia="Palatino Linotype"/>
          <w:spacing w:val="-2"/>
          <w:lang w:eastAsia="zh-CN"/>
        </w:rPr>
        <w:t xml:space="preserve"> </w:t>
      </w:r>
      <w:r w:rsidRPr="005C24CD">
        <w:rPr>
          <w:rFonts w:eastAsia="Palatino Linotype"/>
          <w:spacing w:val="-2"/>
          <w:lang w:eastAsia="zh-CN"/>
        </w:rPr>
        <w:t>improves students' character scores, t and N-gain tests were carried out using SPSS version 25.0 software</w:t>
      </w:r>
      <w:r w:rsidRPr="005C24CD">
        <w:rPr>
          <w:rFonts w:eastAsia="Palatino Linotype" w:cs="Palatino Linotype"/>
          <w:lang w:eastAsia="zh-CN"/>
          <w14:ligatures w14:val="standardContextual"/>
        </w:rPr>
        <w:t>.</w:t>
      </w:r>
    </w:p>
    <w:p w14:paraId="0C78E345" w14:textId="35F49C76" w:rsidR="005C24CD" w:rsidRPr="00443C4D" w:rsidRDefault="005B5AEC" w:rsidP="00443C4D">
      <w:pPr>
        <w:pStyle w:val="Alishlah21heading1"/>
        <w:rPr>
          <w:rFonts w:eastAsia="Arial"/>
        </w:rPr>
      </w:pPr>
      <w:r w:rsidRPr="00443C4D">
        <w:rPr>
          <w:rFonts w:eastAsia="Arial"/>
        </w:rPr>
        <w:t>FINDINGS AND DISCUSSION</w:t>
      </w:r>
    </w:p>
    <w:p w14:paraId="3EFDF01B" w14:textId="60BB26FD" w:rsidR="005C24CD" w:rsidRPr="00443C4D" w:rsidRDefault="00443C4D" w:rsidP="00443C4D">
      <w:pPr>
        <w:pStyle w:val="Alishlah22heading2"/>
        <w:spacing w:before="0"/>
      </w:pPr>
      <w:r w:rsidRPr="00443C4D">
        <w:t xml:space="preserve">3.1 </w:t>
      </w:r>
      <w:r w:rsidR="002B31FD" w:rsidRPr="00443C4D">
        <w:t xml:space="preserve"> </w:t>
      </w:r>
      <w:r w:rsidR="005C24CD" w:rsidRPr="00443C4D">
        <w:t>Normality test</w:t>
      </w:r>
    </w:p>
    <w:p w14:paraId="70B8DFE8" w14:textId="77777777" w:rsidR="005C24CD" w:rsidRDefault="005C24CD" w:rsidP="005C24CD">
      <w:pPr>
        <w:pStyle w:val="Alishlah31text"/>
      </w:pPr>
      <w:r w:rsidRPr="005C24CD">
        <w:t>Normality testing is used to assess whether the data shows a distribution pattern that corresponds to a normal distribution using the Kolmogorov test. Data that is considered suitable for analysis in this research is data that has a distribution that is close to normal. The basic assumption for using this test is that if the significance value is greater than 0.05, it can be concluded that the residual value follows a normal distribution. Conversely, if the significance value is less than 0.05, it can be concluded that the residual value does not follow a normal distribution. Normality test results can be seen in table 4.</w:t>
      </w:r>
    </w:p>
    <w:p w14:paraId="6C2FB184" w14:textId="77777777" w:rsidR="00443C4D" w:rsidRPr="005C24CD" w:rsidRDefault="00443C4D" w:rsidP="005C24CD">
      <w:pPr>
        <w:pStyle w:val="Alishlah31text"/>
      </w:pPr>
    </w:p>
    <w:p w14:paraId="7F72BD24" w14:textId="77777777" w:rsidR="005C24CD" w:rsidRPr="005C24CD" w:rsidRDefault="005C24CD" w:rsidP="00443C4D">
      <w:pPr>
        <w:pStyle w:val="Alishlah31text"/>
        <w:ind w:firstLine="0"/>
        <w:jc w:val="center"/>
        <w:rPr>
          <w:b/>
          <w:sz w:val="18"/>
          <w:szCs w:val="20"/>
        </w:rPr>
      </w:pPr>
      <w:proofErr w:type="gramStart"/>
      <w:r w:rsidRPr="005C24CD">
        <w:rPr>
          <w:b/>
          <w:sz w:val="18"/>
          <w:szCs w:val="20"/>
        </w:rPr>
        <w:t>Table 4.</w:t>
      </w:r>
      <w:proofErr w:type="gramEnd"/>
      <w:r w:rsidRPr="005C24CD">
        <w:rPr>
          <w:b/>
          <w:sz w:val="18"/>
          <w:szCs w:val="20"/>
        </w:rPr>
        <w:t xml:space="preserve"> </w:t>
      </w:r>
      <w:r w:rsidRPr="005C24CD">
        <w:rPr>
          <w:bCs/>
          <w:sz w:val="18"/>
          <w:szCs w:val="20"/>
        </w:rPr>
        <w:t>Normality Test</w:t>
      </w:r>
    </w:p>
    <w:tbl>
      <w:tblPr>
        <w:tblW w:w="8320" w:type="dxa"/>
        <w:jc w:val="center"/>
        <w:tblBorders>
          <w:top w:val="single" w:sz="4" w:space="0" w:color="auto"/>
          <w:bottom w:val="single" w:sz="4" w:space="0" w:color="auto"/>
        </w:tblBorders>
        <w:tblLayout w:type="fixed"/>
        <w:tblLook w:val="0400" w:firstRow="0" w:lastRow="0" w:firstColumn="0" w:lastColumn="0" w:noHBand="0" w:noVBand="1"/>
      </w:tblPr>
      <w:tblGrid>
        <w:gridCol w:w="1229"/>
        <w:gridCol w:w="1483"/>
        <w:gridCol w:w="1398"/>
        <w:gridCol w:w="1382"/>
        <w:gridCol w:w="1379"/>
        <w:gridCol w:w="1449"/>
      </w:tblGrid>
      <w:tr w:rsidR="005C24CD" w:rsidRPr="005C24CD" w14:paraId="3AF38269" w14:textId="77777777" w:rsidTr="00443C4D">
        <w:trPr>
          <w:jc w:val="center"/>
        </w:trPr>
        <w:tc>
          <w:tcPr>
            <w:tcW w:w="1229" w:type="dxa"/>
            <w:vMerge w:val="restart"/>
            <w:tcBorders>
              <w:top w:val="single" w:sz="4" w:space="0" w:color="auto"/>
              <w:bottom w:val="nil"/>
            </w:tcBorders>
          </w:tcPr>
          <w:p w14:paraId="6FCF03A3" w14:textId="77777777" w:rsidR="005C24CD" w:rsidRPr="005C24CD" w:rsidRDefault="005C24CD" w:rsidP="00443C4D">
            <w:pPr>
              <w:pStyle w:val="Alishlah31text"/>
              <w:ind w:firstLine="0"/>
              <w:jc w:val="center"/>
              <w:rPr>
                <w:b/>
              </w:rPr>
            </w:pPr>
            <w:r w:rsidRPr="005C24CD">
              <w:rPr>
                <w:b/>
              </w:rPr>
              <w:t>Data</w:t>
            </w:r>
          </w:p>
        </w:tc>
        <w:tc>
          <w:tcPr>
            <w:tcW w:w="1483" w:type="dxa"/>
            <w:vMerge w:val="restart"/>
            <w:tcBorders>
              <w:top w:val="single" w:sz="4" w:space="0" w:color="auto"/>
              <w:bottom w:val="nil"/>
            </w:tcBorders>
          </w:tcPr>
          <w:p w14:paraId="73CB8444" w14:textId="77777777" w:rsidR="005C24CD" w:rsidRPr="005C24CD" w:rsidRDefault="005C24CD" w:rsidP="00443C4D">
            <w:pPr>
              <w:pStyle w:val="Alishlah31text"/>
              <w:ind w:firstLine="0"/>
              <w:jc w:val="center"/>
              <w:rPr>
                <w:b/>
              </w:rPr>
            </w:pPr>
            <w:r w:rsidRPr="005C24CD">
              <w:rPr>
                <w:b/>
              </w:rPr>
              <w:t>Competence</w:t>
            </w:r>
          </w:p>
        </w:tc>
        <w:tc>
          <w:tcPr>
            <w:tcW w:w="1398" w:type="dxa"/>
            <w:vMerge w:val="restart"/>
            <w:tcBorders>
              <w:top w:val="single" w:sz="4" w:space="0" w:color="auto"/>
              <w:bottom w:val="nil"/>
            </w:tcBorders>
          </w:tcPr>
          <w:p w14:paraId="619E0EE0" w14:textId="77777777" w:rsidR="005C24CD" w:rsidRPr="005C24CD" w:rsidRDefault="005C24CD" w:rsidP="00443C4D">
            <w:pPr>
              <w:pStyle w:val="Alishlah31text"/>
              <w:ind w:firstLine="0"/>
              <w:jc w:val="center"/>
              <w:rPr>
                <w:b/>
              </w:rPr>
            </w:pPr>
            <w:r w:rsidRPr="005C24CD">
              <w:rPr>
                <w:b/>
              </w:rPr>
              <w:t>Standard Deviation</w:t>
            </w:r>
          </w:p>
        </w:tc>
        <w:tc>
          <w:tcPr>
            <w:tcW w:w="2761" w:type="dxa"/>
            <w:gridSpan w:val="2"/>
            <w:tcBorders>
              <w:top w:val="single" w:sz="4" w:space="0" w:color="auto"/>
              <w:bottom w:val="single" w:sz="4" w:space="0" w:color="auto"/>
            </w:tcBorders>
          </w:tcPr>
          <w:p w14:paraId="07AD900E" w14:textId="77777777" w:rsidR="005C24CD" w:rsidRPr="005C24CD" w:rsidRDefault="005C24CD" w:rsidP="00443C4D">
            <w:pPr>
              <w:pStyle w:val="Alishlah31text"/>
              <w:ind w:firstLine="0"/>
              <w:jc w:val="center"/>
              <w:rPr>
                <w:b/>
              </w:rPr>
            </w:pPr>
            <w:r w:rsidRPr="005C24CD">
              <w:rPr>
                <w:b/>
              </w:rPr>
              <w:t>SPSS data</w:t>
            </w:r>
          </w:p>
        </w:tc>
        <w:tc>
          <w:tcPr>
            <w:tcW w:w="1449" w:type="dxa"/>
            <w:vMerge w:val="restart"/>
            <w:tcBorders>
              <w:top w:val="single" w:sz="4" w:space="0" w:color="auto"/>
              <w:bottom w:val="single" w:sz="4" w:space="0" w:color="auto"/>
            </w:tcBorders>
          </w:tcPr>
          <w:p w14:paraId="287C130C" w14:textId="77777777" w:rsidR="005C24CD" w:rsidRPr="005C24CD" w:rsidRDefault="005C24CD" w:rsidP="00443C4D">
            <w:pPr>
              <w:pStyle w:val="Alishlah31text"/>
              <w:ind w:firstLine="0"/>
              <w:jc w:val="center"/>
              <w:rPr>
                <w:b/>
              </w:rPr>
            </w:pPr>
            <w:r w:rsidRPr="005C24CD">
              <w:rPr>
                <w:b/>
              </w:rPr>
              <w:t>Conclusion</w:t>
            </w:r>
          </w:p>
        </w:tc>
      </w:tr>
      <w:tr w:rsidR="005C24CD" w:rsidRPr="005C24CD" w14:paraId="642C3ABC" w14:textId="77777777" w:rsidTr="00443C4D">
        <w:trPr>
          <w:jc w:val="center"/>
        </w:trPr>
        <w:tc>
          <w:tcPr>
            <w:tcW w:w="1229" w:type="dxa"/>
            <w:vMerge/>
            <w:tcBorders>
              <w:top w:val="nil"/>
              <w:bottom w:val="single" w:sz="4" w:space="0" w:color="auto"/>
            </w:tcBorders>
          </w:tcPr>
          <w:p w14:paraId="2ADEC1D3" w14:textId="77777777" w:rsidR="005C24CD" w:rsidRPr="005C24CD" w:rsidRDefault="005C24CD" w:rsidP="005C24CD">
            <w:pPr>
              <w:pStyle w:val="Alishlah31text"/>
              <w:rPr>
                <w:b/>
              </w:rPr>
            </w:pPr>
          </w:p>
        </w:tc>
        <w:tc>
          <w:tcPr>
            <w:tcW w:w="1483" w:type="dxa"/>
            <w:vMerge/>
            <w:tcBorders>
              <w:top w:val="nil"/>
              <w:bottom w:val="single" w:sz="4" w:space="0" w:color="auto"/>
            </w:tcBorders>
          </w:tcPr>
          <w:p w14:paraId="3EBE80A9" w14:textId="77777777" w:rsidR="005C24CD" w:rsidRPr="005C24CD" w:rsidRDefault="005C24CD" w:rsidP="005C24CD">
            <w:pPr>
              <w:pStyle w:val="Alishlah31text"/>
              <w:rPr>
                <w:b/>
              </w:rPr>
            </w:pPr>
          </w:p>
        </w:tc>
        <w:tc>
          <w:tcPr>
            <w:tcW w:w="1398" w:type="dxa"/>
            <w:vMerge/>
            <w:tcBorders>
              <w:top w:val="nil"/>
              <w:bottom w:val="single" w:sz="4" w:space="0" w:color="auto"/>
            </w:tcBorders>
          </w:tcPr>
          <w:p w14:paraId="2D5AB866" w14:textId="77777777" w:rsidR="005C24CD" w:rsidRPr="005C24CD" w:rsidRDefault="005C24CD" w:rsidP="005C24CD">
            <w:pPr>
              <w:pStyle w:val="Alishlah31text"/>
              <w:rPr>
                <w:b/>
              </w:rPr>
            </w:pPr>
          </w:p>
        </w:tc>
        <w:tc>
          <w:tcPr>
            <w:tcW w:w="1382" w:type="dxa"/>
            <w:tcBorders>
              <w:top w:val="single" w:sz="4" w:space="0" w:color="auto"/>
              <w:bottom w:val="single" w:sz="4" w:space="0" w:color="auto"/>
            </w:tcBorders>
          </w:tcPr>
          <w:p w14:paraId="0C60F534" w14:textId="77777777" w:rsidR="005C24CD" w:rsidRPr="005C24CD" w:rsidRDefault="005C24CD" w:rsidP="00443C4D">
            <w:pPr>
              <w:pStyle w:val="Alishlah31text"/>
              <w:ind w:firstLine="0"/>
              <w:jc w:val="center"/>
              <w:rPr>
                <w:b/>
              </w:rPr>
            </w:pPr>
            <w:r w:rsidRPr="005C24CD">
              <w:rPr>
                <w:b/>
              </w:rPr>
              <w:t>Sig</w:t>
            </w:r>
          </w:p>
        </w:tc>
        <w:tc>
          <w:tcPr>
            <w:tcW w:w="1379" w:type="dxa"/>
            <w:tcBorders>
              <w:top w:val="single" w:sz="4" w:space="0" w:color="auto"/>
              <w:bottom w:val="single" w:sz="4" w:space="0" w:color="auto"/>
            </w:tcBorders>
          </w:tcPr>
          <w:p w14:paraId="7EAB7EB0" w14:textId="77777777" w:rsidR="005C24CD" w:rsidRPr="005C24CD" w:rsidRDefault="005C24CD" w:rsidP="00443C4D">
            <w:pPr>
              <w:pStyle w:val="Alishlah31text"/>
              <w:ind w:firstLine="0"/>
              <w:jc w:val="center"/>
              <w:rPr>
                <w:b/>
              </w:rPr>
            </w:pPr>
            <w:r w:rsidRPr="005C24CD">
              <w:rPr>
                <w:b/>
              </w:rPr>
              <w:t>A</w:t>
            </w:r>
          </w:p>
        </w:tc>
        <w:tc>
          <w:tcPr>
            <w:tcW w:w="1449" w:type="dxa"/>
            <w:vMerge/>
            <w:tcBorders>
              <w:top w:val="nil"/>
              <w:bottom w:val="single" w:sz="4" w:space="0" w:color="auto"/>
            </w:tcBorders>
          </w:tcPr>
          <w:p w14:paraId="14282BFD" w14:textId="77777777" w:rsidR="005C24CD" w:rsidRPr="005C24CD" w:rsidRDefault="005C24CD" w:rsidP="005C24CD">
            <w:pPr>
              <w:pStyle w:val="Alishlah31text"/>
              <w:rPr>
                <w:b/>
              </w:rPr>
            </w:pPr>
          </w:p>
        </w:tc>
      </w:tr>
      <w:tr w:rsidR="005C24CD" w:rsidRPr="005C24CD" w14:paraId="3FA13C1C" w14:textId="77777777" w:rsidTr="00443C4D">
        <w:trPr>
          <w:jc w:val="center"/>
        </w:trPr>
        <w:tc>
          <w:tcPr>
            <w:tcW w:w="1229" w:type="dxa"/>
            <w:tcBorders>
              <w:top w:val="single" w:sz="4" w:space="0" w:color="auto"/>
            </w:tcBorders>
          </w:tcPr>
          <w:p w14:paraId="0FD6367C" w14:textId="77777777" w:rsidR="005C24CD" w:rsidRPr="005C24CD" w:rsidRDefault="005C24CD" w:rsidP="00443C4D">
            <w:pPr>
              <w:pStyle w:val="Alishlah31text"/>
              <w:ind w:firstLine="0"/>
            </w:pPr>
            <w:r w:rsidRPr="005C24CD">
              <w:t>Pretest</w:t>
            </w:r>
          </w:p>
        </w:tc>
        <w:tc>
          <w:tcPr>
            <w:tcW w:w="1483" w:type="dxa"/>
            <w:tcBorders>
              <w:top w:val="single" w:sz="4" w:space="0" w:color="auto"/>
            </w:tcBorders>
          </w:tcPr>
          <w:p w14:paraId="27F4F403" w14:textId="77777777" w:rsidR="005C24CD" w:rsidRPr="005C24CD" w:rsidRDefault="005C24CD" w:rsidP="00443C4D">
            <w:pPr>
              <w:pStyle w:val="Alishlah31text"/>
              <w:ind w:firstLine="0"/>
            </w:pPr>
            <w:r w:rsidRPr="005C24CD">
              <w:t>Student Character</w:t>
            </w:r>
          </w:p>
        </w:tc>
        <w:tc>
          <w:tcPr>
            <w:tcW w:w="1398" w:type="dxa"/>
            <w:tcBorders>
              <w:top w:val="single" w:sz="4" w:space="0" w:color="auto"/>
            </w:tcBorders>
          </w:tcPr>
          <w:p w14:paraId="7B41DD12" w14:textId="77777777" w:rsidR="005C24CD" w:rsidRPr="005C24CD" w:rsidRDefault="005C24CD" w:rsidP="00443C4D">
            <w:pPr>
              <w:pStyle w:val="Alishlah31text"/>
              <w:ind w:firstLine="0"/>
              <w:jc w:val="center"/>
            </w:pPr>
            <w:r w:rsidRPr="005C24CD">
              <w:t>10,947</w:t>
            </w:r>
          </w:p>
        </w:tc>
        <w:tc>
          <w:tcPr>
            <w:tcW w:w="1382" w:type="dxa"/>
            <w:tcBorders>
              <w:top w:val="single" w:sz="4" w:space="0" w:color="auto"/>
            </w:tcBorders>
          </w:tcPr>
          <w:p w14:paraId="28CAEE68" w14:textId="77777777" w:rsidR="005C24CD" w:rsidRPr="005C24CD" w:rsidRDefault="005C24CD" w:rsidP="00443C4D">
            <w:pPr>
              <w:pStyle w:val="Alishlah31text"/>
              <w:ind w:firstLine="0"/>
              <w:jc w:val="center"/>
            </w:pPr>
            <w:r w:rsidRPr="005C24CD">
              <w:t>,456</w:t>
            </w:r>
          </w:p>
        </w:tc>
        <w:tc>
          <w:tcPr>
            <w:tcW w:w="1379" w:type="dxa"/>
            <w:tcBorders>
              <w:top w:val="single" w:sz="4" w:space="0" w:color="auto"/>
            </w:tcBorders>
          </w:tcPr>
          <w:p w14:paraId="0C28D0CB" w14:textId="77777777" w:rsidR="005C24CD" w:rsidRPr="005C24CD" w:rsidRDefault="005C24CD" w:rsidP="00443C4D">
            <w:pPr>
              <w:pStyle w:val="Alishlah31text"/>
              <w:ind w:firstLine="0"/>
              <w:jc w:val="center"/>
            </w:pPr>
            <w:r w:rsidRPr="005C24CD">
              <w:t>0.05</w:t>
            </w:r>
          </w:p>
        </w:tc>
        <w:tc>
          <w:tcPr>
            <w:tcW w:w="1449" w:type="dxa"/>
            <w:tcBorders>
              <w:top w:val="single" w:sz="4" w:space="0" w:color="auto"/>
            </w:tcBorders>
          </w:tcPr>
          <w:p w14:paraId="14DEBA64" w14:textId="77777777" w:rsidR="005C24CD" w:rsidRPr="005C24CD" w:rsidRDefault="005C24CD" w:rsidP="00443C4D">
            <w:pPr>
              <w:pStyle w:val="Alishlah31text"/>
              <w:ind w:firstLine="0"/>
              <w:jc w:val="center"/>
            </w:pPr>
            <w:r w:rsidRPr="005C24CD">
              <w:t>Normal</w:t>
            </w:r>
          </w:p>
        </w:tc>
      </w:tr>
      <w:tr w:rsidR="005C24CD" w:rsidRPr="005C24CD" w14:paraId="601B18E8" w14:textId="77777777" w:rsidTr="00443C4D">
        <w:trPr>
          <w:jc w:val="center"/>
        </w:trPr>
        <w:tc>
          <w:tcPr>
            <w:tcW w:w="1229" w:type="dxa"/>
          </w:tcPr>
          <w:p w14:paraId="278BD757" w14:textId="77777777" w:rsidR="005C24CD" w:rsidRPr="005C24CD" w:rsidRDefault="005C24CD" w:rsidP="00443C4D">
            <w:pPr>
              <w:pStyle w:val="Alishlah31text"/>
              <w:ind w:firstLine="0"/>
            </w:pPr>
            <w:r w:rsidRPr="005C24CD">
              <w:t>Posttest</w:t>
            </w:r>
          </w:p>
        </w:tc>
        <w:tc>
          <w:tcPr>
            <w:tcW w:w="1483" w:type="dxa"/>
          </w:tcPr>
          <w:p w14:paraId="3AD0DDED" w14:textId="77777777" w:rsidR="005C24CD" w:rsidRPr="005C24CD" w:rsidRDefault="005C24CD" w:rsidP="00443C4D">
            <w:pPr>
              <w:pStyle w:val="Alishlah31text"/>
              <w:ind w:firstLine="0"/>
            </w:pPr>
            <w:r w:rsidRPr="005C24CD">
              <w:t>Student Character</w:t>
            </w:r>
          </w:p>
        </w:tc>
        <w:tc>
          <w:tcPr>
            <w:tcW w:w="1398" w:type="dxa"/>
          </w:tcPr>
          <w:p w14:paraId="79DEA536" w14:textId="77777777" w:rsidR="005C24CD" w:rsidRPr="005C24CD" w:rsidRDefault="005C24CD" w:rsidP="00443C4D">
            <w:pPr>
              <w:pStyle w:val="Alishlah31text"/>
              <w:ind w:firstLine="0"/>
              <w:jc w:val="center"/>
            </w:pPr>
            <w:r w:rsidRPr="005C24CD">
              <w:t>11,983</w:t>
            </w:r>
          </w:p>
        </w:tc>
        <w:tc>
          <w:tcPr>
            <w:tcW w:w="1382" w:type="dxa"/>
          </w:tcPr>
          <w:p w14:paraId="6D74F9D5" w14:textId="77777777" w:rsidR="005C24CD" w:rsidRPr="005C24CD" w:rsidRDefault="005C24CD" w:rsidP="00443C4D">
            <w:pPr>
              <w:pStyle w:val="Alishlah31text"/>
              <w:ind w:firstLine="0"/>
              <w:jc w:val="center"/>
            </w:pPr>
            <w:r w:rsidRPr="005C24CD">
              <w:t>,630</w:t>
            </w:r>
          </w:p>
        </w:tc>
        <w:tc>
          <w:tcPr>
            <w:tcW w:w="1379" w:type="dxa"/>
          </w:tcPr>
          <w:p w14:paraId="3BA14BE7" w14:textId="77777777" w:rsidR="005C24CD" w:rsidRPr="005C24CD" w:rsidRDefault="005C24CD" w:rsidP="00443C4D">
            <w:pPr>
              <w:pStyle w:val="Alishlah31text"/>
              <w:ind w:firstLine="0"/>
              <w:jc w:val="center"/>
            </w:pPr>
            <w:r w:rsidRPr="005C24CD">
              <w:t>0.05</w:t>
            </w:r>
          </w:p>
        </w:tc>
        <w:tc>
          <w:tcPr>
            <w:tcW w:w="1449" w:type="dxa"/>
          </w:tcPr>
          <w:p w14:paraId="35E9A992" w14:textId="77777777" w:rsidR="005C24CD" w:rsidRPr="005C24CD" w:rsidRDefault="005C24CD" w:rsidP="00443C4D">
            <w:pPr>
              <w:pStyle w:val="Alishlah31text"/>
              <w:ind w:firstLine="0"/>
              <w:jc w:val="center"/>
            </w:pPr>
            <w:r w:rsidRPr="005C24CD">
              <w:t>Normal</w:t>
            </w:r>
          </w:p>
        </w:tc>
      </w:tr>
    </w:tbl>
    <w:p w14:paraId="0A977871" w14:textId="77777777" w:rsidR="005C24CD" w:rsidRPr="005C24CD" w:rsidRDefault="005C24CD" w:rsidP="005C24CD">
      <w:pPr>
        <w:pStyle w:val="Alishlah31text"/>
      </w:pPr>
    </w:p>
    <w:p w14:paraId="2C0190BF" w14:textId="4EF7BB7B" w:rsidR="005C24CD" w:rsidRPr="005C24CD" w:rsidRDefault="005C24CD" w:rsidP="00443C4D">
      <w:pPr>
        <w:pStyle w:val="Alishlah31text"/>
      </w:pPr>
      <w:r w:rsidRPr="005C24CD">
        <w:t>The table from the normality test calculations indicates a normal distribution. This is demonstrated by the presence of a significance value or sig (2-tailed) &gt; 0.05. Thus, it may be argued that the data utilized is regularly distributed.</w:t>
      </w:r>
    </w:p>
    <w:p w14:paraId="531AB837" w14:textId="726556C2" w:rsidR="005C24CD" w:rsidRPr="00443C4D" w:rsidRDefault="00443C4D" w:rsidP="00443C4D">
      <w:pPr>
        <w:pStyle w:val="Alishlah22heading2"/>
      </w:pPr>
      <w:r w:rsidRPr="00443C4D">
        <w:t xml:space="preserve">3.2 </w:t>
      </w:r>
      <w:r w:rsidR="005C24CD" w:rsidRPr="00443C4D">
        <w:t>Homogeneity Test</w:t>
      </w:r>
    </w:p>
    <w:p w14:paraId="431A0519" w14:textId="77777777" w:rsidR="005C24CD" w:rsidRPr="005C24CD" w:rsidRDefault="005C24CD" w:rsidP="005C24CD">
      <w:pPr>
        <w:pStyle w:val="Alishlah31text"/>
      </w:pPr>
      <w:r w:rsidRPr="005C24CD">
        <w:t xml:space="preserve">The homogeneity test determines if the degree of variance in the data is constant or not. In this study, pretest and posttest data will be analyzed for homogeneity using the </w:t>
      </w:r>
      <w:proofErr w:type="spellStart"/>
      <w:r w:rsidRPr="005C24CD">
        <w:t>Levene</w:t>
      </w:r>
      <w:proofErr w:type="spellEnd"/>
      <w:r w:rsidRPr="005C24CD">
        <w:t xml:space="preserve"> SPSS 25.0 statistical technique. Data homogeneity decisions are based on the test results' significance level. If the significance value is more than 0.05, it may be stated that the differences between the samples in the research are homogenous. Table 5 shows the homogeneity test findings.</w:t>
      </w:r>
    </w:p>
    <w:p w14:paraId="5842783B" w14:textId="77777777" w:rsidR="005C24CD" w:rsidRPr="005C24CD" w:rsidRDefault="005C24CD" w:rsidP="005C24CD">
      <w:pPr>
        <w:pStyle w:val="Alishlah31text"/>
      </w:pPr>
      <w:r w:rsidRPr="005C24CD">
        <w:t>.</w:t>
      </w:r>
    </w:p>
    <w:p w14:paraId="090B5BB5" w14:textId="77777777" w:rsidR="005C24CD" w:rsidRPr="005C24CD" w:rsidRDefault="005C24CD" w:rsidP="00443C4D">
      <w:pPr>
        <w:pStyle w:val="Alishlah31text"/>
        <w:ind w:firstLine="0"/>
        <w:jc w:val="center"/>
        <w:rPr>
          <w:bCs/>
          <w:sz w:val="18"/>
          <w:szCs w:val="20"/>
        </w:rPr>
      </w:pPr>
      <w:proofErr w:type="gramStart"/>
      <w:r w:rsidRPr="005C24CD">
        <w:rPr>
          <w:b/>
          <w:sz w:val="18"/>
          <w:szCs w:val="20"/>
        </w:rPr>
        <w:t>Table 5.</w:t>
      </w:r>
      <w:proofErr w:type="gramEnd"/>
      <w:r w:rsidRPr="005C24CD">
        <w:rPr>
          <w:b/>
          <w:sz w:val="18"/>
          <w:szCs w:val="20"/>
        </w:rPr>
        <w:t xml:space="preserve"> </w:t>
      </w:r>
      <w:r w:rsidRPr="005C24CD">
        <w:rPr>
          <w:bCs/>
          <w:sz w:val="18"/>
          <w:szCs w:val="20"/>
        </w:rPr>
        <w:t>Homogeneity</w:t>
      </w:r>
      <w:r w:rsidRPr="005C24CD">
        <w:rPr>
          <w:b/>
          <w:sz w:val="18"/>
          <w:szCs w:val="20"/>
        </w:rPr>
        <w:t xml:space="preserve"> </w:t>
      </w:r>
      <w:r w:rsidRPr="005C24CD">
        <w:rPr>
          <w:bCs/>
          <w:sz w:val="18"/>
          <w:szCs w:val="20"/>
        </w:rPr>
        <w:t>Test</w:t>
      </w:r>
    </w:p>
    <w:tbl>
      <w:tblPr>
        <w:tblW w:w="8310" w:type="dxa"/>
        <w:jc w:val="center"/>
        <w:tblBorders>
          <w:top w:val="single" w:sz="4" w:space="0" w:color="auto"/>
          <w:bottom w:val="single" w:sz="4" w:space="0" w:color="auto"/>
        </w:tblBorders>
        <w:tblLayout w:type="fixed"/>
        <w:tblLook w:val="0400" w:firstRow="0" w:lastRow="0" w:firstColumn="0" w:lastColumn="0" w:noHBand="0" w:noVBand="1"/>
      </w:tblPr>
      <w:tblGrid>
        <w:gridCol w:w="2247"/>
        <w:gridCol w:w="2021"/>
        <w:gridCol w:w="2021"/>
        <w:gridCol w:w="2021"/>
      </w:tblGrid>
      <w:tr w:rsidR="005C24CD" w:rsidRPr="005C24CD" w14:paraId="2C767DCC" w14:textId="77777777" w:rsidTr="00443C4D">
        <w:trPr>
          <w:jc w:val="center"/>
        </w:trPr>
        <w:tc>
          <w:tcPr>
            <w:tcW w:w="2247" w:type="dxa"/>
            <w:tcBorders>
              <w:top w:val="single" w:sz="4" w:space="0" w:color="auto"/>
              <w:bottom w:val="single" w:sz="4" w:space="0" w:color="auto"/>
            </w:tcBorders>
          </w:tcPr>
          <w:p w14:paraId="13C9F44A" w14:textId="77777777" w:rsidR="005C24CD" w:rsidRPr="005C24CD" w:rsidRDefault="005C24CD" w:rsidP="005C24CD">
            <w:pPr>
              <w:pStyle w:val="Alishlah31text"/>
              <w:rPr>
                <w:b/>
              </w:rPr>
            </w:pPr>
            <w:proofErr w:type="spellStart"/>
            <w:r w:rsidRPr="005C24CD">
              <w:rPr>
                <w:b/>
              </w:rPr>
              <w:t>Levene</w:t>
            </w:r>
            <w:proofErr w:type="spellEnd"/>
            <w:r w:rsidRPr="005C24CD">
              <w:rPr>
                <w:b/>
              </w:rPr>
              <w:t xml:space="preserve"> Statistics</w:t>
            </w:r>
          </w:p>
        </w:tc>
        <w:tc>
          <w:tcPr>
            <w:tcW w:w="2021" w:type="dxa"/>
            <w:tcBorders>
              <w:top w:val="single" w:sz="4" w:space="0" w:color="auto"/>
              <w:bottom w:val="single" w:sz="4" w:space="0" w:color="auto"/>
            </w:tcBorders>
          </w:tcPr>
          <w:p w14:paraId="45AD83F0" w14:textId="77777777" w:rsidR="005C24CD" w:rsidRPr="005C24CD" w:rsidRDefault="005C24CD" w:rsidP="005C24CD">
            <w:pPr>
              <w:pStyle w:val="Alishlah31text"/>
              <w:rPr>
                <w:b/>
              </w:rPr>
            </w:pPr>
            <w:r w:rsidRPr="005C24CD">
              <w:rPr>
                <w:b/>
              </w:rPr>
              <w:t>Df1</w:t>
            </w:r>
          </w:p>
        </w:tc>
        <w:tc>
          <w:tcPr>
            <w:tcW w:w="2021" w:type="dxa"/>
            <w:tcBorders>
              <w:top w:val="single" w:sz="4" w:space="0" w:color="auto"/>
              <w:bottom w:val="single" w:sz="4" w:space="0" w:color="auto"/>
            </w:tcBorders>
          </w:tcPr>
          <w:p w14:paraId="2CAB6BD9" w14:textId="77777777" w:rsidR="005C24CD" w:rsidRPr="005C24CD" w:rsidRDefault="005C24CD" w:rsidP="005C24CD">
            <w:pPr>
              <w:pStyle w:val="Alishlah31text"/>
              <w:rPr>
                <w:b/>
              </w:rPr>
            </w:pPr>
            <w:r w:rsidRPr="005C24CD">
              <w:rPr>
                <w:b/>
              </w:rPr>
              <w:t>Df2</w:t>
            </w:r>
          </w:p>
        </w:tc>
        <w:tc>
          <w:tcPr>
            <w:tcW w:w="2021" w:type="dxa"/>
            <w:tcBorders>
              <w:top w:val="single" w:sz="4" w:space="0" w:color="auto"/>
              <w:bottom w:val="single" w:sz="4" w:space="0" w:color="auto"/>
            </w:tcBorders>
          </w:tcPr>
          <w:p w14:paraId="47553F9E" w14:textId="77777777" w:rsidR="005C24CD" w:rsidRPr="005C24CD" w:rsidRDefault="005C24CD" w:rsidP="005C24CD">
            <w:pPr>
              <w:pStyle w:val="Alishlah31text"/>
              <w:rPr>
                <w:b/>
              </w:rPr>
            </w:pPr>
            <w:r w:rsidRPr="005C24CD">
              <w:rPr>
                <w:b/>
              </w:rPr>
              <w:t>Sig</w:t>
            </w:r>
          </w:p>
        </w:tc>
      </w:tr>
      <w:tr w:rsidR="005C24CD" w:rsidRPr="005C24CD" w14:paraId="7FB9520E" w14:textId="77777777" w:rsidTr="00443C4D">
        <w:trPr>
          <w:jc w:val="center"/>
        </w:trPr>
        <w:tc>
          <w:tcPr>
            <w:tcW w:w="2247" w:type="dxa"/>
            <w:tcBorders>
              <w:top w:val="single" w:sz="4" w:space="0" w:color="auto"/>
            </w:tcBorders>
          </w:tcPr>
          <w:p w14:paraId="58C4B614" w14:textId="77777777" w:rsidR="005C24CD" w:rsidRPr="005C24CD" w:rsidRDefault="005C24CD" w:rsidP="005C24CD">
            <w:pPr>
              <w:pStyle w:val="Alishlah31text"/>
            </w:pPr>
            <w:r w:rsidRPr="005C24CD">
              <w:t>2,145</w:t>
            </w:r>
          </w:p>
        </w:tc>
        <w:tc>
          <w:tcPr>
            <w:tcW w:w="2021" w:type="dxa"/>
            <w:tcBorders>
              <w:top w:val="single" w:sz="4" w:space="0" w:color="auto"/>
            </w:tcBorders>
          </w:tcPr>
          <w:p w14:paraId="0D89F53C" w14:textId="77777777" w:rsidR="005C24CD" w:rsidRPr="005C24CD" w:rsidRDefault="005C24CD" w:rsidP="005C24CD">
            <w:pPr>
              <w:pStyle w:val="Alishlah31text"/>
            </w:pPr>
            <w:r w:rsidRPr="005C24CD">
              <w:t>4</w:t>
            </w:r>
          </w:p>
        </w:tc>
        <w:tc>
          <w:tcPr>
            <w:tcW w:w="2021" w:type="dxa"/>
            <w:tcBorders>
              <w:top w:val="single" w:sz="4" w:space="0" w:color="auto"/>
            </w:tcBorders>
          </w:tcPr>
          <w:p w14:paraId="0091BBB8" w14:textId="77777777" w:rsidR="005C24CD" w:rsidRPr="005C24CD" w:rsidRDefault="005C24CD" w:rsidP="005C24CD">
            <w:pPr>
              <w:pStyle w:val="Alishlah31text"/>
            </w:pPr>
            <w:r w:rsidRPr="005C24CD">
              <w:t>12</w:t>
            </w:r>
          </w:p>
        </w:tc>
        <w:tc>
          <w:tcPr>
            <w:tcW w:w="2021" w:type="dxa"/>
            <w:tcBorders>
              <w:top w:val="single" w:sz="4" w:space="0" w:color="auto"/>
            </w:tcBorders>
          </w:tcPr>
          <w:p w14:paraId="71DB28CE" w14:textId="77777777" w:rsidR="005C24CD" w:rsidRPr="005C24CD" w:rsidRDefault="005C24CD" w:rsidP="005C24CD">
            <w:pPr>
              <w:pStyle w:val="Alishlah31text"/>
            </w:pPr>
            <w:r w:rsidRPr="005C24CD">
              <w:t>,165</w:t>
            </w:r>
          </w:p>
        </w:tc>
      </w:tr>
    </w:tbl>
    <w:p w14:paraId="038DEC22" w14:textId="77777777" w:rsidR="005C24CD" w:rsidRPr="005C24CD" w:rsidRDefault="005C24CD" w:rsidP="005C24CD">
      <w:pPr>
        <w:pStyle w:val="Alishlah31text"/>
      </w:pPr>
    </w:p>
    <w:p w14:paraId="76A8905E" w14:textId="77777777" w:rsidR="005C24CD" w:rsidRPr="005C24CD" w:rsidRDefault="005C24CD" w:rsidP="005C24CD">
      <w:pPr>
        <w:pStyle w:val="Alishlah31text"/>
      </w:pPr>
      <w:r w:rsidRPr="005C24CD">
        <w:lastRenderedPageBreak/>
        <w:t>Table 5 reveals that the homogeneity test has a level of significance of 0.165, which is more than 0.05. So we may infer that the samples utilized in this research are homogenous.</w:t>
      </w:r>
    </w:p>
    <w:p w14:paraId="02F5DDDE" w14:textId="2965C428" w:rsidR="005C24CD" w:rsidRPr="005C24CD" w:rsidRDefault="00443C4D" w:rsidP="00443C4D">
      <w:pPr>
        <w:pStyle w:val="Alishlah22heading2"/>
      </w:pPr>
      <w:r>
        <w:t xml:space="preserve">3.3 </w:t>
      </w:r>
      <w:r w:rsidR="005C24CD" w:rsidRPr="005C24CD">
        <w:t>T test</w:t>
      </w:r>
    </w:p>
    <w:p w14:paraId="2D4D39DC" w14:textId="77777777" w:rsidR="005C24CD" w:rsidRDefault="005C24CD" w:rsidP="005C24CD">
      <w:pPr>
        <w:pStyle w:val="Alishlah31text"/>
      </w:pPr>
      <w:r w:rsidRPr="005C24CD">
        <w:t xml:space="preserve">Hypothesis testing was carried out to determine whether there were differences in students' character values ​​before and after applying the local wisdom values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pat. The data used will be analyzed using t-test calculations in the SPSS 25.0 </w:t>
      </w:r>
      <w:proofErr w:type="spellStart"/>
      <w:r w:rsidRPr="005C24CD">
        <w:t>program.The</w:t>
      </w:r>
      <w:proofErr w:type="spellEnd"/>
      <w:r w:rsidRPr="005C24CD">
        <w:t xml:space="preserve"> t test results can be seen in table 6.</w:t>
      </w:r>
    </w:p>
    <w:p w14:paraId="16022DC6" w14:textId="77777777" w:rsidR="00443C4D" w:rsidRPr="005C24CD" w:rsidRDefault="00443C4D" w:rsidP="005C24CD">
      <w:pPr>
        <w:pStyle w:val="Alishlah31text"/>
      </w:pPr>
    </w:p>
    <w:p w14:paraId="06B166D9" w14:textId="01EDBE58" w:rsidR="005C24CD" w:rsidRPr="005C24CD" w:rsidRDefault="005C24CD" w:rsidP="00443C4D">
      <w:pPr>
        <w:pStyle w:val="Alishlah31text"/>
        <w:ind w:firstLine="0"/>
        <w:jc w:val="center"/>
        <w:rPr>
          <w:sz w:val="18"/>
          <w:szCs w:val="20"/>
        </w:rPr>
      </w:pPr>
      <w:proofErr w:type="gramStart"/>
      <w:r w:rsidRPr="005C24CD">
        <w:rPr>
          <w:b/>
          <w:bCs/>
          <w:sz w:val="18"/>
          <w:szCs w:val="20"/>
        </w:rPr>
        <w:t>Table</w:t>
      </w:r>
      <w:r w:rsidR="00443C4D" w:rsidRPr="00443C4D">
        <w:rPr>
          <w:b/>
          <w:bCs/>
          <w:sz w:val="18"/>
          <w:szCs w:val="20"/>
        </w:rPr>
        <w:t xml:space="preserve"> </w:t>
      </w:r>
      <w:r w:rsidRPr="005C24CD">
        <w:rPr>
          <w:b/>
          <w:bCs/>
          <w:sz w:val="18"/>
          <w:szCs w:val="20"/>
        </w:rPr>
        <w:fldChar w:fldCharType="begin"/>
      </w:r>
      <w:r w:rsidRPr="005C24CD">
        <w:rPr>
          <w:b/>
          <w:bCs/>
          <w:sz w:val="18"/>
          <w:szCs w:val="20"/>
        </w:rPr>
        <w:instrText xml:space="preserve"> SEQ Tabel \* ARABIC </w:instrText>
      </w:r>
      <w:r w:rsidRPr="005C24CD">
        <w:rPr>
          <w:b/>
          <w:bCs/>
          <w:sz w:val="18"/>
          <w:szCs w:val="20"/>
        </w:rPr>
        <w:fldChar w:fldCharType="separate"/>
      </w:r>
      <w:r w:rsidRPr="005C24CD">
        <w:rPr>
          <w:b/>
          <w:bCs/>
          <w:sz w:val="18"/>
          <w:szCs w:val="20"/>
        </w:rPr>
        <w:t>6</w:t>
      </w:r>
      <w:r w:rsidRPr="005C24CD">
        <w:rPr>
          <w:b/>
          <w:bCs/>
          <w:sz w:val="18"/>
          <w:szCs w:val="20"/>
        </w:rPr>
        <w:fldChar w:fldCharType="end"/>
      </w:r>
      <w:r w:rsidRPr="005C24CD">
        <w:rPr>
          <w:b/>
          <w:bCs/>
          <w:sz w:val="18"/>
          <w:szCs w:val="20"/>
        </w:rPr>
        <w:t>.</w:t>
      </w:r>
      <w:proofErr w:type="gramEnd"/>
      <w:r w:rsidRPr="005C24CD">
        <w:rPr>
          <w:sz w:val="18"/>
          <w:szCs w:val="20"/>
        </w:rPr>
        <w:t xml:space="preserve"> Paired Sample T-Test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8"/>
        <w:gridCol w:w="966"/>
        <w:gridCol w:w="1127"/>
        <w:gridCol w:w="866"/>
        <w:gridCol w:w="1163"/>
        <w:gridCol w:w="1134"/>
        <w:gridCol w:w="899"/>
        <w:gridCol w:w="462"/>
        <w:gridCol w:w="805"/>
      </w:tblGrid>
      <w:tr w:rsidR="00443C4D" w:rsidRPr="005C24CD" w14:paraId="34D8E3BF" w14:textId="77777777" w:rsidTr="001B1FD8">
        <w:trPr>
          <w:jc w:val="center"/>
        </w:trPr>
        <w:tc>
          <w:tcPr>
            <w:tcW w:w="778" w:type="dxa"/>
            <w:vMerge w:val="restart"/>
            <w:tcBorders>
              <w:top w:val="single" w:sz="4" w:space="0" w:color="auto"/>
              <w:bottom w:val="single" w:sz="4" w:space="0" w:color="auto"/>
            </w:tcBorders>
          </w:tcPr>
          <w:p w14:paraId="5EC3469B" w14:textId="77777777" w:rsidR="005C24CD" w:rsidRPr="005C24CD" w:rsidRDefault="005C24CD" w:rsidP="005C24CD">
            <w:pPr>
              <w:pStyle w:val="Alishlah31text"/>
            </w:pPr>
          </w:p>
        </w:tc>
        <w:tc>
          <w:tcPr>
            <w:tcW w:w="966" w:type="dxa"/>
            <w:vMerge w:val="restart"/>
            <w:tcBorders>
              <w:top w:val="single" w:sz="4" w:space="0" w:color="auto"/>
            </w:tcBorders>
          </w:tcPr>
          <w:p w14:paraId="047895DC" w14:textId="77777777" w:rsidR="005C24CD" w:rsidRPr="005C24CD" w:rsidRDefault="005C24CD" w:rsidP="00443C4D">
            <w:pPr>
              <w:pStyle w:val="Alishlah31text"/>
              <w:ind w:firstLine="0"/>
              <w:jc w:val="center"/>
              <w:rPr>
                <w:b/>
                <w:bCs/>
              </w:rPr>
            </w:pPr>
            <w:r w:rsidRPr="005C24CD">
              <w:rPr>
                <w:b/>
                <w:bCs/>
              </w:rPr>
              <w:t>Mean</w:t>
            </w:r>
          </w:p>
        </w:tc>
        <w:tc>
          <w:tcPr>
            <w:tcW w:w="1127" w:type="dxa"/>
            <w:vMerge w:val="restart"/>
            <w:tcBorders>
              <w:top w:val="single" w:sz="4" w:space="0" w:color="auto"/>
            </w:tcBorders>
          </w:tcPr>
          <w:p w14:paraId="2119BB77" w14:textId="77777777" w:rsidR="005C24CD" w:rsidRPr="005C24CD" w:rsidRDefault="005C24CD" w:rsidP="00443C4D">
            <w:pPr>
              <w:pStyle w:val="Alishlah31text"/>
              <w:ind w:firstLine="0"/>
              <w:jc w:val="center"/>
              <w:rPr>
                <w:b/>
                <w:bCs/>
              </w:rPr>
            </w:pPr>
            <w:r w:rsidRPr="005C24CD">
              <w:rPr>
                <w:b/>
                <w:bCs/>
              </w:rPr>
              <w:t>Std. Deviation</w:t>
            </w:r>
          </w:p>
        </w:tc>
        <w:tc>
          <w:tcPr>
            <w:tcW w:w="866" w:type="dxa"/>
            <w:vMerge w:val="restart"/>
            <w:tcBorders>
              <w:top w:val="single" w:sz="4" w:space="0" w:color="auto"/>
            </w:tcBorders>
          </w:tcPr>
          <w:p w14:paraId="733993F4" w14:textId="77777777" w:rsidR="005C24CD" w:rsidRPr="005C24CD" w:rsidRDefault="005C24CD" w:rsidP="00443C4D">
            <w:pPr>
              <w:pStyle w:val="Alishlah31text"/>
              <w:ind w:firstLine="0"/>
              <w:jc w:val="center"/>
              <w:rPr>
                <w:b/>
                <w:bCs/>
              </w:rPr>
            </w:pPr>
            <w:r w:rsidRPr="005C24CD">
              <w:rPr>
                <w:b/>
                <w:bCs/>
              </w:rPr>
              <w:t>Std. Error Mean</w:t>
            </w:r>
          </w:p>
        </w:tc>
        <w:tc>
          <w:tcPr>
            <w:tcW w:w="2297" w:type="dxa"/>
            <w:gridSpan w:val="2"/>
            <w:tcBorders>
              <w:top w:val="single" w:sz="4" w:space="0" w:color="auto"/>
              <w:bottom w:val="single" w:sz="4" w:space="0" w:color="auto"/>
            </w:tcBorders>
          </w:tcPr>
          <w:p w14:paraId="02EDDBAD" w14:textId="77777777" w:rsidR="005C24CD" w:rsidRPr="005C24CD" w:rsidRDefault="005C24CD" w:rsidP="00443C4D">
            <w:pPr>
              <w:pStyle w:val="Alishlah31text"/>
              <w:ind w:firstLine="0"/>
              <w:jc w:val="center"/>
              <w:rPr>
                <w:b/>
                <w:bCs/>
              </w:rPr>
            </w:pPr>
            <w:r w:rsidRPr="005C24CD">
              <w:rPr>
                <w:b/>
                <w:bCs/>
              </w:rPr>
              <w:t>95% Confidence Interval of the Difference</w:t>
            </w:r>
          </w:p>
        </w:tc>
        <w:tc>
          <w:tcPr>
            <w:tcW w:w="899" w:type="dxa"/>
            <w:vMerge w:val="restart"/>
            <w:tcBorders>
              <w:top w:val="single" w:sz="4" w:space="0" w:color="auto"/>
            </w:tcBorders>
          </w:tcPr>
          <w:p w14:paraId="7A111BD7" w14:textId="77777777" w:rsidR="005C24CD" w:rsidRPr="005C24CD" w:rsidRDefault="005C24CD" w:rsidP="00443C4D">
            <w:pPr>
              <w:pStyle w:val="Alishlah31text"/>
              <w:ind w:firstLine="0"/>
              <w:jc w:val="center"/>
              <w:rPr>
                <w:b/>
                <w:bCs/>
              </w:rPr>
            </w:pPr>
            <w:r w:rsidRPr="005C24CD">
              <w:rPr>
                <w:b/>
                <w:bCs/>
              </w:rPr>
              <w:t>Q</w:t>
            </w:r>
          </w:p>
        </w:tc>
        <w:tc>
          <w:tcPr>
            <w:tcW w:w="462" w:type="dxa"/>
            <w:vMerge w:val="restart"/>
            <w:tcBorders>
              <w:top w:val="single" w:sz="4" w:space="0" w:color="auto"/>
            </w:tcBorders>
          </w:tcPr>
          <w:p w14:paraId="7D65F673" w14:textId="77777777" w:rsidR="005C24CD" w:rsidRPr="005C24CD" w:rsidRDefault="005C24CD" w:rsidP="00443C4D">
            <w:pPr>
              <w:pStyle w:val="Alishlah31text"/>
              <w:ind w:firstLine="0"/>
              <w:jc w:val="center"/>
              <w:rPr>
                <w:b/>
                <w:bCs/>
              </w:rPr>
            </w:pPr>
            <w:proofErr w:type="spellStart"/>
            <w:r w:rsidRPr="005C24CD">
              <w:rPr>
                <w:b/>
                <w:bCs/>
              </w:rPr>
              <w:t>df</w:t>
            </w:r>
            <w:proofErr w:type="spellEnd"/>
          </w:p>
        </w:tc>
        <w:tc>
          <w:tcPr>
            <w:tcW w:w="805" w:type="dxa"/>
            <w:vMerge w:val="restart"/>
            <w:tcBorders>
              <w:top w:val="single" w:sz="4" w:space="0" w:color="auto"/>
            </w:tcBorders>
          </w:tcPr>
          <w:p w14:paraId="4BAC878C" w14:textId="77777777" w:rsidR="005C24CD" w:rsidRPr="005C24CD" w:rsidRDefault="005C24CD" w:rsidP="00443C4D">
            <w:pPr>
              <w:pStyle w:val="Alishlah31text"/>
              <w:ind w:firstLine="0"/>
              <w:jc w:val="center"/>
              <w:rPr>
                <w:b/>
                <w:bCs/>
              </w:rPr>
            </w:pPr>
            <w:r w:rsidRPr="005C24CD">
              <w:rPr>
                <w:b/>
                <w:bCs/>
              </w:rPr>
              <w:t>Sig. (2-tailed)</w:t>
            </w:r>
          </w:p>
        </w:tc>
      </w:tr>
      <w:tr w:rsidR="00443C4D" w:rsidRPr="005C24CD" w14:paraId="3D202740" w14:textId="77777777" w:rsidTr="001B1FD8">
        <w:trPr>
          <w:jc w:val="center"/>
        </w:trPr>
        <w:tc>
          <w:tcPr>
            <w:tcW w:w="778" w:type="dxa"/>
            <w:vMerge/>
            <w:tcBorders>
              <w:top w:val="nil"/>
              <w:bottom w:val="single" w:sz="4" w:space="0" w:color="auto"/>
            </w:tcBorders>
          </w:tcPr>
          <w:p w14:paraId="7FA5E0B6" w14:textId="77777777" w:rsidR="005C24CD" w:rsidRPr="005C24CD" w:rsidRDefault="005C24CD" w:rsidP="005C24CD">
            <w:pPr>
              <w:pStyle w:val="Alishlah31text"/>
            </w:pPr>
          </w:p>
        </w:tc>
        <w:tc>
          <w:tcPr>
            <w:tcW w:w="966" w:type="dxa"/>
            <w:vMerge/>
            <w:tcBorders>
              <w:bottom w:val="single" w:sz="4" w:space="0" w:color="auto"/>
            </w:tcBorders>
          </w:tcPr>
          <w:p w14:paraId="19AAAD84" w14:textId="77777777" w:rsidR="005C24CD" w:rsidRPr="005C24CD" w:rsidRDefault="005C24CD" w:rsidP="005C24CD">
            <w:pPr>
              <w:pStyle w:val="Alishlah31text"/>
            </w:pPr>
          </w:p>
        </w:tc>
        <w:tc>
          <w:tcPr>
            <w:tcW w:w="1127" w:type="dxa"/>
            <w:vMerge/>
            <w:tcBorders>
              <w:bottom w:val="single" w:sz="4" w:space="0" w:color="auto"/>
            </w:tcBorders>
          </w:tcPr>
          <w:p w14:paraId="43CF5D1F" w14:textId="77777777" w:rsidR="005C24CD" w:rsidRPr="005C24CD" w:rsidRDefault="005C24CD" w:rsidP="005C24CD">
            <w:pPr>
              <w:pStyle w:val="Alishlah31text"/>
            </w:pPr>
          </w:p>
        </w:tc>
        <w:tc>
          <w:tcPr>
            <w:tcW w:w="866" w:type="dxa"/>
            <w:vMerge/>
            <w:tcBorders>
              <w:bottom w:val="single" w:sz="4" w:space="0" w:color="auto"/>
            </w:tcBorders>
          </w:tcPr>
          <w:p w14:paraId="053442A3" w14:textId="77777777" w:rsidR="005C24CD" w:rsidRPr="005C24CD" w:rsidRDefault="005C24CD" w:rsidP="005C24CD">
            <w:pPr>
              <w:pStyle w:val="Alishlah31text"/>
            </w:pPr>
          </w:p>
        </w:tc>
        <w:tc>
          <w:tcPr>
            <w:tcW w:w="1163" w:type="dxa"/>
            <w:tcBorders>
              <w:top w:val="single" w:sz="4" w:space="0" w:color="auto"/>
              <w:bottom w:val="single" w:sz="4" w:space="0" w:color="auto"/>
            </w:tcBorders>
          </w:tcPr>
          <w:p w14:paraId="40ED088F" w14:textId="77777777" w:rsidR="005C24CD" w:rsidRPr="005C24CD" w:rsidRDefault="005C24CD" w:rsidP="00443C4D">
            <w:pPr>
              <w:pStyle w:val="Alishlah31text"/>
              <w:ind w:firstLine="0"/>
              <w:jc w:val="center"/>
              <w:rPr>
                <w:b/>
                <w:bCs/>
              </w:rPr>
            </w:pPr>
            <w:r w:rsidRPr="005C24CD">
              <w:rPr>
                <w:b/>
                <w:bCs/>
              </w:rPr>
              <w:t>Lower</w:t>
            </w:r>
          </w:p>
        </w:tc>
        <w:tc>
          <w:tcPr>
            <w:tcW w:w="1134" w:type="dxa"/>
            <w:tcBorders>
              <w:top w:val="single" w:sz="4" w:space="0" w:color="auto"/>
              <w:bottom w:val="single" w:sz="4" w:space="0" w:color="auto"/>
            </w:tcBorders>
          </w:tcPr>
          <w:p w14:paraId="606E2945" w14:textId="77777777" w:rsidR="005C24CD" w:rsidRPr="005C24CD" w:rsidRDefault="005C24CD" w:rsidP="00443C4D">
            <w:pPr>
              <w:pStyle w:val="Alishlah31text"/>
              <w:ind w:firstLine="0"/>
              <w:jc w:val="center"/>
              <w:rPr>
                <w:b/>
                <w:bCs/>
              </w:rPr>
            </w:pPr>
            <w:r w:rsidRPr="005C24CD">
              <w:rPr>
                <w:b/>
                <w:bCs/>
              </w:rPr>
              <w:t>Upper</w:t>
            </w:r>
          </w:p>
        </w:tc>
        <w:tc>
          <w:tcPr>
            <w:tcW w:w="899" w:type="dxa"/>
            <w:vMerge/>
            <w:tcBorders>
              <w:bottom w:val="single" w:sz="4" w:space="0" w:color="auto"/>
            </w:tcBorders>
          </w:tcPr>
          <w:p w14:paraId="7D32154D" w14:textId="77777777" w:rsidR="005C24CD" w:rsidRPr="005C24CD" w:rsidRDefault="005C24CD" w:rsidP="005C24CD">
            <w:pPr>
              <w:pStyle w:val="Alishlah31text"/>
            </w:pPr>
          </w:p>
        </w:tc>
        <w:tc>
          <w:tcPr>
            <w:tcW w:w="462" w:type="dxa"/>
            <w:vMerge/>
            <w:tcBorders>
              <w:bottom w:val="single" w:sz="4" w:space="0" w:color="auto"/>
            </w:tcBorders>
          </w:tcPr>
          <w:p w14:paraId="056837FE" w14:textId="77777777" w:rsidR="005C24CD" w:rsidRPr="005C24CD" w:rsidRDefault="005C24CD" w:rsidP="005C24CD">
            <w:pPr>
              <w:pStyle w:val="Alishlah31text"/>
            </w:pPr>
          </w:p>
        </w:tc>
        <w:tc>
          <w:tcPr>
            <w:tcW w:w="805" w:type="dxa"/>
            <w:vMerge/>
            <w:tcBorders>
              <w:bottom w:val="single" w:sz="4" w:space="0" w:color="auto"/>
            </w:tcBorders>
          </w:tcPr>
          <w:p w14:paraId="0A38B90F" w14:textId="77777777" w:rsidR="005C24CD" w:rsidRPr="005C24CD" w:rsidRDefault="005C24CD" w:rsidP="005C24CD">
            <w:pPr>
              <w:pStyle w:val="Alishlah31text"/>
            </w:pPr>
          </w:p>
        </w:tc>
      </w:tr>
      <w:tr w:rsidR="00443C4D" w:rsidRPr="005C24CD" w14:paraId="466BEE6C" w14:textId="77777777" w:rsidTr="001B1FD8">
        <w:trPr>
          <w:jc w:val="center"/>
        </w:trPr>
        <w:tc>
          <w:tcPr>
            <w:tcW w:w="778" w:type="dxa"/>
            <w:tcBorders>
              <w:top w:val="single" w:sz="4" w:space="0" w:color="auto"/>
            </w:tcBorders>
          </w:tcPr>
          <w:p w14:paraId="158EA1F0" w14:textId="77777777" w:rsidR="005C24CD" w:rsidRPr="005C24CD" w:rsidRDefault="005C24CD" w:rsidP="00443C4D">
            <w:pPr>
              <w:pStyle w:val="Alishlah31text"/>
              <w:ind w:firstLine="0"/>
            </w:pPr>
            <w:r w:rsidRPr="005C24CD">
              <w:t>Pair 1</w:t>
            </w:r>
          </w:p>
          <w:p w14:paraId="1BE725F1" w14:textId="77777777" w:rsidR="005C24CD" w:rsidRPr="005C24CD" w:rsidRDefault="005C24CD" w:rsidP="00443C4D">
            <w:pPr>
              <w:pStyle w:val="Alishlah31text"/>
              <w:ind w:firstLine="0"/>
            </w:pPr>
            <w:r w:rsidRPr="005C24CD">
              <w:t>Pre-Test</w:t>
            </w:r>
          </w:p>
          <w:p w14:paraId="0DA75968" w14:textId="77777777" w:rsidR="005C24CD" w:rsidRPr="005C24CD" w:rsidRDefault="005C24CD" w:rsidP="00443C4D">
            <w:pPr>
              <w:pStyle w:val="Alishlah31text"/>
              <w:ind w:firstLine="0"/>
            </w:pPr>
            <w:r w:rsidRPr="005C24CD">
              <w:t>Post-Test</w:t>
            </w:r>
          </w:p>
        </w:tc>
        <w:tc>
          <w:tcPr>
            <w:tcW w:w="966" w:type="dxa"/>
            <w:tcBorders>
              <w:top w:val="single" w:sz="4" w:space="0" w:color="auto"/>
            </w:tcBorders>
          </w:tcPr>
          <w:p w14:paraId="681DAFDD" w14:textId="77777777" w:rsidR="005C24CD" w:rsidRPr="005C24CD" w:rsidRDefault="005C24CD" w:rsidP="00443C4D">
            <w:pPr>
              <w:pStyle w:val="Alishlah31text"/>
              <w:ind w:firstLine="0"/>
            </w:pPr>
            <w:r w:rsidRPr="005C24CD">
              <w:t>17.30704</w:t>
            </w:r>
          </w:p>
        </w:tc>
        <w:tc>
          <w:tcPr>
            <w:tcW w:w="1127" w:type="dxa"/>
            <w:tcBorders>
              <w:top w:val="single" w:sz="4" w:space="0" w:color="auto"/>
            </w:tcBorders>
          </w:tcPr>
          <w:p w14:paraId="55F09D41" w14:textId="77777777" w:rsidR="005C24CD" w:rsidRPr="005C24CD" w:rsidRDefault="005C24CD" w:rsidP="00443C4D">
            <w:pPr>
              <w:pStyle w:val="Alishlah31text"/>
              <w:ind w:firstLine="0"/>
            </w:pPr>
            <w:r w:rsidRPr="005C24CD">
              <w:t>8.68899</w:t>
            </w:r>
          </w:p>
        </w:tc>
        <w:tc>
          <w:tcPr>
            <w:tcW w:w="866" w:type="dxa"/>
            <w:tcBorders>
              <w:top w:val="single" w:sz="4" w:space="0" w:color="auto"/>
            </w:tcBorders>
          </w:tcPr>
          <w:p w14:paraId="0ACDBD01" w14:textId="77777777" w:rsidR="005C24CD" w:rsidRPr="005C24CD" w:rsidRDefault="005C24CD" w:rsidP="00443C4D">
            <w:pPr>
              <w:pStyle w:val="Alishlah31text"/>
              <w:ind w:firstLine="0"/>
            </w:pPr>
            <w:r w:rsidRPr="005C24CD">
              <w:t>1.76220</w:t>
            </w:r>
          </w:p>
        </w:tc>
        <w:tc>
          <w:tcPr>
            <w:tcW w:w="1163" w:type="dxa"/>
            <w:tcBorders>
              <w:top w:val="single" w:sz="4" w:space="0" w:color="auto"/>
            </w:tcBorders>
          </w:tcPr>
          <w:p w14:paraId="11D8828B" w14:textId="77777777" w:rsidR="005C24CD" w:rsidRPr="005C24CD" w:rsidRDefault="005C24CD" w:rsidP="00443C4D">
            <w:pPr>
              <w:pStyle w:val="Alishlah31text"/>
              <w:ind w:firstLine="0"/>
            </w:pPr>
            <w:r w:rsidRPr="005C24CD">
              <w:t>-20.74429</w:t>
            </w:r>
          </w:p>
        </w:tc>
        <w:tc>
          <w:tcPr>
            <w:tcW w:w="1134" w:type="dxa"/>
            <w:tcBorders>
              <w:top w:val="single" w:sz="4" w:space="0" w:color="auto"/>
            </w:tcBorders>
          </w:tcPr>
          <w:p w14:paraId="3A14C44C" w14:textId="77777777" w:rsidR="005C24CD" w:rsidRPr="005C24CD" w:rsidRDefault="005C24CD" w:rsidP="00443C4D">
            <w:pPr>
              <w:pStyle w:val="Alishlah31text"/>
              <w:ind w:firstLine="0"/>
            </w:pPr>
            <w:r w:rsidRPr="005C24CD">
              <w:t>-13.95979</w:t>
            </w:r>
          </w:p>
        </w:tc>
        <w:tc>
          <w:tcPr>
            <w:tcW w:w="899" w:type="dxa"/>
            <w:tcBorders>
              <w:top w:val="single" w:sz="4" w:space="0" w:color="auto"/>
            </w:tcBorders>
          </w:tcPr>
          <w:p w14:paraId="49BB5B1F" w14:textId="77777777" w:rsidR="005C24CD" w:rsidRPr="005C24CD" w:rsidRDefault="005C24CD" w:rsidP="00443C4D">
            <w:pPr>
              <w:pStyle w:val="Alishlah31text"/>
              <w:ind w:firstLine="0"/>
            </w:pPr>
            <w:r w:rsidRPr="005C24CD">
              <w:t>-10,188</w:t>
            </w:r>
          </w:p>
        </w:tc>
        <w:tc>
          <w:tcPr>
            <w:tcW w:w="462" w:type="dxa"/>
            <w:tcBorders>
              <w:top w:val="single" w:sz="4" w:space="0" w:color="auto"/>
            </w:tcBorders>
          </w:tcPr>
          <w:p w14:paraId="33A380FD" w14:textId="77777777" w:rsidR="005C24CD" w:rsidRPr="005C24CD" w:rsidRDefault="005C24CD" w:rsidP="00443C4D">
            <w:pPr>
              <w:pStyle w:val="Alishlah31text"/>
              <w:ind w:firstLine="0"/>
            </w:pPr>
            <w:r w:rsidRPr="005C24CD">
              <w:t>30</w:t>
            </w:r>
          </w:p>
        </w:tc>
        <w:tc>
          <w:tcPr>
            <w:tcW w:w="805" w:type="dxa"/>
            <w:tcBorders>
              <w:top w:val="single" w:sz="4" w:space="0" w:color="auto"/>
            </w:tcBorders>
          </w:tcPr>
          <w:p w14:paraId="229843C0" w14:textId="77777777" w:rsidR="005C24CD" w:rsidRPr="005C24CD" w:rsidRDefault="005C24CD" w:rsidP="00443C4D">
            <w:pPr>
              <w:pStyle w:val="Alishlah31text"/>
              <w:ind w:firstLine="0"/>
            </w:pPr>
            <w:r w:rsidRPr="005C24CD">
              <w:t>0,000</w:t>
            </w:r>
          </w:p>
        </w:tc>
      </w:tr>
    </w:tbl>
    <w:p w14:paraId="35A67EA0" w14:textId="77777777" w:rsidR="005C24CD" w:rsidRPr="005C24CD" w:rsidRDefault="005C24CD" w:rsidP="005C24CD">
      <w:pPr>
        <w:pStyle w:val="Alishlah31text"/>
      </w:pPr>
    </w:p>
    <w:p w14:paraId="4F548E59" w14:textId="77777777" w:rsidR="005C24CD" w:rsidRDefault="005C24CD" w:rsidP="005C24CD">
      <w:pPr>
        <w:pStyle w:val="Alishlah31text"/>
      </w:pPr>
      <w:r w:rsidRPr="005C24CD">
        <w:t xml:space="preserve">According to the hypothesis testing criterion, if the data has a sig value &gt; 0.05, then Ho is accepted and Ha is rejected. If data has a sig value &lt; significance threshold, Ho is rejected (sig &lt; 0.05) and Ha accepted. The SPSS 25.0 calculation results in table 6 show a sig (2-tailed) value of &lt; 0.05 or 0.000 &lt; 0.05, indicating that the hypothesis Ho is rejected and Ha is accepted. The findings of the t-test analysis demonstrate that there is a significant difference in the students' character scores before and after the application of the local wisdom values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w:t>
      </w:r>
    </w:p>
    <w:p w14:paraId="79E5DE72" w14:textId="7189562E" w:rsidR="005C24CD" w:rsidRPr="005C24CD" w:rsidRDefault="00443C4D" w:rsidP="00443C4D">
      <w:pPr>
        <w:pStyle w:val="Alishlah22heading2"/>
      </w:pPr>
      <w:r>
        <w:t xml:space="preserve">3.4 </w:t>
      </w:r>
      <w:r w:rsidR="005C24CD" w:rsidRPr="005C24CD">
        <w:t>N-Gain Test</w:t>
      </w:r>
    </w:p>
    <w:p w14:paraId="0293ADC2" w14:textId="77777777" w:rsidR="005C24CD" w:rsidRDefault="005C24CD" w:rsidP="005C24CD">
      <w:pPr>
        <w:pStyle w:val="Alishlah31text"/>
      </w:pPr>
      <w:r w:rsidRPr="005C24CD">
        <w:t>The N-gain test is designed to determine the percentage increase in a student's character score. The N-Gain test results are presented as follows.</w:t>
      </w:r>
    </w:p>
    <w:p w14:paraId="3FAB8793" w14:textId="77777777" w:rsidR="0084178E" w:rsidRPr="005C24CD" w:rsidRDefault="0084178E" w:rsidP="005C24CD">
      <w:pPr>
        <w:pStyle w:val="Alishlah31text"/>
      </w:pPr>
    </w:p>
    <w:p w14:paraId="767DA624" w14:textId="25B4BB27" w:rsidR="005C24CD" w:rsidRPr="0084178E" w:rsidRDefault="005C24CD" w:rsidP="00C11D39">
      <w:pPr>
        <w:pStyle w:val="Alishlah31text"/>
        <w:ind w:firstLine="0"/>
        <w:jc w:val="center"/>
        <w:rPr>
          <w:sz w:val="18"/>
          <w:szCs w:val="20"/>
        </w:rPr>
      </w:pPr>
      <w:proofErr w:type="gramStart"/>
      <w:r w:rsidRPr="0084178E">
        <w:rPr>
          <w:b/>
          <w:bCs/>
          <w:sz w:val="18"/>
          <w:szCs w:val="20"/>
        </w:rPr>
        <w:t xml:space="preserve">Table </w:t>
      </w:r>
      <w:r w:rsidR="00C11D39" w:rsidRPr="0084178E">
        <w:rPr>
          <w:b/>
          <w:bCs/>
          <w:sz w:val="18"/>
          <w:szCs w:val="20"/>
        </w:rPr>
        <w:t>7</w:t>
      </w:r>
      <w:r w:rsidRPr="0084178E">
        <w:rPr>
          <w:sz w:val="18"/>
          <w:szCs w:val="20"/>
        </w:rPr>
        <w:t>.</w:t>
      </w:r>
      <w:proofErr w:type="gramEnd"/>
      <w:r w:rsidRPr="0084178E">
        <w:rPr>
          <w:sz w:val="18"/>
          <w:szCs w:val="20"/>
        </w:rPr>
        <w:t xml:space="preserve"> N-Gain Test Results</w:t>
      </w:r>
    </w:p>
    <w:tbl>
      <w:tblPr>
        <w:tblW w:w="8379" w:type="dxa"/>
        <w:jc w:val="center"/>
        <w:tblBorders>
          <w:top w:val="single" w:sz="4" w:space="0" w:color="auto"/>
          <w:bottom w:val="single" w:sz="4" w:space="0" w:color="auto"/>
        </w:tblBorders>
        <w:tblLayout w:type="fixed"/>
        <w:tblLook w:val="0400" w:firstRow="0" w:lastRow="0" w:firstColumn="0" w:lastColumn="0" w:noHBand="0" w:noVBand="1"/>
      </w:tblPr>
      <w:tblGrid>
        <w:gridCol w:w="577"/>
        <w:gridCol w:w="4862"/>
        <w:gridCol w:w="1470"/>
        <w:gridCol w:w="1470"/>
      </w:tblGrid>
      <w:tr w:rsidR="005C24CD" w:rsidRPr="005C24CD" w14:paraId="6C64E270" w14:textId="77777777" w:rsidTr="00C11D39">
        <w:trPr>
          <w:jc w:val="center"/>
        </w:trPr>
        <w:tc>
          <w:tcPr>
            <w:tcW w:w="577" w:type="dxa"/>
            <w:tcBorders>
              <w:top w:val="single" w:sz="4" w:space="0" w:color="auto"/>
              <w:bottom w:val="single" w:sz="4" w:space="0" w:color="auto"/>
            </w:tcBorders>
          </w:tcPr>
          <w:p w14:paraId="4D5BBBE6" w14:textId="77777777" w:rsidR="005C24CD" w:rsidRPr="005C24CD" w:rsidRDefault="005C24CD" w:rsidP="00443C4D">
            <w:pPr>
              <w:pStyle w:val="Alishlah31text"/>
              <w:ind w:firstLine="0"/>
              <w:jc w:val="center"/>
              <w:rPr>
                <w:b/>
              </w:rPr>
            </w:pPr>
            <w:r w:rsidRPr="005C24CD">
              <w:rPr>
                <w:b/>
              </w:rPr>
              <w:t>No.</w:t>
            </w:r>
          </w:p>
        </w:tc>
        <w:tc>
          <w:tcPr>
            <w:tcW w:w="4862" w:type="dxa"/>
            <w:tcBorders>
              <w:top w:val="single" w:sz="4" w:space="0" w:color="auto"/>
              <w:bottom w:val="single" w:sz="4" w:space="0" w:color="auto"/>
            </w:tcBorders>
          </w:tcPr>
          <w:p w14:paraId="53444B08" w14:textId="77777777" w:rsidR="005C24CD" w:rsidRPr="005C24CD" w:rsidRDefault="005C24CD" w:rsidP="005C24CD">
            <w:pPr>
              <w:pStyle w:val="Alishlah31text"/>
              <w:rPr>
                <w:b/>
              </w:rPr>
            </w:pPr>
            <w:r w:rsidRPr="005C24CD">
              <w:rPr>
                <w:b/>
              </w:rPr>
              <w:t>Indicator</w:t>
            </w:r>
          </w:p>
        </w:tc>
        <w:tc>
          <w:tcPr>
            <w:tcW w:w="1470" w:type="dxa"/>
            <w:tcBorders>
              <w:top w:val="single" w:sz="4" w:space="0" w:color="auto"/>
              <w:bottom w:val="single" w:sz="4" w:space="0" w:color="auto"/>
            </w:tcBorders>
          </w:tcPr>
          <w:p w14:paraId="7DFF61FF" w14:textId="77777777" w:rsidR="005C24CD" w:rsidRPr="005C24CD" w:rsidRDefault="005C24CD" w:rsidP="00443C4D">
            <w:pPr>
              <w:pStyle w:val="Alishlah31text"/>
              <w:ind w:firstLine="0"/>
              <w:rPr>
                <w:b/>
              </w:rPr>
            </w:pPr>
            <w:r w:rsidRPr="005C24CD">
              <w:rPr>
                <w:b/>
              </w:rPr>
              <w:t>N-Gain Score</w:t>
            </w:r>
          </w:p>
        </w:tc>
        <w:tc>
          <w:tcPr>
            <w:tcW w:w="1470" w:type="dxa"/>
            <w:tcBorders>
              <w:top w:val="single" w:sz="4" w:space="0" w:color="auto"/>
              <w:bottom w:val="single" w:sz="4" w:space="0" w:color="auto"/>
            </w:tcBorders>
          </w:tcPr>
          <w:p w14:paraId="495F69A6" w14:textId="77777777" w:rsidR="005C24CD" w:rsidRPr="005C24CD" w:rsidRDefault="005C24CD" w:rsidP="00443C4D">
            <w:pPr>
              <w:pStyle w:val="Alishlah31text"/>
              <w:ind w:firstLine="0"/>
              <w:rPr>
                <w:b/>
              </w:rPr>
            </w:pPr>
            <w:r w:rsidRPr="005C24CD">
              <w:rPr>
                <w:b/>
              </w:rPr>
              <w:t>Categories</w:t>
            </w:r>
          </w:p>
        </w:tc>
      </w:tr>
      <w:tr w:rsidR="005C24CD" w:rsidRPr="005C24CD" w14:paraId="41364097" w14:textId="77777777" w:rsidTr="00C11D39">
        <w:trPr>
          <w:jc w:val="center"/>
        </w:trPr>
        <w:tc>
          <w:tcPr>
            <w:tcW w:w="577" w:type="dxa"/>
            <w:tcBorders>
              <w:top w:val="single" w:sz="4" w:space="0" w:color="auto"/>
            </w:tcBorders>
          </w:tcPr>
          <w:p w14:paraId="754FDA6C" w14:textId="11F07F3C" w:rsidR="005C24CD" w:rsidRPr="005C24CD" w:rsidRDefault="005C24CD" w:rsidP="00443C4D">
            <w:pPr>
              <w:pStyle w:val="Alishlah31text"/>
              <w:ind w:firstLine="0"/>
              <w:jc w:val="center"/>
            </w:pPr>
            <w:r w:rsidRPr="005C24CD">
              <w:t>1</w:t>
            </w:r>
          </w:p>
        </w:tc>
        <w:tc>
          <w:tcPr>
            <w:tcW w:w="4862" w:type="dxa"/>
            <w:tcBorders>
              <w:top w:val="single" w:sz="4" w:space="0" w:color="auto"/>
            </w:tcBorders>
          </w:tcPr>
          <w:p w14:paraId="137B4544" w14:textId="77777777" w:rsidR="005C24CD" w:rsidRPr="005C24CD" w:rsidRDefault="005C24CD" w:rsidP="00443C4D">
            <w:pPr>
              <w:pStyle w:val="Alishlah31text"/>
              <w:ind w:firstLine="0"/>
            </w:pPr>
            <w:r w:rsidRPr="005C24CD">
              <w:t xml:space="preserve">Knowledge of local wisdom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w:t>
            </w:r>
          </w:p>
        </w:tc>
        <w:tc>
          <w:tcPr>
            <w:tcW w:w="1470" w:type="dxa"/>
            <w:tcBorders>
              <w:top w:val="single" w:sz="4" w:space="0" w:color="auto"/>
            </w:tcBorders>
          </w:tcPr>
          <w:p w14:paraId="7B1D080F" w14:textId="77777777" w:rsidR="005C24CD" w:rsidRPr="005C24CD" w:rsidRDefault="005C24CD" w:rsidP="005C24CD">
            <w:pPr>
              <w:pStyle w:val="Alishlah31text"/>
            </w:pPr>
            <w:r w:rsidRPr="005C24CD">
              <w:t>0.73</w:t>
            </w:r>
          </w:p>
        </w:tc>
        <w:tc>
          <w:tcPr>
            <w:tcW w:w="1470" w:type="dxa"/>
            <w:tcBorders>
              <w:top w:val="single" w:sz="4" w:space="0" w:color="auto"/>
            </w:tcBorders>
          </w:tcPr>
          <w:p w14:paraId="23CB16CB" w14:textId="77777777" w:rsidR="005C24CD" w:rsidRPr="005C24CD" w:rsidRDefault="005C24CD" w:rsidP="005C24CD">
            <w:pPr>
              <w:pStyle w:val="Alishlah31text"/>
            </w:pPr>
            <w:r w:rsidRPr="005C24CD">
              <w:t>High</w:t>
            </w:r>
          </w:p>
        </w:tc>
      </w:tr>
      <w:tr w:rsidR="005C24CD" w:rsidRPr="005C24CD" w14:paraId="4C343A9D" w14:textId="77777777" w:rsidTr="00C11D39">
        <w:trPr>
          <w:jc w:val="center"/>
        </w:trPr>
        <w:tc>
          <w:tcPr>
            <w:tcW w:w="577" w:type="dxa"/>
          </w:tcPr>
          <w:p w14:paraId="5958A856" w14:textId="524DD8B1" w:rsidR="005C24CD" w:rsidRPr="005C24CD" w:rsidRDefault="005C24CD" w:rsidP="00443C4D">
            <w:pPr>
              <w:pStyle w:val="Alishlah31text"/>
              <w:ind w:firstLine="0"/>
              <w:jc w:val="center"/>
            </w:pPr>
            <w:r w:rsidRPr="005C24CD">
              <w:t>2</w:t>
            </w:r>
          </w:p>
        </w:tc>
        <w:tc>
          <w:tcPr>
            <w:tcW w:w="4862" w:type="dxa"/>
          </w:tcPr>
          <w:p w14:paraId="393ED005" w14:textId="77777777" w:rsidR="005C24CD" w:rsidRPr="005C24CD" w:rsidRDefault="005C24CD" w:rsidP="00443C4D">
            <w:pPr>
              <w:pStyle w:val="Alishlah31text"/>
              <w:ind w:firstLine="0"/>
            </w:pPr>
            <w:r w:rsidRPr="005C24CD">
              <w:t xml:space="preserve">Application of local wisdom values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in everyday life</w:t>
            </w:r>
          </w:p>
        </w:tc>
        <w:tc>
          <w:tcPr>
            <w:tcW w:w="1470" w:type="dxa"/>
          </w:tcPr>
          <w:p w14:paraId="39BF356B" w14:textId="77777777" w:rsidR="005C24CD" w:rsidRPr="005C24CD" w:rsidRDefault="005C24CD" w:rsidP="005C24CD">
            <w:pPr>
              <w:pStyle w:val="Alishlah31text"/>
            </w:pPr>
            <w:r w:rsidRPr="005C24CD">
              <w:t>0.69</w:t>
            </w:r>
          </w:p>
        </w:tc>
        <w:tc>
          <w:tcPr>
            <w:tcW w:w="1470" w:type="dxa"/>
          </w:tcPr>
          <w:p w14:paraId="77712F65" w14:textId="77777777" w:rsidR="005C24CD" w:rsidRPr="005C24CD" w:rsidRDefault="005C24CD" w:rsidP="005C24CD">
            <w:pPr>
              <w:pStyle w:val="Alishlah31text"/>
            </w:pPr>
            <w:r w:rsidRPr="005C24CD">
              <w:t>Medium</w:t>
            </w:r>
          </w:p>
        </w:tc>
      </w:tr>
      <w:tr w:rsidR="005C24CD" w:rsidRPr="005C24CD" w14:paraId="66582BDA" w14:textId="77777777" w:rsidTr="00C11D39">
        <w:trPr>
          <w:jc w:val="center"/>
        </w:trPr>
        <w:tc>
          <w:tcPr>
            <w:tcW w:w="577" w:type="dxa"/>
            <w:tcBorders>
              <w:bottom w:val="single" w:sz="4" w:space="0" w:color="auto"/>
            </w:tcBorders>
          </w:tcPr>
          <w:p w14:paraId="0AB97BDF" w14:textId="0F7EEB79" w:rsidR="005C24CD" w:rsidRPr="005C24CD" w:rsidRDefault="005C24CD" w:rsidP="00443C4D">
            <w:pPr>
              <w:pStyle w:val="Alishlah31text"/>
              <w:ind w:firstLine="0"/>
              <w:jc w:val="center"/>
            </w:pPr>
            <w:r w:rsidRPr="005C24CD">
              <w:t>3</w:t>
            </w:r>
          </w:p>
        </w:tc>
        <w:tc>
          <w:tcPr>
            <w:tcW w:w="4862" w:type="dxa"/>
            <w:tcBorders>
              <w:bottom w:val="single" w:sz="4" w:space="0" w:color="auto"/>
            </w:tcBorders>
          </w:tcPr>
          <w:p w14:paraId="08D1BD88" w14:textId="77777777" w:rsidR="005C24CD" w:rsidRPr="005C24CD" w:rsidRDefault="005C24CD" w:rsidP="00443C4D">
            <w:pPr>
              <w:pStyle w:val="Alishlah31text"/>
              <w:ind w:firstLine="0"/>
            </w:pPr>
            <w:r w:rsidRPr="005C24CD">
              <w:t xml:space="preserve">Reflective questions on how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Tawar's</w:t>
            </w:r>
            <w:proofErr w:type="spellEnd"/>
            <w:r w:rsidRPr="005C24CD">
              <w:t xml:space="preserve"> local wisdom values ​​influence student behavior</w:t>
            </w:r>
          </w:p>
        </w:tc>
        <w:tc>
          <w:tcPr>
            <w:tcW w:w="1470" w:type="dxa"/>
            <w:tcBorders>
              <w:bottom w:val="single" w:sz="4" w:space="0" w:color="auto"/>
            </w:tcBorders>
          </w:tcPr>
          <w:p w14:paraId="7160C1A0" w14:textId="77777777" w:rsidR="005C24CD" w:rsidRPr="005C24CD" w:rsidRDefault="005C24CD" w:rsidP="005C24CD">
            <w:pPr>
              <w:pStyle w:val="Alishlah31text"/>
            </w:pPr>
            <w:r w:rsidRPr="005C24CD">
              <w:t>0.70</w:t>
            </w:r>
          </w:p>
        </w:tc>
        <w:tc>
          <w:tcPr>
            <w:tcW w:w="1470" w:type="dxa"/>
            <w:tcBorders>
              <w:bottom w:val="single" w:sz="4" w:space="0" w:color="auto"/>
            </w:tcBorders>
          </w:tcPr>
          <w:p w14:paraId="27F1124F" w14:textId="77777777" w:rsidR="005C24CD" w:rsidRPr="005C24CD" w:rsidRDefault="005C24CD" w:rsidP="005C24CD">
            <w:pPr>
              <w:pStyle w:val="Alishlah31text"/>
            </w:pPr>
            <w:r w:rsidRPr="005C24CD">
              <w:t>High</w:t>
            </w:r>
          </w:p>
        </w:tc>
      </w:tr>
      <w:tr w:rsidR="005C24CD" w:rsidRPr="005C24CD" w14:paraId="4D88452D" w14:textId="77777777" w:rsidTr="00C11D39">
        <w:trPr>
          <w:jc w:val="center"/>
        </w:trPr>
        <w:tc>
          <w:tcPr>
            <w:tcW w:w="577" w:type="dxa"/>
            <w:tcBorders>
              <w:top w:val="single" w:sz="4" w:space="0" w:color="auto"/>
              <w:bottom w:val="single" w:sz="4" w:space="0" w:color="auto"/>
            </w:tcBorders>
          </w:tcPr>
          <w:p w14:paraId="5F972B27" w14:textId="77777777" w:rsidR="005C24CD" w:rsidRPr="005C24CD" w:rsidRDefault="005C24CD" w:rsidP="00443C4D">
            <w:pPr>
              <w:pStyle w:val="Alishlah31text"/>
              <w:jc w:val="center"/>
            </w:pPr>
          </w:p>
        </w:tc>
        <w:tc>
          <w:tcPr>
            <w:tcW w:w="4862" w:type="dxa"/>
            <w:tcBorders>
              <w:top w:val="single" w:sz="4" w:space="0" w:color="auto"/>
              <w:bottom w:val="single" w:sz="4" w:space="0" w:color="auto"/>
            </w:tcBorders>
          </w:tcPr>
          <w:p w14:paraId="455F52A8" w14:textId="77777777" w:rsidR="005C24CD" w:rsidRPr="005C24CD" w:rsidRDefault="005C24CD" w:rsidP="005C24CD">
            <w:pPr>
              <w:pStyle w:val="Alishlah31text"/>
            </w:pPr>
            <w:r w:rsidRPr="005C24CD">
              <w:t>Mean</w:t>
            </w:r>
          </w:p>
        </w:tc>
        <w:tc>
          <w:tcPr>
            <w:tcW w:w="1470" w:type="dxa"/>
            <w:tcBorders>
              <w:top w:val="single" w:sz="4" w:space="0" w:color="auto"/>
              <w:bottom w:val="single" w:sz="4" w:space="0" w:color="auto"/>
            </w:tcBorders>
          </w:tcPr>
          <w:p w14:paraId="74F2C88D" w14:textId="77777777" w:rsidR="005C24CD" w:rsidRPr="005C24CD" w:rsidRDefault="005C24CD" w:rsidP="005C24CD">
            <w:pPr>
              <w:pStyle w:val="Alishlah31text"/>
            </w:pPr>
            <w:r w:rsidRPr="005C24CD">
              <w:t>0.70</w:t>
            </w:r>
          </w:p>
        </w:tc>
        <w:tc>
          <w:tcPr>
            <w:tcW w:w="1470" w:type="dxa"/>
            <w:tcBorders>
              <w:top w:val="single" w:sz="4" w:space="0" w:color="auto"/>
              <w:bottom w:val="single" w:sz="4" w:space="0" w:color="auto"/>
            </w:tcBorders>
          </w:tcPr>
          <w:p w14:paraId="2104BB0A" w14:textId="77777777" w:rsidR="005C24CD" w:rsidRPr="005C24CD" w:rsidRDefault="005C24CD" w:rsidP="005C24CD">
            <w:pPr>
              <w:pStyle w:val="Alishlah31text"/>
            </w:pPr>
            <w:r w:rsidRPr="005C24CD">
              <w:t>High</w:t>
            </w:r>
          </w:p>
        </w:tc>
      </w:tr>
    </w:tbl>
    <w:p w14:paraId="7FD2A151" w14:textId="77777777" w:rsidR="005C24CD" w:rsidRPr="005C24CD" w:rsidRDefault="005C24CD" w:rsidP="005C24CD">
      <w:pPr>
        <w:pStyle w:val="Alishlah31text"/>
      </w:pPr>
    </w:p>
    <w:p w14:paraId="4E8395B0" w14:textId="6518689D" w:rsidR="005C24CD" w:rsidRPr="005C24CD" w:rsidRDefault="005C24CD" w:rsidP="005C24CD">
      <w:pPr>
        <w:pStyle w:val="Alishlah31text"/>
      </w:pPr>
      <w:r w:rsidRPr="005C24CD">
        <w:t xml:space="preserve">Based on the table above, it is known that </w:t>
      </w:r>
      <w:r w:rsidR="00443C4D" w:rsidRPr="005C24CD">
        <w:t>overall,</w:t>
      </w:r>
      <w:r w:rsidRPr="005C24CD">
        <w:t xml:space="preserve"> the local wisdom values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can increase students' character scores by 0.70 or 70% in the high category. Thus, it can be concluded that the implementation of local wisdom values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can improve students' character values.</w:t>
      </w:r>
    </w:p>
    <w:p w14:paraId="31B0D308" w14:textId="7E1F1B78" w:rsidR="005C24CD" w:rsidRPr="005C24CD" w:rsidRDefault="00C11D39" w:rsidP="00C11D39">
      <w:pPr>
        <w:pStyle w:val="Alishlah22heading2"/>
      </w:pPr>
      <w:r w:rsidRPr="00C11D39">
        <w:t xml:space="preserve">3.5 </w:t>
      </w:r>
      <w:r w:rsidR="0084178E">
        <w:t>Contains local wisdom values</w:t>
      </w:r>
      <w:r w:rsidR="005C24CD" w:rsidRPr="005C24CD">
        <w:t xml:space="preserve"> </w:t>
      </w:r>
      <w:r w:rsidR="0084178E">
        <w:t xml:space="preserve">of </w:t>
      </w:r>
      <w:bookmarkStart w:id="2" w:name="_GoBack"/>
      <w:bookmarkEnd w:id="2"/>
      <w:r w:rsidR="005C24CD" w:rsidRPr="005C24CD">
        <w:t>Tepuk Tepung Tawar</w:t>
      </w:r>
    </w:p>
    <w:p w14:paraId="679CB577" w14:textId="77777777" w:rsidR="005C24CD" w:rsidRPr="005C24CD" w:rsidRDefault="005C24CD" w:rsidP="005C24CD">
      <w:pPr>
        <w:pStyle w:val="Alishlah31text"/>
      </w:pPr>
      <w:r w:rsidRPr="005C24CD">
        <w:t xml:space="preserve">The local wisdom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contains many character values that exist in every activity carried out </w:t>
      </w:r>
      <w:r w:rsidRPr="005C24CD">
        <w:fldChar w:fldCharType="begin" w:fldLock="1"/>
      </w:r>
      <w:r w:rsidRPr="005C24CD">
        <w:instrText>ADDIN CSL_CITATION {"citationItems":[{"id":"ITEM-1","itemData":{"author":[{"dropping-particle":"","family":"Ardiansyah","given":"Ogie","non-dropping-particle":"","parse-names":false,"suffix":""},{"dropping-particle":"","family":"Masrokhin","given":"Masrokhin","non-dropping-particle":"","parse-names":false,"suffix":""}],"container-title":"El-Usrah: Jurnal Hukum Keluarga","id":"ITEM-1","issue":"3","issued":{"date-parts":[["2023"]]},"page":"2023","title":"The Tradition of Tepuk Tepung Tawar in Malay Weddings from the Perspective of Islamic Law: A Case Study at Tanjungpinang, Riau Islands","type":"article-journal","volume":"46"},"uris":["http://www.mendeley.com/documents/?uuid=b5574262-eb75-4645-a512-23ab83c4925e"]}],"mendeley":{"formattedCitation":"(Ardiansyah &amp; Masrokhin, 2023)","plainTextFormattedCitation":"(Ardiansyah &amp; Masrokhin, 2023)","previouslyFormattedCitation":"(Ardiansyah &amp; Masrokhin, 2023)"},"properties":{"noteIndex":0},"schema":"https://github.com/citation-style-language/schema/raw/master/csl-citation.json"}</w:instrText>
      </w:r>
      <w:r w:rsidRPr="005C24CD">
        <w:fldChar w:fldCharType="separate"/>
      </w:r>
      <w:r w:rsidRPr="005C24CD">
        <w:rPr>
          <w:noProof/>
        </w:rPr>
        <w:t>(Ardiansyah &amp; Masrokhin, 2023)</w:t>
      </w:r>
      <w:r w:rsidRPr="005C24CD">
        <w:fldChar w:fldCharType="end"/>
      </w:r>
      <w:r w:rsidRPr="005C24CD">
        <w:t xml:space="preserve">. The local wisdom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contains deep values, including respect, warmth and unity. Through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students </w:t>
      </w:r>
      <w:r w:rsidRPr="005C24CD">
        <w:lastRenderedPageBreak/>
        <w:t xml:space="preserve">are taught the importance of respecting and respecting other people, as well as how to maintain harmony in social relationships. Thus,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has become a strong symbol of local Indonesian wisdom which should be preserved and made an integral part of character education.</w:t>
      </w:r>
    </w:p>
    <w:p w14:paraId="01EA9517" w14:textId="3244BEB1" w:rsidR="005C24CD" w:rsidRDefault="005C24CD" w:rsidP="005C24CD">
      <w:pPr>
        <w:pStyle w:val="Alishlah31text"/>
      </w:pPr>
      <w:r w:rsidRPr="005C24CD">
        <w:t xml:space="preserve">Clapping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is not only a ritual, but also reflects the values ​​contained in each activity. In this tradition,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is used for thanksgiving or wedding celebrations. The process of clapping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is also an important moment because it involves participation from various elements of society, from traditional leaders to family members. The following is an example of a </w:t>
      </w:r>
      <w:proofErr w:type="spellStart"/>
      <w:r w:rsidRPr="005C24CD">
        <w:t>Tepuk</w:t>
      </w:r>
      <w:proofErr w:type="spellEnd"/>
      <w:r w:rsidRPr="005C24CD">
        <w:t xml:space="preserve"> </w:t>
      </w:r>
      <w:proofErr w:type="spellStart"/>
      <w:r w:rsidRPr="005C24CD">
        <w:t>tep</w:t>
      </w:r>
      <w:r w:rsidR="0084178E">
        <w:t>ung</w:t>
      </w:r>
      <w:proofErr w:type="spellEnd"/>
      <w:r w:rsidR="0084178E">
        <w:t xml:space="preserve"> </w:t>
      </w:r>
      <w:proofErr w:type="spellStart"/>
      <w:r w:rsidR="0084178E">
        <w:t>tawar</w:t>
      </w:r>
      <w:proofErr w:type="spellEnd"/>
      <w:r w:rsidR="0084178E">
        <w:t xml:space="preserve"> activity at a wedding.</w:t>
      </w:r>
    </w:p>
    <w:p w14:paraId="12544792" w14:textId="77777777" w:rsidR="0084178E" w:rsidRDefault="0084178E" w:rsidP="005C24CD">
      <w:pPr>
        <w:pStyle w:val="Alishlah31text"/>
      </w:pPr>
    </w:p>
    <w:p w14:paraId="770DFD33" w14:textId="07B321AA" w:rsidR="00C11D39" w:rsidRPr="0084178E" w:rsidRDefault="0084178E" w:rsidP="0084178E">
      <w:pPr>
        <w:pStyle w:val="Alishlah31text"/>
        <w:ind w:firstLine="0"/>
        <w:jc w:val="center"/>
        <w:rPr>
          <w:sz w:val="18"/>
          <w:szCs w:val="20"/>
        </w:rPr>
      </w:pPr>
      <w:proofErr w:type="gramStart"/>
      <w:r w:rsidRPr="0084178E">
        <w:rPr>
          <w:b/>
          <w:bCs/>
          <w:sz w:val="18"/>
          <w:szCs w:val="20"/>
        </w:rPr>
        <w:t xml:space="preserve">Table </w:t>
      </w:r>
      <w:r>
        <w:rPr>
          <w:b/>
          <w:bCs/>
          <w:sz w:val="18"/>
          <w:szCs w:val="20"/>
        </w:rPr>
        <w:t>8</w:t>
      </w:r>
      <w:r w:rsidRPr="0084178E">
        <w:rPr>
          <w:sz w:val="18"/>
          <w:szCs w:val="20"/>
        </w:rPr>
        <w:t>.</w:t>
      </w:r>
      <w:proofErr w:type="gramEnd"/>
      <w:r w:rsidRPr="0084178E">
        <w:rPr>
          <w:sz w:val="18"/>
          <w:szCs w:val="20"/>
        </w:rPr>
        <w:t xml:space="preserve"> </w:t>
      </w:r>
      <w:r w:rsidRPr="0084178E">
        <w:rPr>
          <w:sz w:val="18"/>
          <w:szCs w:val="20"/>
        </w:rPr>
        <w:t xml:space="preserve">The values ​​contained in the Local Wisdom of </w:t>
      </w:r>
      <w:proofErr w:type="spellStart"/>
      <w:r w:rsidRPr="0084178E">
        <w:rPr>
          <w:sz w:val="18"/>
          <w:szCs w:val="20"/>
        </w:rPr>
        <w:t>Tepuk</w:t>
      </w:r>
      <w:proofErr w:type="spellEnd"/>
      <w:r w:rsidRPr="0084178E">
        <w:rPr>
          <w:sz w:val="18"/>
          <w:szCs w:val="20"/>
        </w:rPr>
        <w:t xml:space="preserve"> </w:t>
      </w:r>
      <w:proofErr w:type="spellStart"/>
      <w:r w:rsidRPr="0084178E">
        <w:rPr>
          <w:sz w:val="18"/>
          <w:szCs w:val="20"/>
        </w:rPr>
        <w:t>Tepung</w:t>
      </w:r>
      <w:proofErr w:type="spellEnd"/>
      <w:r w:rsidRPr="0084178E">
        <w:rPr>
          <w:sz w:val="18"/>
          <w:szCs w:val="20"/>
        </w:rPr>
        <w:t xml:space="preserve"> </w:t>
      </w:r>
      <w:proofErr w:type="spellStart"/>
      <w:r w:rsidRPr="0084178E">
        <w:rPr>
          <w:sz w:val="18"/>
          <w:szCs w:val="20"/>
        </w:rPr>
        <w:t>Tawar</w:t>
      </w:r>
      <w:proofErr w:type="spellEnd"/>
    </w:p>
    <w:tbl>
      <w:tblPr>
        <w:tblW w:w="9010" w:type="dxa"/>
        <w:jc w:val="center"/>
        <w:tblLook w:val="04A0" w:firstRow="1" w:lastRow="0" w:firstColumn="1" w:lastColumn="0" w:noHBand="0" w:noVBand="1"/>
      </w:tblPr>
      <w:tblGrid>
        <w:gridCol w:w="4223"/>
        <w:gridCol w:w="1452"/>
        <w:gridCol w:w="3335"/>
      </w:tblGrid>
      <w:tr w:rsidR="005C24CD" w:rsidRPr="005C24CD" w14:paraId="0CE31BFA" w14:textId="77777777" w:rsidTr="0084178E">
        <w:trPr>
          <w:trHeight w:val="449"/>
          <w:jc w:val="center"/>
        </w:trPr>
        <w:tc>
          <w:tcPr>
            <w:tcW w:w="4223" w:type="dxa"/>
            <w:tcBorders>
              <w:top w:val="single" w:sz="4" w:space="0" w:color="auto"/>
              <w:bottom w:val="single" w:sz="4" w:space="0" w:color="auto"/>
            </w:tcBorders>
          </w:tcPr>
          <w:p w14:paraId="1F663454" w14:textId="77777777" w:rsidR="005C24CD" w:rsidRPr="005C24CD" w:rsidRDefault="005C24CD" w:rsidP="00C11D39">
            <w:pPr>
              <w:pStyle w:val="Alishlah31text"/>
              <w:ind w:firstLine="0"/>
              <w:rPr>
                <w:b/>
                <w:bCs/>
              </w:rPr>
            </w:pPr>
            <w:proofErr w:type="spellStart"/>
            <w:r w:rsidRPr="005C24CD">
              <w:rPr>
                <w:b/>
                <w:bCs/>
              </w:rPr>
              <w:t>Tepuk</w:t>
            </w:r>
            <w:proofErr w:type="spellEnd"/>
            <w:r w:rsidRPr="005C24CD">
              <w:rPr>
                <w:b/>
                <w:bCs/>
              </w:rPr>
              <w:t xml:space="preserve"> </w:t>
            </w:r>
            <w:proofErr w:type="spellStart"/>
            <w:r w:rsidRPr="005C24CD">
              <w:rPr>
                <w:b/>
                <w:bCs/>
              </w:rPr>
              <w:t>tepung</w:t>
            </w:r>
            <w:proofErr w:type="spellEnd"/>
            <w:r w:rsidRPr="005C24CD">
              <w:rPr>
                <w:b/>
                <w:bCs/>
              </w:rPr>
              <w:t xml:space="preserve"> </w:t>
            </w:r>
            <w:proofErr w:type="spellStart"/>
            <w:r w:rsidRPr="005C24CD">
              <w:rPr>
                <w:b/>
                <w:bCs/>
              </w:rPr>
              <w:t>tawar</w:t>
            </w:r>
            <w:proofErr w:type="spellEnd"/>
            <w:r w:rsidRPr="005C24CD">
              <w:rPr>
                <w:b/>
                <w:bCs/>
              </w:rPr>
              <w:t xml:space="preserve"> Clapping Activity</w:t>
            </w:r>
          </w:p>
        </w:tc>
        <w:tc>
          <w:tcPr>
            <w:tcW w:w="1452" w:type="dxa"/>
            <w:tcBorders>
              <w:top w:val="single" w:sz="4" w:space="0" w:color="auto"/>
              <w:bottom w:val="single" w:sz="4" w:space="0" w:color="auto"/>
            </w:tcBorders>
          </w:tcPr>
          <w:p w14:paraId="2EF22AFF" w14:textId="77777777" w:rsidR="005C24CD" w:rsidRPr="005C24CD" w:rsidRDefault="005C24CD" w:rsidP="00C11D39">
            <w:pPr>
              <w:pStyle w:val="Alishlah31text"/>
              <w:ind w:firstLine="0"/>
              <w:rPr>
                <w:b/>
                <w:bCs/>
              </w:rPr>
            </w:pPr>
            <w:r w:rsidRPr="005C24CD">
              <w:rPr>
                <w:b/>
                <w:bCs/>
              </w:rPr>
              <w:t>Character Values</w:t>
            </w:r>
          </w:p>
        </w:tc>
        <w:tc>
          <w:tcPr>
            <w:tcW w:w="3335" w:type="dxa"/>
            <w:tcBorders>
              <w:top w:val="single" w:sz="4" w:space="0" w:color="auto"/>
              <w:bottom w:val="single" w:sz="4" w:space="0" w:color="auto"/>
            </w:tcBorders>
          </w:tcPr>
          <w:p w14:paraId="1B685720" w14:textId="77777777" w:rsidR="005C24CD" w:rsidRPr="005C24CD" w:rsidRDefault="005C24CD" w:rsidP="00C11D39">
            <w:pPr>
              <w:pStyle w:val="Alishlah31text"/>
              <w:ind w:firstLine="0"/>
              <w:rPr>
                <w:b/>
                <w:bCs/>
              </w:rPr>
            </w:pPr>
            <w:r w:rsidRPr="005C24CD">
              <w:rPr>
                <w:b/>
                <w:bCs/>
              </w:rPr>
              <w:t>Explanation of Character Values</w:t>
            </w:r>
          </w:p>
        </w:tc>
      </w:tr>
      <w:tr w:rsidR="005C24CD" w:rsidRPr="005C24CD" w14:paraId="6B37DBE3" w14:textId="77777777" w:rsidTr="0084178E">
        <w:trPr>
          <w:trHeight w:val="449"/>
          <w:jc w:val="center"/>
        </w:trPr>
        <w:tc>
          <w:tcPr>
            <w:tcW w:w="4223" w:type="dxa"/>
            <w:tcBorders>
              <w:top w:val="single" w:sz="4" w:space="0" w:color="auto"/>
            </w:tcBorders>
          </w:tcPr>
          <w:p w14:paraId="7FB505E1" w14:textId="77777777" w:rsidR="005C24CD" w:rsidRPr="005C24CD" w:rsidRDefault="005C24CD" w:rsidP="00C11D39">
            <w:pPr>
              <w:pStyle w:val="Alishlah31text"/>
              <w:ind w:firstLine="0"/>
            </w:pPr>
            <w:r w:rsidRPr="005C24CD">
              <w:t>The opening activity began with the delivery of prayers and reading of holy verses</w:t>
            </w:r>
          </w:p>
        </w:tc>
        <w:tc>
          <w:tcPr>
            <w:tcW w:w="1452" w:type="dxa"/>
            <w:tcBorders>
              <w:top w:val="single" w:sz="4" w:space="0" w:color="auto"/>
            </w:tcBorders>
          </w:tcPr>
          <w:p w14:paraId="5EAF948E" w14:textId="77777777" w:rsidR="005C24CD" w:rsidRPr="005C24CD" w:rsidRDefault="005C24CD" w:rsidP="00C11D39">
            <w:pPr>
              <w:pStyle w:val="Alishlah31text"/>
              <w:ind w:firstLine="0"/>
            </w:pPr>
            <w:r w:rsidRPr="005C24CD">
              <w:t>Religion</w:t>
            </w:r>
          </w:p>
        </w:tc>
        <w:tc>
          <w:tcPr>
            <w:tcW w:w="3335" w:type="dxa"/>
            <w:tcBorders>
              <w:top w:val="single" w:sz="4" w:space="0" w:color="auto"/>
            </w:tcBorders>
          </w:tcPr>
          <w:p w14:paraId="10E2E355" w14:textId="77777777" w:rsidR="005C24CD" w:rsidRPr="005C24CD" w:rsidRDefault="005C24CD" w:rsidP="00C11D39">
            <w:pPr>
              <w:pStyle w:val="Alishlah31text"/>
              <w:ind w:firstLine="0"/>
            </w:pPr>
            <w:r w:rsidRPr="005C24CD">
              <w:t xml:space="preserve">The applause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which is always preceded by prayer and reading of holy verses represents a form of religious value.</w:t>
            </w:r>
          </w:p>
        </w:tc>
      </w:tr>
      <w:tr w:rsidR="005C24CD" w:rsidRPr="005C24CD" w14:paraId="68FB476F" w14:textId="77777777" w:rsidTr="0084178E">
        <w:trPr>
          <w:trHeight w:val="662"/>
          <w:jc w:val="center"/>
        </w:trPr>
        <w:tc>
          <w:tcPr>
            <w:tcW w:w="4223" w:type="dxa"/>
          </w:tcPr>
          <w:p w14:paraId="58FB9384" w14:textId="77777777" w:rsidR="005C24CD" w:rsidRPr="005C24CD" w:rsidRDefault="005C24CD" w:rsidP="00C11D39">
            <w:pPr>
              <w:pStyle w:val="Alishlah31text"/>
              <w:ind w:firstLine="0"/>
            </w:pPr>
            <w:r w:rsidRPr="005C24CD">
              <w:t xml:space="preserve">The following is the sequence of initial activities for the implementation of </w:t>
            </w:r>
            <w:proofErr w:type="spellStart"/>
            <w:r w:rsidRPr="005C24CD">
              <w:t>Tepung</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w:t>
            </w:r>
          </w:p>
          <w:p w14:paraId="46571920" w14:textId="77777777" w:rsidR="005C24CD" w:rsidRPr="005C24CD" w:rsidRDefault="005C24CD" w:rsidP="005C24CD">
            <w:pPr>
              <w:pStyle w:val="Alishlah31text"/>
              <w:numPr>
                <w:ilvl w:val="0"/>
                <w:numId w:val="19"/>
              </w:numPr>
            </w:pPr>
            <w:r w:rsidRPr="005C24CD">
              <w:t xml:space="preserve">Take some turmeric rice, white rice, and </w:t>
            </w:r>
            <w:proofErr w:type="spellStart"/>
            <w:r w:rsidRPr="005C24CD">
              <w:t>bertih</w:t>
            </w:r>
            <w:proofErr w:type="spellEnd"/>
            <w:r w:rsidRPr="005C24CD">
              <w:t xml:space="preserve"> from the container.</w:t>
            </w:r>
          </w:p>
          <w:p w14:paraId="166BC93A" w14:textId="77777777" w:rsidR="005C24CD" w:rsidRPr="005C24CD" w:rsidRDefault="005C24CD" w:rsidP="005C24CD">
            <w:pPr>
              <w:pStyle w:val="Alishlah31text"/>
              <w:numPr>
                <w:ilvl w:val="0"/>
                <w:numId w:val="19"/>
              </w:numPr>
            </w:pPr>
            <w:r w:rsidRPr="005C24CD">
              <w:t xml:space="preserve">Sprinkle the rice over the head, right shoulder and left shoulder of the bride and groom while chanting </w:t>
            </w:r>
            <w:proofErr w:type="spellStart"/>
            <w:r w:rsidRPr="005C24CD">
              <w:t>shalawat</w:t>
            </w:r>
            <w:proofErr w:type="spellEnd"/>
            <w:r w:rsidRPr="005C24CD">
              <w:t xml:space="preserve"> to the Prophet Muhammad once.</w:t>
            </w:r>
          </w:p>
          <w:p w14:paraId="40137F6D" w14:textId="77777777" w:rsidR="005C24CD" w:rsidRPr="005C24CD" w:rsidRDefault="005C24CD" w:rsidP="005C24CD">
            <w:pPr>
              <w:pStyle w:val="Alishlah31text"/>
              <w:numPr>
                <w:ilvl w:val="0"/>
                <w:numId w:val="19"/>
              </w:numPr>
            </w:pPr>
            <w:r w:rsidRPr="005C24CD">
              <w:t xml:space="preserve">Soak the </w:t>
            </w:r>
            <w:proofErr w:type="spellStart"/>
            <w:r w:rsidRPr="005C24CD">
              <w:t>perenjis</w:t>
            </w:r>
            <w:proofErr w:type="spellEnd"/>
            <w:r w:rsidRPr="005C24CD">
              <w:t xml:space="preserve"> leaves in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water.</w:t>
            </w:r>
          </w:p>
          <w:p w14:paraId="470C4BC5" w14:textId="77777777" w:rsidR="005C24CD" w:rsidRPr="005C24CD" w:rsidRDefault="005C24CD" w:rsidP="005C24CD">
            <w:pPr>
              <w:pStyle w:val="Alishlah31text"/>
              <w:numPr>
                <w:ilvl w:val="0"/>
                <w:numId w:val="19"/>
              </w:numPr>
            </w:pPr>
            <w:r w:rsidRPr="005C24CD">
              <w:t xml:space="preserve">Sprinkle water from the </w:t>
            </w:r>
            <w:proofErr w:type="spellStart"/>
            <w:r w:rsidRPr="005C24CD">
              <w:t>perenjis</w:t>
            </w:r>
            <w:proofErr w:type="spellEnd"/>
            <w:r w:rsidRPr="005C24CD">
              <w:t xml:space="preserve"> leaves on the forehead, right shoulder, left palm, right palm and left shoulder of the bride and </w:t>
            </w:r>
            <w:proofErr w:type="gramStart"/>
            <w:r w:rsidRPr="005C24CD">
              <w:t>groom</w:t>
            </w:r>
            <w:proofErr w:type="gramEnd"/>
            <w:r w:rsidRPr="005C24CD">
              <w:t xml:space="preserve"> to form the letters Lam </w:t>
            </w:r>
            <w:proofErr w:type="spellStart"/>
            <w:r w:rsidRPr="005C24CD">
              <w:t>Alif</w:t>
            </w:r>
            <w:proofErr w:type="spellEnd"/>
            <w:r w:rsidRPr="005C24CD">
              <w:t>.</w:t>
            </w:r>
          </w:p>
          <w:p w14:paraId="3DC38FDF" w14:textId="77777777" w:rsidR="005C24CD" w:rsidRPr="005C24CD" w:rsidRDefault="005C24CD" w:rsidP="005C24CD">
            <w:pPr>
              <w:pStyle w:val="Alishlah31text"/>
            </w:pPr>
          </w:p>
        </w:tc>
        <w:tc>
          <w:tcPr>
            <w:tcW w:w="1452" w:type="dxa"/>
          </w:tcPr>
          <w:p w14:paraId="1273268C" w14:textId="77777777" w:rsidR="005C24CD" w:rsidRPr="005C24CD" w:rsidRDefault="005C24CD" w:rsidP="00C11D39">
            <w:pPr>
              <w:pStyle w:val="Alishlah31text"/>
              <w:ind w:firstLine="0"/>
            </w:pPr>
            <w:r w:rsidRPr="005C24CD">
              <w:t>Moral</w:t>
            </w:r>
          </w:p>
        </w:tc>
        <w:tc>
          <w:tcPr>
            <w:tcW w:w="3335" w:type="dxa"/>
          </w:tcPr>
          <w:p w14:paraId="669A75BD" w14:textId="77777777" w:rsidR="005C24CD" w:rsidRPr="005C24CD" w:rsidRDefault="005C24CD" w:rsidP="00C11D39">
            <w:pPr>
              <w:pStyle w:val="Alishlah31text"/>
              <w:ind w:firstLine="0"/>
            </w:pPr>
            <w:r w:rsidRPr="005C24CD">
              <w:t xml:space="preserve">The representation of moral values ​​that can be seen in the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activity is politeness and ethics, where in the process of carrying out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always giving priority to those who are older, or who are in a higher position.</w:t>
            </w:r>
          </w:p>
          <w:p w14:paraId="4EA3CC4B" w14:textId="77777777" w:rsidR="005C24CD" w:rsidRPr="005C24CD" w:rsidRDefault="005C24CD" w:rsidP="005C24CD">
            <w:pPr>
              <w:pStyle w:val="Alishlah31text"/>
            </w:pPr>
          </w:p>
          <w:p w14:paraId="7CE14404" w14:textId="77777777" w:rsidR="005C24CD" w:rsidRPr="005C24CD" w:rsidRDefault="005C24CD" w:rsidP="00C11D39">
            <w:pPr>
              <w:pStyle w:val="Alishlah31text"/>
              <w:ind w:firstLine="0"/>
            </w:pPr>
            <w:r w:rsidRPr="005C24CD">
              <w:t xml:space="preserve">The elders or traditional figures, usually taking turns, will take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with their hands and touch or throw it towards the bride or groom or the person who is to be congratulated. Pat the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gently while including prayers or good words.</w:t>
            </w:r>
          </w:p>
        </w:tc>
      </w:tr>
      <w:tr w:rsidR="005C24CD" w:rsidRPr="005C24CD" w14:paraId="6EE5D9EF" w14:textId="77777777" w:rsidTr="0084178E">
        <w:trPr>
          <w:trHeight w:val="648"/>
          <w:jc w:val="center"/>
        </w:trPr>
        <w:tc>
          <w:tcPr>
            <w:tcW w:w="4223" w:type="dxa"/>
          </w:tcPr>
          <w:p w14:paraId="0AF06271" w14:textId="77777777" w:rsidR="005C24CD" w:rsidRPr="005C24CD" w:rsidRDefault="005C24CD" w:rsidP="00C11D39">
            <w:pPr>
              <w:pStyle w:val="Alishlah31text"/>
              <w:ind w:firstLine="0"/>
            </w:pPr>
            <w:r w:rsidRPr="005C24CD">
              <w:t xml:space="preserve">The following is the sequence of subsequent activities from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which are carried out in rotation:</w:t>
            </w:r>
          </w:p>
          <w:p w14:paraId="42FD38DB" w14:textId="77777777" w:rsidR="005C24CD" w:rsidRPr="005C24CD" w:rsidRDefault="005C24CD" w:rsidP="005C24CD">
            <w:pPr>
              <w:pStyle w:val="Alishlah31text"/>
              <w:numPr>
                <w:ilvl w:val="0"/>
                <w:numId w:val="20"/>
              </w:numPr>
            </w:pPr>
            <w:r w:rsidRPr="005C24CD">
              <w:t>Retrieving Eggs: Take one egg from the container or storage area.</w:t>
            </w:r>
          </w:p>
          <w:p w14:paraId="077AFF0E" w14:textId="77777777" w:rsidR="005C24CD" w:rsidRPr="005C24CD" w:rsidRDefault="005C24CD" w:rsidP="005C24CD">
            <w:pPr>
              <w:pStyle w:val="Alishlah31text"/>
              <w:numPr>
                <w:ilvl w:val="0"/>
                <w:numId w:val="20"/>
              </w:numPr>
            </w:pPr>
            <w:r w:rsidRPr="005C24CD">
              <w:t>Surrounding the Bride and Groom's Faces with Eggs: Surround the bride and groom's faces with the egg, gently and symmetrically.</w:t>
            </w:r>
          </w:p>
          <w:p w14:paraId="1497793B" w14:textId="77777777" w:rsidR="005C24CD" w:rsidRPr="005C24CD" w:rsidRDefault="005C24CD" w:rsidP="005C24CD">
            <w:pPr>
              <w:pStyle w:val="Alishlah31text"/>
              <w:numPr>
                <w:ilvl w:val="0"/>
                <w:numId w:val="20"/>
              </w:numPr>
            </w:pPr>
            <w:r w:rsidRPr="005C24CD">
              <w:t>Taking and Applying Henna: Take some henna and rub it on the right and left palms of the bride and groom</w:t>
            </w:r>
          </w:p>
          <w:p w14:paraId="1212884E" w14:textId="280B62E7" w:rsidR="005C24CD" w:rsidRPr="005C24CD" w:rsidRDefault="005C24CD" w:rsidP="00C11D39">
            <w:pPr>
              <w:pStyle w:val="Alishlah31text"/>
              <w:ind w:firstLine="0"/>
            </w:pPr>
          </w:p>
        </w:tc>
        <w:tc>
          <w:tcPr>
            <w:tcW w:w="1452" w:type="dxa"/>
          </w:tcPr>
          <w:p w14:paraId="6C03D0D4" w14:textId="77777777" w:rsidR="005C24CD" w:rsidRPr="005C24CD" w:rsidRDefault="005C24CD" w:rsidP="00C11D39">
            <w:pPr>
              <w:pStyle w:val="Alishlah31text"/>
              <w:ind w:firstLine="0"/>
            </w:pPr>
            <w:r w:rsidRPr="005C24CD">
              <w:t>Unity</w:t>
            </w:r>
          </w:p>
        </w:tc>
        <w:tc>
          <w:tcPr>
            <w:tcW w:w="3335" w:type="dxa"/>
          </w:tcPr>
          <w:p w14:paraId="696F5391" w14:textId="77777777" w:rsidR="005C24CD" w:rsidRPr="005C24CD" w:rsidRDefault="005C24CD" w:rsidP="00C11D39">
            <w:pPr>
              <w:pStyle w:val="Alishlah31text"/>
              <w:ind w:firstLine="0"/>
            </w:pPr>
            <w:r w:rsidRPr="005C24CD">
              <w:t xml:space="preserve">The representation of the value of unity can be seen from the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which is carried out in turns by the traditional leader, closest family, and relatives.</w:t>
            </w:r>
          </w:p>
        </w:tc>
      </w:tr>
      <w:tr w:rsidR="005C24CD" w:rsidRPr="005C24CD" w14:paraId="2DEA2848" w14:textId="77777777" w:rsidTr="0084178E">
        <w:trPr>
          <w:trHeight w:val="648"/>
          <w:jc w:val="center"/>
        </w:trPr>
        <w:tc>
          <w:tcPr>
            <w:tcW w:w="4223" w:type="dxa"/>
            <w:tcBorders>
              <w:bottom w:val="single" w:sz="4" w:space="0" w:color="auto"/>
            </w:tcBorders>
          </w:tcPr>
          <w:p w14:paraId="02E6941F" w14:textId="77777777" w:rsidR="005C24CD" w:rsidRPr="005C24CD" w:rsidRDefault="005C24CD" w:rsidP="00C11D39">
            <w:pPr>
              <w:pStyle w:val="Alishlah31text"/>
              <w:ind w:firstLine="0"/>
              <w:rPr>
                <w:b/>
                <w:bCs/>
              </w:rPr>
            </w:pPr>
            <w:r w:rsidRPr="005C24CD">
              <w:lastRenderedPageBreak/>
              <w:t xml:space="preserve">The final activity is the reading of a prayer of congratulations led by local religious or traditional leaders. This prayer is recited when all the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patters have finished the bride and groom.</w:t>
            </w:r>
          </w:p>
        </w:tc>
        <w:tc>
          <w:tcPr>
            <w:tcW w:w="1452" w:type="dxa"/>
            <w:tcBorders>
              <w:bottom w:val="single" w:sz="4" w:space="0" w:color="auto"/>
            </w:tcBorders>
          </w:tcPr>
          <w:p w14:paraId="62CD2B1F" w14:textId="77777777" w:rsidR="005C24CD" w:rsidRPr="005C24CD" w:rsidRDefault="005C24CD" w:rsidP="00C11D39">
            <w:pPr>
              <w:pStyle w:val="Alishlah31text"/>
              <w:ind w:firstLine="0"/>
            </w:pPr>
            <w:r w:rsidRPr="005C24CD">
              <w:t>Social</w:t>
            </w:r>
          </w:p>
        </w:tc>
        <w:tc>
          <w:tcPr>
            <w:tcW w:w="3335" w:type="dxa"/>
            <w:tcBorders>
              <w:bottom w:val="single" w:sz="4" w:space="0" w:color="auto"/>
            </w:tcBorders>
          </w:tcPr>
          <w:p w14:paraId="73FC3780" w14:textId="77777777" w:rsidR="005C24CD" w:rsidRPr="005C24CD" w:rsidRDefault="005C24CD" w:rsidP="00C11D39">
            <w:pPr>
              <w:pStyle w:val="Alishlah31text"/>
              <w:ind w:firstLine="0"/>
            </w:pPr>
            <w:r w:rsidRPr="005C24CD">
              <w:t xml:space="preserve">The representation of social values ​​that can be seen from the activity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is </w:t>
            </w:r>
            <w:proofErr w:type="spellStart"/>
            <w:r w:rsidRPr="005C24CD">
              <w:t>minvolve</w:t>
            </w:r>
            <w:proofErr w:type="spellEnd"/>
            <w:r w:rsidRPr="005C24CD">
              <w:t xml:space="preserve"> many people and means to gather relatives.</w:t>
            </w:r>
          </w:p>
        </w:tc>
      </w:tr>
    </w:tbl>
    <w:p w14:paraId="0B181286" w14:textId="77777777" w:rsidR="005C24CD" w:rsidRPr="005C24CD" w:rsidRDefault="005C24CD" w:rsidP="005C24CD">
      <w:pPr>
        <w:pStyle w:val="Alishlah31text"/>
      </w:pPr>
    </w:p>
    <w:p w14:paraId="358B5348" w14:textId="77777777" w:rsidR="005C24CD" w:rsidRPr="005C24CD" w:rsidRDefault="005C24CD" w:rsidP="005C24CD">
      <w:pPr>
        <w:pStyle w:val="Alishlah31text"/>
      </w:pPr>
      <w:r w:rsidRPr="005C24CD">
        <w:t xml:space="preserve">The values ​​contained in the local wisdom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are; 1) Religious Values, shown through gratitude to God; 2) Social Value, demonstrated through activities that involve the entire community and invite the surrounding community to thanksgiving activities; 3) Moral Values, showing politeness and ethics in these activities; 4) The value of unity, which is shown through the involvement of many outgoing members between the bride and groom.</w:t>
      </w:r>
    </w:p>
    <w:p w14:paraId="3D06B844" w14:textId="051AE06B" w:rsidR="005C24CD" w:rsidRPr="005C24CD" w:rsidRDefault="00C11D39" w:rsidP="00C11D39">
      <w:pPr>
        <w:pStyle w:val="Alishlah22heading2"/>
      </w:pPr>
      <w:r>
        <w:t xml:space="preserve">3.6 </w:t>
      </w:r>
      <w:r w:rsidR="005C24CD" w:rsidRPr="005C24CD">
        <w:t>Application of the Local Wisdom Values ​​of Tepung Tepung Tawar in History Learning</w:t>
      </w:r>
    </w:p>
    <w:p w14:paraId="45D7CAA4" w14:textId="77777777" w:rsidR="005C24CD" w:rsidRPr="005C24CD" w:rsidRDefault="005C24CD" w:rsidP="005C24CD">
      <w:pPr>
        <w:pStyle w:val="Alishlah31text"/>
      </w:pPr>
      <w:r w:rsidRPr="005C24CD">
        <w:t xml:space="preserve">The findings of the study suggest that the use of local wisdom values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can enhance students' character values. The t-test reveals a significant result of less than 0.05, which means there is a difference before and after implementing the local wisdom values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in history learning. The results of the N-Gain Test show an increase in student character scores by 70%. Thus, it can be concluded that the application of local wisdom values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has succeeded in increasing students' character values ​​significantly. The results of this study support previous research conducted by </w:t>
      </w:r>
      <w:proofErr w:type="spellStart"/>
      <w:r w:rsidRPr="005C24CD">
        <w:t>Enceng</w:t>
      </w:r>
      <w:proofErr w:type="spellEnd"/>
      <w:r w:rsidRPr="005C24CD">
        <w:t xml:space="preserve"> </w:t>
      </w:r>
      <w:r w:rsidRPr="005C24CD">
        <w:fldChar w:fldCharType="begin" w:fldLock="1"/>
      </w:r>
      <w:r w:rsidRPr="005C24CD">
        <w:instrText>ADDIN CSL_CITATION {"citationItems":[{"id":"ITEM-1","itemData":{"DOI":"10.46843/jiecr.v4i3.910","ISSN":"2722-9696","abstract":"This study aims to determine the values of Cirebon Batik's local wisdom that can be used as an alternative source and material for developing economic behavior. This research was designed qualitatively, collecting data through interviews, observation, and document analysis. The research was conducted in Cirebon Regency. The batik craftsmen were key informants, boutique owners, batik leaders, employees, and local government, who became supporting informants in this study. The results show three aspects of economic behavior in the activities of batik craftsmen: economic morality, rationality, and altruism. The value of local wisdom that can be used to determine student behavior is the attitude of morality reflected in the attitude of honesty, discipline, commitment, and prioritizing the interests of others. Rationality is reflected in the attitude of wisdom, feeling sufficient in economic terms, and effective and efficient consideration in economic aspects, and altruism is reflected in the attitude of concern for others, sincere sharing, and empathy. This study finds that traditional Cirebon batik motifs are relevant to the value of five characteristics of education, including religion, nationalism, independence, mutual cooperation, and integrity. The values in Cirebon batik motifs can then be used as a learning resource for students, especially for developing character education based on cultural heritage. The academic contribution of this research can improve good economic behavior in the midst of eroding moral values and the love of the younger generation for local culture. The results of this study can be used as a reference for stakeholders in instilling and developing positive character, wise and able to preserve the prevailing local wisdom values.","author":[{"dropping-particle":"","family":"Yana","given":"Enceng","non-dropping-particle":"","parse-names":false,"suffix":""},{"dropping-particle":"","family":"Anisah","given":"Aan","non-dropping-particle":"","parse-names":false,"suffix":""},{"dropping-particle":"","family":"Yulianto","given":"Agung","non-dropping-particle":"","parse-names":false,"suffix":""}],"container-title":"Journal of Innovation in Educational and Cultural Research","id":"ITEM-1","issue":"3","issued":{"date-parts":[["2023"]]},"page":"534-543","title":"Ethnopedagogical Study of Local Wisdom Values as a Source of Learning for Forming Economic Behavior","type":"article-journal","volume":"4"},"uris":["http://www.mendeley.com/documents/?uuid=cb76cdcf-3df0-416a-a573-9b873653a21b"]}],"mendeley":{"formattedCitation":"(Yana et al., 2023)","manualFormatting":"(2023)","plainTextFormattedCitation":"(Yana et al., 2023)","previouslyFormattedCitation":"(Yana et al., 2023)"},"properties":{"noteIndex":0},"schema":"https://github.com/citation-style-language/schema/raw/master/csl-citation.json"}</w:instrText>
      </w:r>
      <w:r w:rsidRPr="005C24CD">
        <w:fldChar w:fldCharType="separate"/>
      </w:r>
      <w:r w:rsidRPr="005C24CD">
        <w:rPr>
          <w:noProof/>
        </w:rPr>
        <w:t>(2023)</w:t>
      </w:r>
      <w:r w:rsidRPr="005C24CD">
        <w:fldChar w:fldCharType="end"/>
      </w:r>
      <w:r w:rsidRPr="005C24CD">
        <w:t xml:space="preserve"> which aims to develop character education values ​​based on local wisdom in elementary school students by including local batik motifs. Furthermore, research conducted by </w:t>
      </w:r>
      <w:proofErr w:type="spellStart"/>
      <w:r w:rsidRPr="005C24CD">
        <w:t>Arizaldy</w:t>
      </w:r>
      <w:proofErr w:type="spellEnd"/>
      <w:r w:rsidRPr="005C24CD">
        <w:t xml:space="preserve"> </w:t>
      </w:r>
      <w:r w:rsidRPr="005C24CD">
        <w:fldChar w:fldCharType="begin" w:fldLock="1"/>
      </w:r>
      <w:r w:rsidRPr="005C24CD">
        <w:instrText>ADDIN CSL_CITATION {"citationItems":[{"id":"ITEM-1","itemData":{"DOI":"10.15294/usej.v10i3.46695","ISSN":"2252-6617","abstract":"Lubuk Larangan is an area in a river restricted by the community, which must not be disturbed and is forbidden for fishing. It is in Rantau Keloyang District, Muara Bungo Regency, Jambi Province. The local wisdom of Lubuk Larangan has the potential to bring contextual science learning to conserve the environment based on customary regulations for sustainable development. This study aims to determine the potential of Lubuk Larangan area as a source of science learning. Using descriptive exploratory method, the data were obtained from the interviews with Datuk Rio, a traditional leader and science teacher at SMP Negeri 1 Pelepat Ilir. Data collection techniques included observation, interview, and documentation. The findings indicate that several basic competencies are suitable for science education with the material about Lubuk Larangan, namely analyzing the occurrence of environmental pollution and its impact on the ecosystem (KD 3.8); Lubuk Larangan can be developed in learning media such as modules, assessments, and practical activities; Lubuk Larangan can be integrated into science learning to instill education for sustainable development competencies, especially for action on climate. Based on this study, in general, science learning can be linked to local wisdom of Lubuk Larangan according to learning indicators that refer to education for sustainable development.","author":[{"dropping-particle":"","family":"Arizaldy","given":"","non-dropping-particle":"","parse-names":false,"suffix":""},{"dropping-particle":"","family":"Solihat","given":"Rini","non-dropping-particle":"","parse-names":false,"suffix":""},{"dropping-particle":"","family":"Riandi","given":"Riandi","non-dropping-particle":"","parse-names":false,"suffix":""},{"dropping-particle":"","family":"Firman","given":"Harry","non-dropping-particle":"","parse-names":false,"suffix":""}],"container-title":"Unnes Science Education Journal","id":"ITEM-1","issue":"3","issued":{"date-parts":[["2021"]]},"page":"145-150","title":"Analysis of the Potential of Lubuk Larangan Local Wisdom in Science Learning in Junior High Schools","type":"article-journal","volume":"10"},"uris":["http://www.mendeley.com/documents/?uuid=c72377d8-95ff-4ac0-9017-0ad9d22c80d2"]}],"mendeley":{"formattedCitation":"(Arizaldy et al., 2021)","manualFormatting":"(2021)","plainTextFormattedCitation":"(Arizaldy et al., 2021)","previouslyFormattedCitation":"(Arizaldy et al., 2021)"},"properties":{"noteIndex":0},"schema":"https://github.com/citation-style-language/schema/raw/master/csl-citation.json"}</w:instrText>
      </w:r>
      <w:r w:rsidRPr="005C24CD">
        <w:fldChar w:fldCharType="separate"/>
      </w:r>
      <w:r w:rsidRPr="005C24CD">
        <w:rPr>
          <w:noProof/>
        </w:rPr>
        <w:t>(2021)</w:t>
      </w:r>
      <w:r w:rsidRPr="005C24CD">
        <w:fldChar w:fldCharType="end"/>
      </w:r>
      <w:r w:rsidRPr="005C24CD">
        <w:t xml:space="preserve"> showed that the application of a science learning model based on local wisdom can increase student creativity and learning outcomes by emphasizing the </w:t>
      </w:r>
      <w:proofErr w:type="spellStart"/>
      <w:r w:rsidRPr="005C24CD">
        <w:t>Pranata</w:t>
      </w:r>
      <w:proofErr w:type="spellEnd"/>
      <w:r w:rsidRPr="005C24CD">
        <w:t xml:space="preserve"> </w:t>
      </w:r>
      <w:proofErr w:type="spellStart"/>
      <w:r w:rsidRPr="005C24CD">
        <w:t>Mangsa</w:t>
      </w:r>
      <w:proofErr w:type="spellEnd"/>
      <w:r w:rsidRPr="005C24CD">
        <w:t xml:space="preserve"> Calendar in Javanese society.</w:t>
      </w:r>
    </w:p>
    <w:p w14:paraId="0285C96D" w14:textId="016CC4A0" w:rsidR="005C24CD" w:rsidRPr="005C24CD" w:rsidRDefault="005C24CD" w:rsidP="005C24CD">
      <w:pPr>
        <w:pStyle w:val="Alishlah31text"/>
      </w:pPr>
      <w:r w:rsidRPr="005C24CD">
        <w:t xml:space="preserve">Developing character values ​​based on the wisdom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is an effort that combines local traditions with the formation of strong character for students </w:t>
      </w:r>
      <w:r w:rsidRPr="005C24CD">
        <w:fldChar w:fldCharType="begin" w:fldLock="1"/>
      </w:r>
      <w:r w:rsidR="00C11D39">
        <w:instrText>ADDIN CSL_CITATION {"citationItems":[{"id":"ITEM-1","itemData":{"DOI":"10.22219/satwika.v7i2.26352","ISSN":"2580-8567","abstract":"Provinsi Sumatera Selatan menyandang predikat daerah zero conflict sebab tidak ditemukannya konflik di daerah Sumatera Selatan terutama yang terkait dengan Suku, Agama, Ras dan Antar-golongan (SARA), hal tersebut terjadi disebabkan oleh masih digunakannya tradisi lokal, yaitu berupa tradisi “tepung tawar perdamaian” sebagai resolusi konflik. Hal ini merupakan upaya melakukan perdamaian melalui mediasi dialogis dari tokoh masyarakat terhadap pihak-pihak yang berselisih agar konflik yang lebih besar dan luas dapat dihindari.  Artikel ini bertujuan untuk menganalisa bentuk resolusi konflik tersebut berdasarkan perspektif nilai-nilai Pancasila yang merupakan ideologi bangsa. Metode yang dipakai dalam penelitian ini ialah melalui kajian pustaka terhadap berbagai literatur terkait seperti jurnal ilmiah serta buku terutama yang membahas mengenai resolusi konflik, kearifan lokal serta implementasi nilai-nilai Pancasila dalam kehidupan. Hasil analisis menunjukkan nilai-nilai Pancasila diimplementasikan melalui tradisi tepung tawar perdamaian terutama pada nilai persatuan dan musyawarah mufakat. Melalui tepung tawar perdamaian pihak-pihak yang berkonflik dikondisikan agar setuju untuk melakukan perdamaian. Hal ini biasanya dilakukan oleh tetua pada keluarga didampingi oleh berbagai orang yang dianggap tokoh. Ketika sudah mencapai kesepakatan mengenai waktu kedatangan maka pihak yang ingin berdamai akan mendatangi pihak lainnya dengan membawa ketan kunyit dan ayam panggang. Kesimpulan dari penelitian ini menunjukkan jika bentuk resolusi konflik di Sumatera Selatan yang dilakukan melalui tepung tawar perdamaian merupakan perwujudan dari nilai-nilai Pancasila yang merupakan nilai luhur dari kearifan lokal bangsa Indonesia. Hal tersebut dapat menjadi solusi untuk mencegah dan mengatasi konflik yang sangat mungkin muncul dari keberagaman yang ada di Indonesia.    South Sumatra Province holds the title of zero conflict area because there are no conflicts found in the South Sumatra region, especially those related to ethnicity, religion, race, and inter-group. This happens because local traditions are still used, namely the tradition of \"tepung tawar perdamaian\" as a Conflict resolution is an effort to make peace through dialogical mediation by community leaders towards disputing parties so that larger and more widespread conflicts can be avoided. This article aims to analyze the form of conflict resolution based on the perspective of Pancasila values which is the natio…","author":[{"dropping-particle":"","family":"Nurdiansyah","given":"Edwin","non-dropping-particle":"","parse-names":false,"suffix":""},{"dropping-particle":"","family":"Bunyamin Maftuh","given":"","non-dropping-particle":"","parse-names":false,"suffix":""},{"dropping-particle":"","family":"Elly Malihah","given":"","non-dropping-particle":"","parse-names":false,"suffix":""}],"container-title":"Satwika : Kajian Ilmu Budaya dan Perubahan Sosial","id":"ITEM-1","issue":"2","issued":{"date-parts":[["2023"]]},"page":"285-294","title":"Tepung Tawar Perdamaian: Resolusi Konflik Berlandaskan Nilai-Nilai Pancasila di Sumatera Selatan","type":"article-journal","volume":"7"},"uris":["http://www.mendeley.com/documents/?uuid=59d6913a-3b77-415e-bc34-0dec0dceedfb"]}],"mendeley":{"formattedCitation":"(Nurdiansyah, Bunyamin Maftuh, &amp; Elly Malihah, 2023)","plainTextFormattedCitation":"(Nurdiansyah, Bunyamin Maftuh, &amp; Elly Malihah, 2023)","previouslyFormattedCitation":"(Nurdiansyah et al., 2023)"},"properties":{"noteIndex":0},"schema":"https://github.com/citation-style-language/schema/raw/master/csl-citation.json"}</w:instrText>
      </w:r>
      <w:r w:rsidRPr="005C24CD">
        <w:fldChar w:fldCharType="separate"/>
      </w:r>
      <w:r w:rsidR="00C11D39" w:rsidRPr="00C11D39">
        <w:rPr>
          <w:noProof/>
        </w:rPr>
        <w:t>(Nurdiansyah, Bunyamin Maftuh, &amp; Elly Malihah, 2023)</w:t>
      </w:r>
      <w:r w:rsidRPr="005C24CD">
        <w:fldChar w:fldCharType="end"/>
      </w:r>
      <w:r w:rsidRPr="005C24CD">
        <w:t xml:space="preserve">. The local wisdom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has many values ​​that can be developed and can be applied to history learning such as social values, moral values, religious values, and the value of unity </w:t>
      </w:r>
      <w:r w:rsidRPr="005C24CD">
        <w:fldChar w:fldCharType="begin" w:fldLock="1"/>
      </w:r>
      <w:r w:rsidRPr="005C24CD">
        <w:instrText>ADDIN CSL_CITATION {"citationItems":[{"id":"ITEM-1","itemData":{"author":[{"dropping-particle":"","family":"Siregar","given":"Syafril","non-dropping-particle":"","parse-names":false,"suffix":""}],"container-title":"MJal-HadiCIB: Multi Disipliner Ilmu KeIslaman Vol.","id":"ITEM-1","issue":"02","issued":{"date-parts":[["2023"]]},"page":"138-163","title":"Analysis Of Islamic Configuration In The Archipelago Towards Local Wisdom Of Malay Culture In Riau","type":"article-journal","volume":"01"},"uris":["http://www.mendeley.com/documents/?uuid=985ce724-fdbf-4a95-9b58-c983c06cb600"]}],"mendeley":{"formattedCitation":"(Siregar, 2023)","plainTextFormattedCitation":"(Siregar, 2023)","previouslyFormattedCitation":"(Siregar, 2023)"},"properties":{"noteIndex":0},"schema":"https://github.com/citation-style-language/schema/raw/master/csl-citation.json"}</w:instrText>
      </w:r>
      <w:r w:rsidRPr="005C24CD">
        <w:fldChar w:fldCharType="separate"/>
      </w:r>
      <w:r w:rsidRPr="005C24CD">
        <w:rPr>
          <w:noProof/>
        </w:rPr>
        <w:t>(Siregar, 2023)</w:t>
      </w:r>
      <w:r w:rsidRPr="005C24CD">
        <w:fldChar w:fldCharType="end"/>
      </w:r>
      <w:r w:rsidRPr="005C24CD">
        <w:t xml:space="preserve">. The local wisdom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can teach students the importance of respecting and glorifying other people, maintaining harmonious relationships in society, and developing a humble and loving attitude </w:t>
      </w:r>
      <w:r w:rsidRPr="005C24CD">
        <w:fldChar w:fldCharType="begin" w:fldLock="1"/>
      </w:r>
      <w:r w:rsidR="00C11D39">
        <w:instrText>ADDIN CSL_CITATION {"citationItems":[{"id":"ITEM-1","itemData":{"DOI":"10.20527/iis.v2i2.3076","ISSN":"2723-1119","abstract":"Kearifan lokal merupakan karaterisitk masyarakat di suatu daerah yang harus dijaga sebagai identitas konstruktif sekaligus sebagai filter bagi berbagai aspek kebudayaan luar yang destruktif. Dalam konteks demikian, kearifan lokal dipahami sebagai warisan dari generasi ke generasi agar tidak tergerus beragam unsur-unsur kebuduyaan luar. Karena itu pembelajaran kearifan lokal merupakan kebutuhan yang tidak terelakkan, satu diantaranya melalui pembelajaran Ilmu Pengetahun Sosial (IPS). Pembelajaran IPS merupakan sarana bagi terjaganya kearifan lokal. Penelitian melalui studi literatur ini bertujuan untuk mengidentifikasi pentingnya memanfaatkan konten kearifan lokal sebagai sumber belajar IPS. Studi pustaka dilakukan untuk mengumpulkan data dan informasi yang sesuai, kemudian dilakukan diskusi yang kemudian secara sitesis dinarasikan.  Hasil diskusi memastikan bahwa pembelajran IPS berbasis kearifan lokal menjadikan peserta didik dapat mengetahui, memahami, dan mempraktikkan dalam kehidupan sosial karakteristik lingkungan, baik lingkungan alam maupun lingkungan social sebagai sumber pembelajaran IPS.","author":[{"dropping-particle":"","family":"Jumriani","given":"Jumriani","non-dropping-particle":"","parse-names":false,"suffix":""},{"dropping-particle":"","family":"Mutiani","given":"Mutiani","non-dropping-particle":"","parse-names":false,"suffix":""},{"dropping-particle":"","family":"Putra","given":"Muhammad Adhitya Hidayat","non-dropping-particle":"","parse-names":false,"suffix":""},{"dropping-particle":"","family":"Syaharuddin","given":"Syaharuddin","non-dropping-particle":"","parse-names":false,"suffix":""},{"dropping-particle":"","family":"Abbas","given":"Ersis Warmansyah","non-dropping-particle":"","parse-names":false,"suffix":""}],"container-title":"The Innovation of Social Studies Journal","id":"ITEM-1","issue":"2","issued":{"date-parts":[["2021"]]},"page":"103","title":"The Urgency of Local Wisdom Content in Social Studies Learning: Literature Review","type":"article-journal","volume":"2"},"uris":["http://www.mendeley.com/documents/?uuid=ea766494-91d4-452f-b0a0-5247d2b4fe54"]},{"id":"ITEM-2","itemData":{"DOI":"10.29333/iji.2019.12323a","ISSN":"13081470","abstract":"This study reports the design results of developing model of social studies learning based on local wisdom. Learning design adapted to learning needs in elementary school. The presentation report contains the results of expert evaluation, teacher and student assessments and assessment of the results of the implementation of the product learning model developed. The Product model produced is seen to be in accordance with learning needs. The results of the development research showed that: first, testing the effectiveness model of social studies learning based on local wisdom is feasible from an expert perspective; second, testing the effectiveness model of social studies learning based on local wisdom is feasible from the user's perspective; third, testing the effectiveness model of social studies learning based on local wisdom can improve the knowledge and social attitudes students class IV at SDN 6 Katobu and SDN 3 Batalaiworu in odd semester of the school year 2017/2018 in the Muna District Southeast Sulawesi Province. Overall, the author concluded that social studies learning based on local wisdom was a regeneration of knowledge of the values of local wisdom in students from an early age, so become cultured and have guidance in their attitude. Thus, created noble knowledge and character.","author":[{"dropping-particle":"","family":"Uge","given":"Sarnely","non-dropping-particle":"","parse-names":false,"suffix":""},{"dropping-particle":"","family":"Neolaka","given":"Amos","non-dropping-particle":"","parse-names":false,"suffix":""},{"dropping-particle":"","family":"Yasin","given":"Mahmuddin","non-dropping-particle":"","parse-names":false,"suffix":""}],"container-title":"International Journal of Instruction","id":"ITEM-2","issue":"3","issued":{"date-parts":[["2019"]]},"page":"375-388","title":"Development of social studies learning model based on local wisdom in improving students' knowledge and social attitude","type":"article-journal","volume":"12"},"uris":["http://www.mendeley.com/documents/?uuid=0e94284c-6a8f-4e7e-9e7d-3c85d049349a"]}],"mendeley":{"formattedCitation":"(Jumriani, Mutiani, Putra, Syaharuddin, &amp; Abbas, 2021; Uge, Neolaka, &amp; Yasin, 2019)","plainTextFormattedCitation":"(Jumriani, Mutiani, Putra, Syaharuddin, &amp; Abbas, 2021; Uge, Neolaka, &amp; Yasin, 2019)","previouslyFormattedCitation":"(Jumriani et al., 2021; Uge et al., 2019)"},"properties":{"noteIndex":0},"schema":"https://github.com/citation-style-language/schema/raw/master/csl-citation.json"}</w:instrText>
      </w:r>
      <w:r w:rsidRPr="005C24CD">
        <w:fldChar w:fldCharType="separate"/>
      </w:r>
      <w:r w:rsidR="00C11D39" w:rsidRPr="00C11D39">
        <w:rPr>
          <w:noProof/>
        </w:rPr>
        <w:t>(Jumriani, Mutiani, Putra, Syaharuddin, &amp; Abbas, 2021; Uge, Neolaka, &amp; Yasin, 2019)</w:t>
      </w:r>
      <w:r w:rsidRPr="005C24CD">
        <w:fldChar w:fldCharType="end"/>
      </w:r>
      <w:r w:rsidRPr="005C24CD">
        <w:t xml:space="preserve">. Thus, developing character values ​​based on the wisdom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w:t>
      </w:r>
      <w:proofErr w:type="spellEnd"/>
      <w:r w:rsidRPr="005C24CD">
        <w:t xml:space="preserve"> not only enriches cultural identity, but also provides a strong foundation for a good and ethical student personality for each individual.</w:t>
      </w:r>
    </w:p>
    <w:p w14:paraId="618D17E3" w14:textId="77777777" w:rsidR="005C24CD" w:rsidRPr="005C24CD" w:rsidRDefault="005C24CD" w:rsidP="005C24CD">
      <w:pPr>
        <w:pStyle w:val="Alishlah31text"/>
      </w:pPr>
      <w:r w:rsidRPr="005C24CD">
        <w:t xml:space="preserve">The implementation of </w:t>
      </w:r>
      <w:proofErr w:type="spellStart"/>
      <w:r w:rsidRPr="005C24CD">
        <w:t>Tepuk</w:t>
      </w:r>
      <w:proofErr w:type="spellEnd"/>
      <w:r w:rsidRPr="005C24CD">
        <w:t xml:space="preserve"> </w:t>
      </w:r>
      <w:proofErr w:type="spellStart"/>
      <w:r w:rsidRPr="005C24CD">
        <w:t>tepung</w:t>
      </w:r>
      <w:proofErr w:type="spellEnd"/>
      <w:r w:rsidRPr="005C24CD">
        <w:t xml:space="preserve"> </w:t>
      </w:r>
      <w:proofErr w:type="spellStart"/>
      <w:r w:rsidRPr="005C24CD">
        <w:t>tawar's</w:t>
      </w:r>
      <w:proofErr w:type="spellEnd"/>
      <w:r w:rsidRPr="005C24CD">
        <w:t xml:space="preserve"> local wisdom values in studying history gives various benefits, including: 1) the introduction of local wisdom, students will learn to understand and maintain local wisdom values; 2) Introducing local wisdom to pupils provides an understanding of how cultural diversity and traditions can enrich life and respect differences between individuals; 3) Character formation based on local wisdom can help students become more sensitive to social problems that occur in the surrounding environment. By understanding local wisdom, students will learn to find solutions that suit their cultural values ​​and contribute positively to society.</w:t>
      </w:r>
    </w:p>
    <w:p w14:paraId="41629262" w14:textId="6FF03411" w:rsidR="00C11D39" w:rsidRPr="00C11D39" w:rsidRDefault="005B5AEC" w:rsidP="002B31FD">
      <w:pPr>
        <w:pStyle w:val="Alishlah21heading1"/>
        <w:rPr>
          <w:rFonts w:eastAsia="Arial"/>
        </w:rPr>
      </w:pPr>
      <w:r w:rsidRPr="00443C4D">
        <w:rPr>
          <w:rFonts w:eastAsia="Arial"/>
        </w:rPr>
        <w:t xml:space="preserve">CONCLUSION </w:t>
      </w:r>
    </w:p>
    <w:p w14:paraId="34194E97" w14:textId="1CB50675" w:rsidR="002B31FD" w:rsidRPr="00C11D39" w:rsidRDefault="00C11D39" w:rsidP="00C11D39">
      <w:pPr>
        <w:pStyle w:val="Alishlah31text"/>
      </w:pPr>
      <w:r w:rsidRPr="00C11D39">
        <w:t xml:space="preserve">The research results demonstrate that integrating the local wisdom values of </w:t>
      </w:r>
      <w:proofErr w:type="spellStart"/>
      <w:r w:rsidRPr="00C11D39">
        <w:t>Tepuk</w:t>
      </w:r>
      <w:proofErr w:type="spellEnd"/>
      <w:r w:rsidRPr="00C11D39">
        <w:t xml:space="preserve"> </w:t>
      </w:r>
      <w:proofErr w:type="spellStart"/>
      <w:r w:rsidRPr="00C11D39">
        <w:t>Tepung</w:t>
      </w:r>
      <w:proofErr w:type="spellEnd"/>
      <w:r w:rsidRPr="00C11D39">
        <w:t xml:space="preserve"> </w:t>
      </w:r>
      <w:proofErr w:type="spellStart"/>
      <w:r w:rsidRPr="00C11D39">
        <w:t>Tawar</w:t>
      </w:r>
      <w:proofErr w:type="spellEnd"/>
      <w:r w:rsidRPr="00C11D39">
        <w:t xml:space="preserve"> can boost pupils' character values. The t-test reveals a significant result of less than 0.05., where there is a difference before and after implementing the local wisdom values of </w:t>
      </w:r>
      <w:proofErr w:type="spellStart"/>
      <w:r w:rsidRPr="00C11D39">
        <w:t>Tepuk</w:t>
      </w:r>
      <w:proofErr w:type="spellEnd"/>
      <w:r w:rsidRPr="00C11D39">
        <w:t xml:space="preserve"> </w:t>
      </w:r>
      <w:proofErr w:type="spellStart"/>
      <w:r w:rsidRPr="00C11D39">
        <w:t>tepung</w:t>
      </w:r>
      <w:proofErr w:type="spellEnd"/>
      <w:r w:rsidRPr="00C11D39">
        <w:t xml:space="preserve"> </w:t>
      </w:r>
      <w:proofErr w:type="spellStart"/>
      <w:r w:rsidRPr="00C11D39">
        <w:t>tawar</w:t>
      </w:r>
      <w:proofErr w:type="spellEnd"/>
      <w:r w:rsidRPr="00C11D39">
        <w:t xml:space="preserve">, while the N-Gain test shows an increase in student character values by 70%. These results illustrate that character development based on local wisdom not only enriches cultural identity, but also provides a solid foundation for the formation of good personalities in students. Thus, </w:t>
      </w:r>
      <w:proofErr w:type="gramStart"/>
      <w:r w:rsidRPr="00C11D39">
        <w:t>It</w:t>
      </w:r>
      <w:proofErr w:type="gramEnd"/>
      <w:r w:rsidRPr="00C11D39">
        <w:t xml:space="preserve"> is possible to </w:t>
      </w:r>
      <w:r w:rsidRPr="00C11D39">
        <w:lastRenderedPageBreak/>
        <w:t>infer that character development based on local wisdom contributes positively to the formation of student character and enhances local wisdom values in the educational setting. Limitations in this research are mainly related to the limitation of the trial which was only carried out in one school. Apart from that, the focus of this research is only limited to the application of local wisdom character values, so it does not include the diversity of other local values and culture. It is hoped that future research can increase sample coverage by involving different schools and communities, as well as exploring various aspects of character values from different local wisdom.</w:t>
      </w:r>
    </w:p>
    <w:p w14:paraId="49E8D8A3" w14:textId="77777777" w:rsidR="005B5AEC" w:rsidRPr="00443C4D" w:rsidRDefault="005B5AEC" w:rsidP="002A02C2">
      <w:pPr>
        <w:pStyle w:val="Alishlah21heading1"/>
        <w:numPr>
          <w:ilvl w:val="0"/>
          <w:numId w:val="0"/>
        </w:numPr>
        <w:rPr>
          <w:rFonts w:eastAsia="Arial"/>
        </w:rPr>
      </w:pPr>
      <w:r w:rsidRPr="00443C4D">
        <w:rPr>
          <w:rFonts w:eastAsia="Arial"/>
        </w:rPr>
        <w:t>REFERENCES</w:t>
      </w:r>
    </w:p>
    <w:p w14:paraId="624AA502" w14:textId="610810DE"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C11D39">
        <w:rPr>
          <w:rFonts w:ascii="Palatino Linotype" w:hAnsi="Palatino Linotype" w:cs="Times New Roman"/>
          <w:noProof/>
          <w:sz w:val="20"/>
          <w:szCs w:val="24"/>
        </w:rPr>
        <w:t xml:space="preserve">Abdullah, I., Hudayana, B., Setiadi, Kutanegara, P. M., &amp; Indiyanto, A. (2019). Beyond School Reach: Character Education in Three Schools in Yogyakarta, Indonesia. </w:t>
      </w:r>
      <w:r w:rsidRPr="00C11D39">
        <w:rPr>
          <w:rFonts w:ascii="Palatino Linotype" w:hAnsi="Palatino Linotype" w:cs="Times New Roman"/>
          <w:i/>
          <w:iCs/>
          <w:noProof/>
          <w:sz w:val="20"/>
          <w:szCs w:val="24"/>
        </w:rPr>
        <w:t>Journal of Educational and Social Research</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9</w:t>
      </w:r>
      <w:r w:rsidRPr="00C11D39">
        <w:rPr>
          <w:rFonts w:ascii="Palatino Linotype" w:hAnsi="Palatino Linotype" w:cs="Times New Roman"/>
          <w:noProof/>
          <w:sz w:val="20"/>
          <w:szCs w:val="24"/>
        </w:rPr>
        <w:t>(3), 145–159. https://doi.org/10.2478/jesr-2019-0032</w:t>
      </w:r>
    </w:p>
    <w:p w14:paraId="64A91A09"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Ardiansyah, O., &amp; Masrokhin, M. (2023). The Tradition of Tepuk Tepung Tawar in Malay Weddings from the Perspective of Islamic Law: A Case Study at Tanjungpinang, Riau Islands. </w:t>
      </w:r>
      <w:r w:rsidRPr="00C11D39">
        <w:rPr>
          <w:rFonts w:ascii="Palatino Linotype" w:hAnsi="Palatino Linotype" w:cs="Times New Roman"/>
          <w:i/>
          <w:iCs/>
          <w:noProof/>
          <w:sz w:val="20"/>
          <w:szCs w:val="24"/>
        </w:rPr>
        <w:t>El-Usrah: Jurnal Hukum Keluarga</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46</w:t>
      </w:r>
      <w:r w:rsidRPr="00C11D39">
        <w:rPr>
          <w:rFonts w:ascii="Palatino Linotype" w:hAnsi="Palatino Linotype" w:cs="Times New Roman"/>
          <w:noProof/>
          <w:sz w:val="20"/>
          <w:szCs w:val="24"/>
        </w:rPr>
        <w:t>(3), 2023. Retrieved from http://doi.org/10.34354/ohpfjrnl.46.3_77</w:t>
      </w:r>
    </w:p>
    <w:p w14:paraId="4658C314"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Arizaldy, Solihat, R., Riandi, R., &amp; Firman, H. (2021). Analysis of the Potential of Lubuk Larangan Local Wisdom in Science Learning in Junior High Schools. </w:t>
      </w:r>
      <w:r w:rsidRPr="00C11D39">
        <w:rPr>
          <w:rFonts w:ascii="Palatino Linotype" w:hAnsi="Palatino Linotype" w:cs="Times New Roman"/>
          <w:i/>
          <w:iCs/>
          <w:noProof/>
          <w:sz w:val="20"/>
          <w:szCs w:val="24"/>
        </w:rPr>
        <w:t>Unnes Science Education Journal</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10</w:t>
      </w:r>
      <w:r w:rsidRPr="00C11D39">
        <w:rPr>
          <w:rFonts w:ascii="Palatino Linotype" w:hAnsi="Palatino Linotype" w:cs="Times New Roman"/>
          <w:noProof/>
          <w:sz w:val="20"/>
          <w:szCs w:val="24"/>
        </w:rPr>
        <w:t>(3), 145–150. https://doi.org/10.15294/usej.v10i3.46695</w:t>
      </w:r>
    </w:p>
    <w:p w14:paraId="5640C11D"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Atika, A., Arifin, Z., &amp; Jannana, N. S. (2021). Integrated School Management-Character Education Affirmation: a Case Study in Muhammadiyah Wirobrajan 3 Elementary School Yogyakarta. </w:t>
      </w:r>
      <w:r w:rsidRPr="00C11D39">
        <w:rPr>
          <w:rFonts w:ascii="Palatino Linotype" w:hAnsi="Palatino Linotype" w:cs="Times New Roman"/>
          <w:i/>
          <w:iCs/>
          <w:noProof/>
          <w:sz w:val="20"/>
          <w:szCs w:val="24"/>
        </w:rPr>
        <w:t>AL-TANZIM: Jurnal Manajemen Pendidikan Islam</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5</w:t>
      </w:r>
      <w:r w:rsidRPr="00C11D39">
        <w:rPr>
          <w:rFonts w:ascii="Palatino Linotype" w:hAnsi="Palatino Linotype" w:cs="Times New Roman"/>
          <w:noProof/>
          <w:sz w:val="20"/>
          <w:szCs w:val="24"/>
        </w:rPr>
        <w:t>(2), 15–26. https://doi.org/10.33650/al-tanzim.v5i2.1970</w:t>
      </w:r>
    </w:p>
    <w:p w14:paraId="0D3D5020"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Bietti, E. (2020). From ethics washing to ethics bashing. </w:t>
      </w:r>
      <w:r w:rsidRPr="00C11D39">
        <w:rPr>
          <w:rFonts w:ascii="Palatino Linotype" w:hAnsi="Palatino Linotype" w:cs="Times New Roman"/>
          <w:i/>
          <w:iCs/>
          <w:noProof/>
          <w:sz w:val="20"/>
          <w:szCs w:val="24"/>
        </w:rPr>
        <w:t>Proceedings of the 2020 Conference on Fairness, Accountability, and Transparency</w:t>
      </w:r>
      <w:r w:rsidRPr="00C11D39">
        <w:rPr>
          <w:rFonts w:ascii="Palatino Linotype" w:hAnsi="Palatino Linotype" w:cs="Times New Roman"/>
          <w:noProof/>
          <w:sz w:val="20"/>
          <w:szCs w:val="24"/>
        </w:rPr>
        <w:t>, 210–219. https://doi.org/10.1145/3351095.3372860</w:t>
      </w:r>
    </w:p>
    <w:p w14:paraId="0437A642"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Handayani Tyas, E., &amp; Naibaho, L. (2020). Building Superior Human Resources through Character Education. </w:t>
      </w:r>
      <w:r w:rsidRPr="00C11D39">
        <w:rPr>
          <w:rFonts w:ascii="Palatino Linotype" w:hAnsi="Palatino Linotype" w:cs="Times New Roman"/>
          <w:i/>
          <w:iCs/>
          <w:noProof/>
          <w:sz w:val="20"/>
          <w:szCs w:val="24"/>
        </w:rPr>
        <w:t>Test Engineering &amp; Management</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83</w:t>
      </w:r>
      <w:r w:rsidRPr="00C11D39">
        <w:rPr>
          <w:rFonts w:ascii="Palatino Linotype" w:hAnsi="Palatino Linotype" w:cs="Times New Roman"/>
          <w:noProof/>
          <w:sz w:val="20"/>
          <w:szCs w:val="24"/>
        </w:rPr>
        <w:t>, 11864–11873.</w:t>
      </w:r>
    </w:p>
    <w:p w14:paraId="65F1E227"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Haryanto, R., &amp; Kurnia, H. (2023). H.O.S Tjokroaminoto’s Islamic Education Concept And its Relevance to Character Education. </w:t>
      </w:r>
      <w:r w:rsidRPr="00C11D39">
        <w:rPr>
          <w:rFonts w:ascii="Palatino Linotype" w:hAnsi="Palatino Linotype" w:cs="Times New Roman"/>
          <w:i/>
          <w:iCs/>
          <w:noProof/>
          <w:sz w:val="20"/>
          <w:szCs w:val="24"/>
        </w:rPr>
        <w:t>Jurnal Penelitian Keislaman</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19</w:t>
      </w:r>
      <w:r w:rsidRPr="00C11D39">
        <w:rPr>
          <w:rFonts w:ascii="Palatino Linotype" w:hAnsi="Palatino Linotype" w:cs="Times New Roman"/>
          <w:noProof/>
          <w:sz w:val="20"/>
          <w:szCs w:val="24"/>
        </w:rPr>
        <w:t>(1), 59–76. https://doi.org/10.20414/jpk.v19i1.7170</w:t>
      </w:r>
    </w:p>
    <w:p w14:paraId="0B7DEA82"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Hidayati, N. A., Waluyo, H. J., Winarni, R., &amp; Suyitno. (2020). Exploring the implementation of local wisdom-based character education among indonesian higher education students. </w:t>
      </w:r>
      <w:r w:rsidRPr="00C11D39">
        <w:rPr>
          <w:rFonts w:ascii="Palatino Linotype" w:hAnsi="Palatino Linotype" w:cs="Times New Roman"/>
          <w:i/>
          <w:iCs/>
          <w:noProof/>
          <w:sz w:val="20"/>
          <w:szCs w:val="24"/>
        </w:rPr>
        <w:t>International Journal of Instruction</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13</w:t>
      </w:r>
      <w:r w:rsidRPr="00C11D39">
        <w:rPr>
          <w:rFonts w:ascii="Palatino Linotype" w:hAnsi="Palatino Linotype" w:cs="Times New Roman"/>
          <w:noProof/>
          <w:sz w:val="20"/>
          <w:szCs w:val="24"/>
        </w:rPr>
        <w:t>(2), 179–198. https://doi.org/10.29333/iji.2020.13213a</w:t>
      </w:r>
    </w:p>
    <w:p w14:paraId="789A25C2"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Hikmawati, Suastra, I. W., &amp; Pujani, N. M. (2021). Local wisdom in Lombok island with the potential of ethnoscience for the development of learning models in junior high school. </w:t>
      </w:r>
      <w:r w:rsidRPr="00C11D39">
        <w:rPr>
          <w:rFonts w:ascii="Palatino Linotype" w:hAnsi="Palatino Linotype" w:cs="Times New Roman"/>
          <w:i/>
          <w:iCs/>
          <w:noProof/>
          <w:sz w:val="20"/>
          <w:szCs w:val="24"/>
        </w:rPr>
        <w:t>Journal of Physics: Conference Series</w:t>
      </w:r>
      <w:r w:rsidRPr="00C11D39">
        <w:rPr>
          <w:rFonts w:ascii="Palatino Linotype" w:hAnsi="Palatino Linotype" w:cs="Times New Roman"/>
          <w:noProof/>
          <w:sz w:val="20"/>
          <w:szCs w:val="24"/>
        </w:rPr>
        <w:t>. https://doi.org/10.1088/1742-6596/1816/1/012105</w:t>
      </w:r>
    </w:p>
    <w:p w14:paraId="4CA78DF2"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Jumriani, J., Mutiani, M., Putra, M. A. H., Syaharuddin, S., &amp; Abbas, E. W. (2021). The Urgency of Local Wisdom Content in Social Studies Learning: Literature Review. </w:t>
      </w:r>
      <w:r w:rsidRPr="00C11D39">
        <w:rPr>
          <w:rFonts w:ascii="Palatino Linotype" w:hAnsi="Palatino Linotype" w:cs="Times New Roman"/>
          <w:i/>
          <w:iCs/>
          <w:noProof/>
          <w:sz w:val="20"/>
          <w:szCs w:val="24"/>
        </w:rPr>
        <w:t>The Innovation of Social Studies Journal</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2</w:t>
      </w:r>
      <w:r w:rsidRPr="00C11D39">
        <w:rPr>
          <w:rFonts w:ascii="Palatino Linotype" w:hAnsi="Palatino Linotype" w:cs="Times New Roman"/>
          <w:noProof/>
          <w:sz w:val="20"/>
          <w:szCs w:val="24"/>
        </w:rPr>
        <w:t>(2), 103. https://doi.org/10.20527/iis.v2i2.3076</w:t>
      </w:r>
    </w:p>
    <w:p w14:paraId="52FD4A2A"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Karimova, M. O., Saidullaeva, A. R., State, F., Student, D., Karimova, O., The, O., … Value, K.-. (2020). Pedagogical Basis of the Use of Universal and National Values in the Spiritual and Moral Education of Children. </w:t>
      </w:r>
      <w:r w:rsidRPr="00C11D39">
        <w:rPr>
          <w:rFonts w:ascii="Palatino Linotype" w:hAnsi="Palatino Linotype" w:cs="Times New Roman"/>
          <w:i/>
          <w:iCs/>
          <w:noProof/>
          <w:sz w:val="20"/>
          <w:szCs w:val="24"/>
        </w:rPr>
        <w:t>PalArch’s Journal of Archaeology of Egypt</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17</w:t>
      </w:r>
      <w:r w:rsidRPr="00C11D39">
        <w:rPr>
          <w:rFonts w:ascii="Palatino Linotype" w:hAnsi="Palatino Linotype" w:cs="Times New Roman"/>
          <w:noProof/>
          <w:sz w:val="20"/>
          <w:szCs w:val="24"/>
        </w:rPr>
        <w:t>(7), 8547–8555.</w:t>
      </w:r>
    </w:p>
    <w:p w14:paraId="5A131183"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Khaidir, E., &amp; Suud, F. M. (2020). Islamic Education in Forming Students’ Characters At As-Shofa Islamic High School, Pekanbaru Riau. </w:t>
      </w:r>
      <w:r w:rsidRPr="00C11D39">
        <w:rPr>
          <w:rFonts w:ascii="Palatino Linotype" w:hAnsi="Palatino Linotype" w:cs="Times New Roman"/>
          <w:i/>
          <w:iCs/>
          <w:noProof/>
          <w:sz w:val="20"/>
          <w:szCs w:val="24"/>
        </w:rPr>
        <w:t>International Journal of Islamic Educational Psychology (IJIEP)</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1</w:t>
      </w:r>
      <w:r w:rsidRPr="00C11D39">
        <w:rPr>
          <w:rFonts w:ascii="Palatino Linotype" w:hAnsi="Palatino Linotype" w:cs="Times New Roman"/>
          <w:noProof/>
          <w:sz w:val="20"/>
          <w:szCs w:val="24"/>
        </w:rPr>
        <w:t>(1), 50–63. https://doi.org/10.18196/ijiep.1105</w:t>
      </w:r>
    </w:p>
    <w:p w14:paraId="2893A9C8"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Kiritin, A., &amp; Darsono, K. (2019). The Importance of Character Education in Forming Mental Quality of Enterpreneurs to Open Work Fields. </w:t>
      </w:r>
      <w:r w:rsidRPr="00C11D39">
        <w:rPr>
          <w:rFonts w:ascii="Palatino Linotype" w:hAnsi="Palatino Linotype" w:cs="Times New Roman"/>
          <w:i/>
          <w:iCs/>
          <w:noProof/>
          <w:sz w:val="20"/>
          <w:szCs w:val="24"/>
        </w:rPr>
        <w:t>International Journal on Recent Trends in Business and Tourism</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3</w:t>
      </w:r>
      <w:r w:rsidRPr="00C11D39">
        <w:rPr>
          <w:rFonts w:ascii="Palatino Linotype" w:hAnsi="Palatino Linotype" w:cs="Times New Roman"/>
          <w:noProof/>
          <w:sz w:val="20"/>
          <w:szCs w:val="24"/>
        </w:rPr>
        <w:t>(2), 13–20.</w:t>
      </w:r>
    </w:p>
    <w:p w14:paraId="43E5134E"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Komariah, N., &amp; Nihayah, I. (2023). Improving The Personality Character of Students Through Learning Islamic Religious Education. </w:t>
      </w:r>
      <w:r w:rsidRPr="00C11D39">
        <w:rPr>
          <w:rFonts w:ascii="Palatino Linotype" w:hAnsi="Palatino Linotype" w:cs="Times New Roman"/>
          <w:i/>
          <w:iCs/>
          <w:noProof/>
          <w:sz w:val="20"/>
          <w:szCs w:val="24"/>
        </w:rPr>
        <w:t>At-Tadzkir: Islamic Education Journal</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2</w:t>
      </w:r>
      <w:r w:rsidRPr="00C11D39">
        <w:rPr>
          <w:rFonts w:ascii="Palatino Linotype" w:hAnsi="Palatino Linotype" w:cs="Times New Roman"/>
          <w:noProof/>
          <w:sz w:val="20"/>
          <w:szCs w:val="24"/>
        </w:rPr>
        <w:t>(1), 65–77. https://doi.org/10.59373/attadzkir.v2i1.15</w:t>
      </w:r>
    </w:p>
    <w:p w14:paraId="46227346"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lastRenderedPageBreak/>
        <w:t xml:space="preserve">Loh, X. K., Lee, V. H., Loh, X. M., Tan, G. W. H., Ooi, K. B., &amp; Dwivedi, Y. K. (2022). The Dark Side of Mobile Learning via Social Media: How Bad Can It Get? </w:t>
      </w:r>
      <w:r w:rsidRPr="00C11D39">
        <w:rPr>
          <w:rFonts w:ascii="Palatino Linotype" w:hAnsi="Palatino Linotype" w:cs="Times New Roman"/>
          <w:i/>
          <w:iCs/>
          <w:noProof/>
          <w:sz w:val="20"/>
          <w:szCs w:val="24"/>
        </w:rPr>
        <w:t>Information Systems Frontiers</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24</w:t>
      </w:r>
      <w:r w:rsidRPr="00C11D39">
        <w:rPr>
          <w:rFonts w:ascii="Palatino Linotype" w:hAnsi="Palatino Linotype" w:cs="Times New Roman"/>
          <w:noProof/>
          <w:sz w:val="20"/>
          <w:szCs w:val="24"/>
        </w:rPr>
        <w:t>(6), 1887–1904. https://doi.org/10.1007/s10796-021-10202-z</w:t>
      </w:r>
    </w:p>
    <w:p w14:paraId="32AD1966"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Maharani, S. T., &amp; Muhtar, T. (2024). Implementasi Pembelajaran Berbasis Kearifan Lokal untuk Meningkatkan Karakter Siswa. </w:t>
      </w:r>
      <w:r w:rsidRPr="00C11D39">
        <w:rPr>
          <w:rFonts w:ascii="Palatino Linotype" w:hAnsi="Palatino Linotype" w:cs="Times New Roman"/>
          <w:i/>
          <w:iCs/>
          <w:noProof/>
          <w:sz w:val="20"/>
          <w:szCs w:val="24"/>
        </w:rPr>
        <w:t>Jurnal Basicedu</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8</w:t>
      </w:r>
      <w:r w:rsidRPr="00C11D39">
        <w:rPr>
          <w:rFonts w:ascii="Palatino Linotype" w:hAnsi="Palatino Linotype" w:cs="Times New Roman"/>
          <w:noProof/>
          <w:sz w:val="20"/>
          <w:szCs w:val="24"/>
        </w:rPr>
        <w:t>(1), 466–467. Retrieved from https://journal.uii.ac.id/ajie/article/view/971</w:t>
      </w:r>
    </w:p>
    <w:p w14:paraId="35B43725"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Mariatik, M., Maizatul, M., &amp; Jailani, A. (2023). Tradisi Tepuk Tepung Tawar Dalam Perspektif Islam Masyarakat Melayu Riau Di Desa Pangkalan Nyirih Kecamatan Rupat Kabupaten Bengkalis. </w:t>
      </w:r>
      <w:r w:rsidRPr="00C11D39">
        <w:rPr>
          <w:rFonts w:ascii="Palatino Linotype" w:hAnsi="Palatino Linotype" w:cs="Times New Roman"/>
          <w:i/>
          <w:iCs/>
          <w:noProof/>
          <w:sz w:val="20"/>
          <w:szCs w:val="24"/>
        </w:rPr>
        <w:t>Jurnal Al-Kifayah: Ilmu Tarbiyah Dan Keguruan</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2</w:t>
      </w:r>
      <w:r w:rsidRPr="00C11D39">
        <w:rPr>
          <w:rFonts w:ascii="Palatino Linotype" w:hAnsi="Palatino Linotype" w:cs="Times New Roman"/>
          <w:noProof/>
          <w:sz w:val="20"/>
          <w:szCs w:val="24"/>
        </w:rPr>
        <w:t>(2), 268–280. https://doi.org/10.53398/ja.v2i2.317</w:t>
      </w:r>
    </w:p>
    <w:p w14:paraId="5DB45F28"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Nabillah, P., &amp; Nisa, A. K. (2024). the Influence of Instilling Pancasila Values on Strengthening the Character of Elementary School Students. </w:t>
      </w:r>
      <w:r w:rsidRPr="00C11D39">
        <w:rPr>
          <w:rFonts w:ascii="Palatino Linotype" w:hAnsi="Palatino Linotype" w:cs="Times New Roman"/>
          <w:i/>
          <w:iCs/>
          <w:noProof/>
          <w:sz w:val="20"/>
          <w:szCs w:val="24"/>
        </w:rPr>
        <w:t>International Journal of Students Education</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1</w:t>
      </w:r>
      <w:r w:rsidRPr="00C11D39">
        <w:rPr>
          <w:rFonts w:ascii="Palatino Linotype" w:hAnsi="Palatino Linotype" w:cs="Times New Roman"/>
          <w:noProof/>
          <w:sz w:val="20"/>
          <w:szCs w:val="24"/>
        </w:rPr>
        <w:t>(1), 90–94.</w:t>
      </w:r>
    </w:p>
    <w:p w14:paraId="6BB35DC4"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Nurdiansyah, E., Bunyamin Maftuh, &amp; Elly Malihah. (2023). Tepung Tawar Perdamaian: Resolusi Konflik Berlandaskan Nilai-Nilai Pancasila di Sumatera Selatan. </w:t>
      </w:r>
      <w:r w:rsidRPr="00C11D39">
        <w:rPr>
          <w:rFonts w:ascii="Palatino Linotype" w:hAnsi="Palatino Linotype" w:cs="Times New Roman"/>
          <w:i/>
          <w:iCs/>
          <w:noProof/>
          <w:sz w:val="20"/>
          <w:szCs w:val="24"/>
        </w:rPr>
        <w:t>Satwika</w:t>
      </w:r>
      <w:r w:rsidRPr="00C11D39">
        <w:rPr>
          <w:rFonts w:ascii="Times New Roman" w:hAnsi="Times New Roman" w:cs="Times New Roman"/>
          <w:i/>
          <w:iCs/>
          <w:noProof/>
          <w:sz w:val="20"/>
          <w:szCs w:val="24"/>
        </w:rPr>
        <w:t> </w:t>
      </w:r>
      <w:r w:rsidRPr="00C11D39">
        <w:rPr>
          <w:rFonts w:ascii="Palatino Linotype" w:hAnsi="Palatino Linotype" w:cs="Times New Roman"/>
          <w:i/>
          <w:iCs/>
          <w:noProof/>
          <w:sz w:val="20"/>
          <w:szCs w:val="24"/>
        </w:rPr>
        <w:t>: Kajian Ilmu Budaya Dan Perubahan Sosial</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7</w:t>
      </w:r>
      <w:r w:rsidRPr="00C11D39">
        <w:rPr>
          <w:rFonts w:ascii="Palatino Linotype" w:hAnsi="Palatino Linotype" w:cs="Times New Roman"/>
          <w:noProof/>
          <w:sz w:val="20"/>
          <w:szCs w:val="24"/>
        </w:rPr>
        <w:t>(2), 285–294. https://doi.org/10.22219/satwika.v7i2.26352</w:t>
      </w:r>
    </w:p>
    <w:p w14:paraId="5B21190B"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Pradita, L., Sumarlam, S., Saddono, K., &amp; Rohmadi, M. (2018). Strengthening the Character of Students Based on Local Cultural Wisdom in “Petatah Petitih Sunan Gunung Jati.” </w:t>
      </w:r>
      <w:r w:rsidRPr="00C11D39">
        <w:rPr>
          <w:rFonts w:ascii="Palatino Linotype" w:hAnsi="Palatino Linotype" w:cs="Times New Roman"/>
          <w:i/>
          <w:iCs/>
          <w:noProof/>
          <w:sz w:val="20"/>
          <w:szCs w:val="24"/>
        </w:rPr>
        <w:t>Proceedings of the 1st International Conference on Science and Technology for an Internet of Things,</w:t>
      </w:r>
      <w:r w:rsidRPr="00C11D39">
        <w:rPr>
          <w:rFonts w:ascii="Palatino Linotype" w:hAnsi="Palatino Linotype" w:cs="Times New Roman"/>
          <w:noProof/>
          <w:sz w:val="20"/>
          <w:szCs w:val="24"/>
        </w:rPr>
        <w:t>. https://doi.org/10.4108/eai.19-10-2018.2281394</w:t>
      </w:r>
    </w:p>
    <w:p w14:paraId="1FCAAA1E"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Rehayati, R., Hasbi, M. R., &amp; Martius. (2023). An Exploration of Local Wisdom: Rites of Passage in Malay Culture in Riau and Palembang. </w:t>
      </w:r>
      <w:r w:rsidRPr="00C11D39">
        <w:rPr>
          <w:rFonts w:ascii="Palatino Linotype" w:hAnsi="Palatino Linotype" w:cs="Times New Roman"/>
          <w:i/>
          <w:iCs/>
          <w:noProof/>
          <w:sz w:val="20"/>
          <w:szCs w:val="24"/>
        </w:rPr>
        <w:t>International Journal of Social Science Research and Review</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5</w:t>
      </w:r>
      <w:r w:rsidRPr="00C11D39">
        <w:rPr>
          <w:rFonts w:ascii="Palatino Linotype" w:hAnsi="Palatino Linotype" w:cs="Times New Roman"/>
          <w:noProof/>
          <w:sz w:val="20"/>
          <w:szCs w:val="24"/>
        </w:rPr>
        <w:t>(1), 159–165.</w:t>
      </w:r>
    </w:p>
    <w:p w14:paraId="3CED02B0"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Sarbaitinil, S., Rudagi, R., Rahmat, I., Elfemi, N., &amp; Isnaini, I. (2023). Expressing Philosophical Discourse In Pencak Silat As A Pillar of Character Education And Strengthening Social Ties In Society. </w:t>
      </w:r>
      <w:r w:rsidRPr="00C11D39">
        <w:rPr>
          <w:rFonts w:ascii="Palatino Linotype" w:hAnsi="Palatino Linotype" w:cs="Times New Roman"/>
          <w:i/>
          <w:iCs/>
          <w:noProof/>
          <w:sz w:val="20"/>
          <w:szCs w:val="24"/>
        </w:rPr>
        <w:t>Journal of Pragmatics and Discourse Research</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3</w:t>
      </w:r>
      <w:r w:rsidRPr="00C11D39">
        <w:rPr>
          <w:rFonts w:ascii="Palatino Linotype" w:hAnsi="Palatino Linotype" w:cs="Times New Roman"/>
          <w:noProof/>
          <w:sz w:val="20"/>
          <w:szCs w:val="24"/>
        </w:rPr>
        <w:t>(2), 150–162. https://doi.org/10.51817/jpdr.v3i2.301</w:t>
      </w:r>
    </w:p>
    <w:p w14:paraId="6B8CDFD8"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Singh, B. (2019). Character education in the 21st century. </w:t>
      </w:r>
      <w:r w:rsidRPr="00C11D39">
        <w:rPr>
          <w:rFonts w:ascii="Palatino Linotype" w:hAnsi="Palatino Linotype" w:cs="Times New Roman"/>
          <w:i/>
          <w:iCs/>
          <w:noProof/>
          <w:sz w:val="20"/>
          <w:szCs w:val="24"/>
        </w:rPr>
        <w:t>Journal of Social Studies (JSS)</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15</w:t>
      </w:r>
      <w:r w:rsidRPr="00C11D39">
        <w:rPr>
          <w:rFonts w:ascii="Palatino Linotype" w:hAnsi="Palatino Linotype" w:cs="Times New Roman"/>
          <w:noProof/>
          <w:sz w:val="20"/>
          <w:szCs w:val="24"/>
        </w:rPr>
        <w:t>(1), 1–12. https://doi.org/10.21831/jss.v15i1.25226</w:t>
      </w:r>
    </w:p>
    <w:p w14:paraId="16744D5E"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Siregar, S. (2023). Analysis Of Islamic Configuration In The Archipelago Towards Local Wisdom Of Malay Culture In Riau. </w:t>
      </w:r>
      <w:r w:rsidRPr="00C11D39">
        <w:rPr>
          <w:rFonts w:ascii="Palatino Linotype" w:hAnsi="Palatino Linotype" w:cs="Times New Roman"/>
          <w:i/>
          <w:iCs/>
          <w:noProof/>
          <w:sz w:val="20"/>
          <w:szCs w:val="24"/>
        </w:rPr>
        <w:t>MJal-HadiCIB: Multi Disipliner Ilmu KeIslaman Vol.</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01</w:t>
      </w:r>
      <w:r w:rsidRPr="00C11D39">
        <w:rPr>
          <w:rFonts w:ascii="Palatino Linotype" w:hAnsi="Palatino Linotype" w:cs="Times New Roman"/>
          <w:noProof/>
          <w:sz w:val="20"/>
          <w:szCs w:val="24"/>
        </w:rPr>
        <w:t>(02), 138–163.</w:t>
      </w:r>
    </w:p>
    <w:p w14:paraId="06C8D835"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Taufik, M. (2020). Strategic Role of Islamic Religious Education in Strengthening Character Education in the Era of Industrial Revolution 4.0. </w:t>
      </w:r>
      <w:r w:rsidRPr="00C11D39">
        <w:rPr>
          <w:rFonts w:ascii="Palatino Linotype" w:hAnsi="Palatino Linotype" w:cs="Times New Roman"/>
          <w:i/>
          <w:iCs/>
          <w:noProof/>
          <w:sz w:val="20"/>
          <w:szCs w:val="24"/>
        </w:rPr>
        <w:t>Jurnal Ilmiah Islam Futura</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20</w:t>
      </w:r>
      <w:r w:rsidRPr="00C11D39">
        <w:rPr>
          <w:rFonts w:ascii="Palatino Linotype" w:hAnsi="Palatino Linotype" w:cs="Times New Roman"/>
          <w:noProof/>
          <w:sz w:val="20"/>
          <w:szCs w:val="24"/>
        </w:rPr>
        <w:t>(1), 86–104. https://doi.org/10.22373/jiif.v20i1.5797</w:t>
      </w:r>
    </w:p>
    <w:p w14:paraId="621B208D"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Tohri, A., Rasyad, A., Sururuddin, M., &amp; Istiqlal, L. M. (2022). The urgency of Sasak local wisdom-based character education for elementary school in East Lombok, Indonesia. </w:t>
      </w:r>
      <w:r w:rsidRPr="00C11D39">
        <w:rPr>
          <w:rFonts w:ascii="Palatino Linotype" w:hAnsi="Palatino Linotype" w:cs="Times New Roman"/>
          <w:i/>
          <w:iCs/>
          <w:noProof/>
          <w:sz w:val="20"/>
          <w:szCs w:val="24"/>
        </w:rPr>
        <w:t>International Journal of Evaluation and Research in Education</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11</w:t>
      </w:r>
      <w:r w:rsidRPr="00C11D39">
        <w:rPr>
          <w:rFonts w:ascii="Palatino Linotype" w:hAnsi="Palatino Linotype" w:cs="Times New Roman"/>
          <w:noProof/>
          <w:sz w:val="20"/>
          <w:szCs w:val="24"/>
        </w:rPr>
        <w:t>(1), 333–344. https://doi.org/10.11591/ijere.v11i1.21869</w:t>
      </w:r>
    </w:p>
    <w:p w14:paraId="45BC9D03"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Tzima, S., Styliaras, G., Bassounas, A., &amp; Tzima, M. (2020). Harnessing the potential of storytelling and mobile technology in intangible cultural heritage: A case study in early childhood education in sustainability. </w:t>
      </w:r>
      <w:r w:rsidRPr="00C11D39">
        <w:rPr>
          <w:rFonts w:ascii="Palatino Linotype" w:hAnsi="Palatino Linotype" w:cs="Times New Roman"/>
          <w:i/>
          <w:iCs/>
          <w:noProof/>
          <w:sz w:val="20"/>
          <w:szCs w:val="24"/>
        </w:rPr>
        <w:t>Sustainability (Switzerland)</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12</w:t>
      </w:r>
      <w:r w:rsidRPr="00C11D39">
        <w:rPr>
          <w:rFonts w:ascii="Palatino Linotype" w:hAnsi="Palatino Linotype" w:cs="Times New Roman"/>
          <w:noProof/>
          <w:sz w:val="20"/>
          <w:szCs w:val="24"/>
        </w:rPr>
        <w:t>(22), 1–22. https://doi.org/10.3390/su12229416</w:t>
      </w:r>
    </w:p>
    <w:p w14:paraId="6FE0431F"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Uge, S., Neolaka, A., &amp; Yasin, M. (2019). Development of social studies learning model based on local wisdom in improving students’ knowledge and social attitude. </w:t>
      </w:r>
      <w:r w:rsidRPr="00C11D39">
        <w:rPr>
          <w:rFonts w:ascii="Palatino Linotype" w:hAnsi="Palatino Linotype" w:cs="Times New Roman"/>
          <w:i/>
          <w:iCs/>
          <w:noProof/>
          <w:sz w:val="20"/>
          <w:szCs w:val="24"/>
        </w:rPr>
        <w:t>International Journal of Instruction</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12</w:t>
      </w:r>
      <w:r w:rsidRPr="00C11D39">
        <w:rPr>
          <w:rFonts w:ascii="Palatino Linotype" w:hAnsi="Palatino Linotype" w:cs="Times New Roman"/>
          <w:noProof/>
          <w:sz w:val="20"/>
          <w:szCs w:val="24"/>
        </w:rPr>
        <w:t>(3), 375–388. https://doi.org/10.29333/iji.2019.12323a</w:t>
      </w:r>
    </w:p>
    <w:p w14:paraId="097BDD99"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rPr>
      </w:pPr>
      <w:r w:rsidRPr="00C11D39">
        <w:rPr>
          <w:rFonts w:ascii="Palatino Linotype" w:hAnsi="Palatino Linotype" w:cs="Times New Roman"/>
          <w:noProof/>
          <w:sz w:val="20"/>
          <w:szCs w:val="24"/>
        </w:rPr>
        <w:t xml:space="preserve">Yan, W. J., &amp; Chiou, S. C. (2021). The safeguarding of intangible cultural heritage from the perspective of civic participation: The informal education of chinese embroidery handicrafts. </w:t>
      </w:r>
      <w:r w:rsidRPr="00C11D39">
        <w:rPr>
          <w:rFonts w:ascii="Palatino Linotype" w:hAnsi="Palatino Linotype" w:cs="Times New Roman"/>
          <w:i/>
          <w:iCs/>
          <w:noProof/>
          <w:sz w:val="20"/>
          <w:szCs w:val="24"/>
        </w:rPr>
        <w:t>Sustainability (Switzerland)</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13</w:t>
      </w:r>
      <w:r w:rsidRPr="00C11D39">
        <w:rPr>
          <w:rFonts w:ascii="Palatino Linotype" w:hAnsi="Palatino Linotype" w:cs="Times New Roman"/>
          <w:noProof/>
          <w:sz w:val="20"/>
          <w:szCs w:val="24"/>
        </w:rPr>
        <w:t>(9). https://doi.org/10.3390/su13094958</w:t>
      </w:r>
    </w:p>
    <w:p w14:paraId="6FF0E842" w14:textId="77777777" w:rsidR="00C11D39" w:rsidRPr="00C11D39" w:rsidRDefault="00C11D39" w:rsidP="00C11D39">
      <w:pPr>
        <w:widowControl w:val="0"/>
        <w:autoSpaceDE w:val="0"/>
        <w:autoSpaceDN w:val="0"/>
        <w:adjustRightInd w:val="0"/>
        <w:spacing w:after="0" w:line="240" w:lineRule="atLeast"/>
        <w:ind w:left="480" w:hanging="480"/>
        <w:jc w:val="both"/>
        <w:rPr>
          <w:rFonts w:ascii="Palatino Linotype" w:hAnsi="Palatino Linotype"/>
          <w:noProof/>
          <w:sz w:val="20"/>
        </w:rPr>
      </w:pPr>
      <w:r w:rsidRPr="00C11D39">
        <w:rPr>
          <w:rFonts w:ascii="Palatino Linotype" w:hAnsi="Palatino Linotype" w:cs="Times New Roman"/>
          <w:noProof/>
          <w:sz w:val="20"/>
          <w:szCs w:val="24"/>
        </w:rPr>
        <w:t xml:space="preserve">Yana, E., Anisah, A., &amp; Yulianto, A. (2023). Ethnopedagogical Study of Local Wisdom Values as a Source of Learning for Forming Economic Behavior. </w:t>
      </w:r>
      <w:r w:rsidRPr="00C11D39">
        <w:rPr>
          <w:rFonts w:ascii="Palatino Linotype" w:hAnsi="Palatino Linotype" w:cs="Times New Roman"/>
          <w:i/>
          <w:iCs/>
          <w:noProof/>
          <w:sz w:val="20"/>
          <w:szCs w:val="24"/>
        </w:rPr>
        <w:t>Journal of Innovation in Educational and Cultural Research</w:t>
      </w:r>
      <w:r w:rsidRPr="00C11D39">
        <w:rPr>
          <w:rFonts w:ascii="Palatino Linotype" w:hAnsi="Palatino Linotype" w:cs="Times New Roman"/>
          <w:noProof/>
          <w:sz w:val="20"/>
          <w:szCs w:val="24"/>
        </w:rPr>
        <w:t xml:space="preserve">, </w:t>
      </w:r>
      <w:r w:rsidRPr="00C11D39">
        <w:rPr>
          <w:rFonts w:ascii="Palatino Linotype" w:hAnsi="Palatino Linotype" w:cs="Times New Roman"/>
          <w:i/>
          <w:iCs/>
          <w:noProof/>
          <w:sz w:val="20"/>
          <w:szCs w:val="24"/>
        </w:rPr>
        <w:t>4</w:t>
      </w:r>
      <w:r w:rsidRPr="00C11D39">
        <w:rPr>
          <w:rFonts w:ascii="Palatino Linotype" w:hAnsi="Palatino Linotype" w:cs="Times New Roman"/>
          <w:noProof/>
          <w:sz w:val="20"/>
          <w:szCs w:val="24"/>
        </w:rPr>
        <w:t>(3), 534–543. https://doi.org/10.46843/jiecr.v4i3.910</w:t>
      </w:r>
    </w:p>
    <w:p w14:paraId="46345445" w14:textId="0BF8C0C6" w:rsidR="00143989" w:rsidRPr="00443C4D" w:rsidRDefault="00C11D39" w:rsidP="00C11D39">
      <w:pPr>
        <w:pStyle w:val="Alishlah71References"/>
        <w:rPr>
          <w:lang w:val="en-US"/>
        </w:rPr>
      </w:pPr>
      <w:r>
        <w:rPr>
          <w:lang w:val="en-US"/>
        </w:rPr>
        <w:fldChar w:fldCharType="end"/>
      </w:r>
    </w:p>
    <w:sectPr w:rsidR="00143989" w:rsidRPr="00443C4D" w:rsidSect="00634399">
      <w:headerReference w:type="default" r:id="rId12"/>
      <w:footerReference w:type="default" r:id="rId13"/>
      <w:headerReference w:type="first" r:id="rId14"/>
      <w:footerReference w:type="first" r:id="rId15"/>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AD152" w14:textId="77777777" w:rsidR="0035123F" w:rsidRPr="005C24CD" w:rsidRDefault="0035123F" w:rsidP="008E64A2">
      <w:pPr>
        <w:spacing w:after="0" w:line="240" w:lineRule="auto"/>
      </w:pPr>
      <w:r w:rsidRPr="005C24CD">
        <w:separator/>
      </w:r>
    </w:p>
    <w:p w14:paraId="60CD07EF" w14:textId="77777777" w:rsidR="0035123F" w:rsidRPr="005C24CD" w:rsidRDefault="0035123F"/>
  </w:endnote>
  <w:endnote w:type="continuationSeparator" w:id="0">
    <w:p w14:paraId="51547CF7" w14:textId="77777777" w:rsidR="0035123F" w:rsidRPr="005C24CD" w:rsidRDefault="0035123F" w:rsidP="008E64A2">
      <w:pPr>
        <w:spacing w:after="0" w:line="240" w:lineRule="auto"/>
      </w:pPr>
      <w:r w:rsidRPr="005C24CD">
        <w:continuationSeparator/>
      </w:r>
    </w:p>
    <w:p w14:paraId="314AFF3A" w14:textId="77777777" w:rsidR="0035123F" w:rsidRPr="005C24CD" w:rsidRDefault="003512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ECDAC3" w14:textId="77777777" w:rsidR="001C18FA" w:rsidRPr="005C24CD" w:rsidRDefault="00727D5A" w:rsidP="00727D5A">
    <w:pPr>
      <w:pStyle w:val="Footer"/>
    </w:pPr>
    <w:r w:rsidRPr="005C24CD">
      <w:rPr>
        <w:rFonts w:ascii="Palatino Linotype" w:hAnsi="Palatino Linotype"/>
        <w:i/>
        <w:sz w:val="16"/>
      </w:rPr>
      <w:t>Author Name/Title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C2C626" w14:textId="77777777" w:rsidR="001C18FA" w:rsidRPr="005C24CD" w:rsidRDefault="001C18FA" w:rsidP="00EE35A7">
    <w:pPr>
      <w:tabs>
        <w:tab w:val="right" w:pos="8844"/>
      </w:tabs>
      <w:adjustRightInd w:val="0"/>
      <w:snapToGrid w:val="0"/>
      <w:spacing w:before="120" w:line="240" w:lineRule="auto"/>
      <w:rPr>
        <w:rFonts w:ascii="Palatino Linotype" w:hAnsi="Palatino Linotype"/>
        <w:sz w:val="16"/>
        <w:szCs w:val="16"/>
      </w:rPr>
    </w:pPr>
    <w:r w:rsidRPr="005C24CD">
      <w:rPr>
        <w:rFonts w:ascii="Palatino Linotype" w:hAnsi="Palatino Linotype"/>
        <w:i/>
        <w:sz w:val="16"/>
        <w:szCs w:val="16"/>
      </w:rPr>
      <w:t xml:space="preserve"> </w:t>
    </w:r>
    <w:r w:rsidRPr="005C24CD">
      <w:rPr>
        <w:rFonts w:ascii="Palatino Linotype" w:hAnsi="Palatino Linotype"/>
        <w:sz w:val="16"/>
        <w:szCs w:val="16"/>
      </w:rPr>
      <w:tab/>
    </w:r>
    <w:r w:rsidRPr="005C24CD">
      <w:rPr>
        <w:rFonts w:ascii="Palatino Linotype" w:hAnsi="Palatino Linotype"/>
        <w:sz w:val="16"/>
        <w:szCs w:val="16"/>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EF41BA" w14:textId="77777777" w:rsidR="0035123F" w:rsidRPr="005C24CD" w:rsidRDefault="0035123F" w:rsidP="008E64A2">
      <w:pPr>
        <w:spacing w:after="0" w:line="240" w:lineRule="auto"/>
      </w:pPr>
      <w:r w:rsidRPr="005C24CD">
        <w:separator/>
      </w:r>
    </w:p>
    <w:p w14:paraId="14B93718" w14:textId="77777777" w:rsidR="0035123F" w:rsidRPr="005C24CD" w:rsidRDefault="0035123F"/>
  </w:footnote>
  <w:footnote w:type="continuationSeparator" w:id="0">
    <w:p w14:paraId="66830404" w14:textId="77777777" w:rsidR="0035123F" w:rsidRPr="005C24CD" w:rsidRDefault="0035123F" w:rsidP="008E64A2">
      <w:pPr>
        <w:spacing w:after="0" w:line="240" w:lineRule="auto"/>
      </w:pPr>
      <w:r w:rsidRPr="005C24CD">
        <w:continuationSeparator/>
      </w:r>
    </w:p>
    <w:p w14:paraId="4B3DFEE5" w14:textId="77777777" w:rsidR="0035123F" w:rsidRPr="005C24CD" w:rsidRDefault="0035123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016C25" w14:textId="77777777" w:rsidR="001C18FA" w:rsidRPr="005C24CD" w:rsidRDefault="001C18FA" w:rsidP="00EE35A7">
    <w:pPr>
      <w:tabs>
        <w:tab w:val="right" w:pos="8844"/>
      </w:tabs>
      <w:adjustRightInd w:val="0"/>
      <w:snapToGrid w:val="0"/>
      <w:spacing w:after="240" w:line="240" w:lineRule="auto"/>
      <w:rPr>
        <w:rFonts w:ascii="Palatino Linotype" w:hAnsi="Palatino Linotype"/>
        <w:sz w:val="16"/>
      </w:rPr>
    </w:pPr>
    <w:r w:rsidRPr="005C24CD">
      <w:rPr>
        <w:noProof/>
        <w:lang w:val="en-US"/>
      </w:rPr>
      <mc:AlternateContent>
        <mc:Choice Requires="wps">
          <w:drawing>
            <wp:anchor distT="0" distB="0" distL="114300" distR="114300" simplePos="0" relativeHeight="251663360" behindDoc="0" locked="0" layoutInCell="1" allowOverlap="1" wp14:anchorId="21A19CF4" wp14:editId="500F1402">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AEDED7"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5C24CD">
      <w:rPr>
        <w:rFonts w:ascii="Palatino Linotype" w:hAnsi="Palatino Linotype"/>
        <w:i/>
        <w:sz w:val="16"/>
      </w:rPr>
      <w:t xml:space="preserve">Al-Ishlah: Jurnal Pendidikan,Vol. 4, 1 (April 2022): </w:t>
    </w:r>
    <w:r w:rsidR="00727D5A" w:rsidRPr="005C24CD">
      <w:rPr>
        <w:rFonts w:ascii="Palatino Linotype" w:hAnsi="Palatino Linotype"/>
        <w:i/>
        <w:sz w:val="16"/>
      </w:rPr>
      <w:t>p</w:t>
    </w:r>
    <w:r w:rsidR="001914CF" w:rsidRPr="005C24CD">
      <w:rPr>
        <w:rFonts w:ascii="Palatino Linotype" w:hAnsi="Palatino Linotype"/>
        <w:i/>
        <w:sz w:val="16"/>
      </w:rPr>
      <w:t>-</w:t>
    </w:r>
    <w:r w:rsidR="00727D5A" w:rsidRPr="005C24CD">
      <w:rPr>
        <w:rFonts w:ascii="Palatino Linotype" w:hAnsi="Palatino Linotype"/>
        <w:i/>
        <w:sz w:val="16"/>
      </w:rPr>
      <w:t>pp</w:t>
    </w:r>
    <w:r w:rsidRPr="005C24CD">
      <w:rPr>
        <w:rFonts w:ascii="Palatino Linotype" w:hAnsi="Palatino Linotype"/>
        <w:sz w:val="16"/>
      </w:rPr>
      <w:tab/>
    </w:r>
    <w:r w:rsidRPr="005C24CD">
      <w:rPr>
        <w:rFonts w:ascii="Palatino Linotype" w:hAnsi="Palatino Linotype"/>
        <w:sz w:val="16"/>
      </w:rPr>
      <w:fldChar w:fldCharType="begin"/>
    </w:r>
    <w:r w:rsidRPr="005C24CD">
      <w:rPr>
        <w:rFonts w:ascii="Palatino Linotype" w:hAnsi="Palatino Linotype"/>
        <w:sz w:val="16"/>
      </w:rPr>
      <w:instrText xml:space="preserve"> PAGE   \* MERGEFORMAT </w:instrText>
    </w:r>
    <w:r w:rsidRPr="005C24CD">
      <w:rPr>
        <w:rFonts w:ascii="Palatino Linotype" w:hAnsi="Palatino Linotype"/>
        <w:sz w:val="16"/>
      </w:rPr>
      <w:fldChar w:fldCharType="separate"/>
    </w:r>
    <w:r w:rsidR="0084178E">
      <w:rPr>
        <w:rFonts w:ascii="Palatino Linotype" w:hAnsi="Palatino Linotype"/>
        <w:noProof/>
        <w:sz w:val="16"/>
      </w:rPr>
      <w:t>67</w:t>
    </w:r>
    <w:r w:rsidRPr="005C24CD">
      <w:rPr>
        <w:rFonts w:ascii="Palatino Linotype" w:hAnsi="Palatino Linotype"/>
        <w:sz w:val="16"/>
      </w:rPr>
      <w:fldChar w:fldCharType="end"/>
    </w:r>
    <w:r w:rsidRPr="005C24CD">
      <w:rPr>
        <w:rFonts w:ascii="Palatino Linotype" w:hAnsi="Palatino Linotype"/>
        <w:sz w:val="16"/>
      </w:rPr>
      <w:t xml:space="preserve"> of </w:t>
    </w:r>
    <w:r w:rsidR="001914CF" w:rsidRPr="005C24CD">
      <w:rPr>
        <w:rFonts w:ascii="Palatino Linotype" w:hAnsi="Palatino Linotype"/>
        <w:sz w:val="16"/>
      </w:rPr>
      <w:t>70</w:t>
    </w:r>
  </w:p>
  <w:p w14:paraId="6A9EAD31" w14:textId="77777777" w:rsidR="003468CB" w:rsidRPr="005C24CD" w:rsidRDefault="003468C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8568E" w14:textId="77777777" w:rsidR="001C18FA" w:rsidRPr="005C24CD" w:rsidRDefault="001C18FA" w:rsidP="0048254D">
    <w:pPr>
      <w:pStyle w:val="Header"/>
      <w:ind w:right="45"/>
      <w:rPr>
        <w:rFonts w:ascii="Palatino Linotype" w:hAnsi="Palatino Linotype"/>
        <w:b/>
        <w:sz w:val="20"/>
      </w:rPr>
    </w:pPr>
    <w:bookmarkStart w:id="3" w:name="_Hlk97159129"/>
    <w:r w:rsidRPr="005C24CD">
      <w:rPr>
        <w:rFonts w:ascii="Palatino Linotype" w:hAnsi="Palatino Linotype"/>
        <w:b/>
        <w:sz w:val="20"/>
      </w:rPr>
      <w:t xml:space="preserve">Al-Ishlah: </w:t>
    </w:r>
    <w:r w:rsidRPr="005C24CD">
      <w:rPr>
        <w:rFonts w:ascii="Palatino Linotype" w:hAnsi="Palatino Linotype"/>
        <w:b/>
        <w:sz w:val="20"/>
      </w:rPr>
      <w:t>Jurnal Pendidikan</w:t>
    </w:r>
  </w:p>
  <w:p w14:paraId="7C5D6185" w14:textId="77777777" w:rsidR="001C18FA" w:rsidRPr="005C24CD" w:rsidRDefault="001C18FA" w:rsidP="0048254D">
    <w:pPr>
      <w:tabs>
        <w:tab w:val="left" w:pos="3675"/>
      </w:tabs>
      <w:spacing w:after="0" w:line="240" w:lineRule="auto"/>
      <w:ind w:right="45"/>
      <w:rPr>
        <w:rFonts w:ascii="Palatino Linotype" w:eastAsia="Times New Roman" w:hAnsi="Palatino Linotype" w:cs="Times New Roman"/>
        <w:sz w:val="18"/>
        <w:szCs w:val="18"/>
      </w:rPr>
    </w:pPr>
    <w:r w:rsidRPr="005C24CD">
      <w:rPr>
        <w:rFonts w:ascii="Palatino Linotype" w:eastAsia="Times New Roman" w:hAnsi="Palatino Linotype" w:cs="Times New Roman"/>
        <w:sz w:val="18"/>
        <w:szCs w:val="18"/>
      </w:rPr>
      <w:t xml:space="preserve">Vol.14, 1 (April, 2022), pp. </w:t>
    </w:r>
    <w:r w:rsidR="001914CF" w:rsidRPr="005C24CD">
      <w:rPr>
        <w:rFonts w:ascii="Palatino Linotype" w:eastAsia="Times New Roman" w:hAnsi="Palatino Linotype" w:cs="Times New Roman"/>
        <w:sz w:val="18"/>
        <w:szCs w:val="18"/>
      </w:rPr>
      <w:t>61-70</w:t>
    </w:r>
  </w:p>
  <w:p w14:paraId="257326A6" w14:textId="77777777" w:rsidR="001C18FA" w:rsidRPr="005C24CD" w:rsidRDefault="001C18FA" w:rsidP="0048254D">
    <w:pPr>
      <w:tabs>
        <w:tab w:val="left" w:pos="7938"/>
        <w:tab w:val="right" w:pos="8789"/>
      </w:tabs>
      <w:spacing w:after="0" w:line="240" w:lineRule="auto"/>
      <w:rPr>
        <w:rFonts w:ascii="Times New Roman" w:eastAsia="Times New Roman" w:hAnsi="Times New Roman" w:cs="Times New Roman"/>
        <w:sz w:val="20"/>
        <w:szCs w:val="20"/>
      </w:rPr>
    </w:pPr>
    <w:r w:rsidRPr="005C24CD">
      <w:rPr>
        <w:rFonts w:ascii="Palatino Linotype" w:eastAsia="Times New Roman" w:hAnsi="Palatino Linotype" w:cs="Times New Roman"/>
        <w:sz w:val="18"/>
        <w:szCs w:val="18"/>
      </w:rPr>
      <w:t>ISSN: 2087-9490 EISSN: 2597-940X, DOI: 10.35445/alishlah.v14i1.</w:t>
    </w:r>
    <w:bookmarkEnd w:id="3"/>
    <w:r w:rsidRPr="005C24C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6D7F629F" wp14:editId="4AF75C0E">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AB1BAFC"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9D09F2" w:rsidRPr="005C24CD">
      <w:rPr>
        <w:rFonts w:ascii="Palatino Linotype" w:eastAsia="Times New Roman" w:hAnsi="Palatino Linotype" w:cs="Times New Roman"/>
        <w:sz w:val="18"/>
        <w:szCs w:val="18"/>
      </w:rPr>
      <w:t>9</w:t>
    </w:r>
    <w:r w:rsidR="00FA43FF" w:rsidRPr="005C24CD">
      <w:rPr>
        <w:rFonts w:ascii="Palatino Linotype" w:eastAsia="Times New Roman" w:hAnsi="Palatino Linotype" w:cs="Times New Roman"/>
        <w:sz w:val="18"/>
        <w:szCs w:val="18"/>
      </w:rPr>
      <w:t>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92A016E"/>
    <w:multiLevelType w:val="hybridMultilevel"/>
    <w:tmpl w:val="2C60C5F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B12486E"/>
    <w:multiLevelType w:val="hybridMultilevel"/>
    <w:tmpl w:val="34120022"/>
    <w:lvl w:ilvl="0" w:tplc="3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8">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10"/>
  </w:num>
  <w:num w:numId="3">
    <w:abstractNumId w:val="6"/>
  </w:num>
  <w:num w:numId="4">
    <w:abstractNumId w:val="5"/>
  </w:num>
  <w:num w:numId="5">
    <w:abstractNumId w:val="15"/>
  </w:num>
  <w:num w:numId="6">
    <w:abstractNumId w:val="18"/>
  </w:num>
  <w:num w:numId="7">
    <w:abstractNumId w:val="1"/>
  </w:num>
  <w:num w:numId="8">
    <w:abstractNumId w:val="17"/>
  </w:num>
  <w:num w:numId="9">
    <w:abstractNumId w:val="8"/>
  </w:num>
  <w:num w:numId="10">
    <w:abstractNumId w:val="16"/>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
  </w:num>
  <w:num w:numId="14">
    <w:abstractNumId w:val="11"/>
  </w:num>
  <w:num w:numId="15">
    <w:abstractNumId w:val="13"/>
  </w:num>
  <w:num w:numId="16">
    <w:abstractNumId w:val="0"/>
  </w:num>
  <w:num w:numId="17">
    <w:abstractNumId w:val="4"/>
  </w:num>
  <w:num w:numId="18">
    <w:abstractNumId w:val="7"/>
  </w:num>
  <w:num w:numId="19">
    <w:abstractNumId w:val="14"/>
  </w:num>
  <w:num w:numId="20">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5C24CD"/>
    <w:rsid w:val="000061CE"/>
    <w:rsid w:val="00031DD5"/>
    <w:rsid w:val="000333AC"/>
    <w:rsid w:val="000355EA"/>
    <w:rsid w:val="00035C67"/>
    <w:rsid w:val="00056E9C"/>
    <w:rsid w:val="000735BB"/>
    <w:rsid w:val="00075197"/>
    <w:rsid w:val="000831BD"/>
    <w:rsid w:val="000A13A3"/>
    <w:rsid w:val="000A36F0"/>
    <w:rsid w:val="000D5EE8"/>
    <w:rsid w:val="000E2588"/>
    <w:rsid w:val="000E2C60"/>
    <w:rsid w:val="000E7A05"/>
    <w:rsid w:val="000F1812"/>
    <w:rsid w:val="000F66B9"/>
    <w:rsid w:val="00114306"/>
    <w:rsid w:val="001358C8"/>
    <w:rsid w:val="00143989"/>
    <w:rsid w:val="00145F3A"/>
    <w:rsid w:val="00147524"/>
    <w:rsid w:val="00151740"/>
    <w:rsid w:val="001603B5"/>
    <w:rsid w:val="00175AF2"/>
    <w:rsid w:val="00182EA2"/>
    <w:rsid w:val="001914CF"/>
    <w:rsid w:val="001A4292"/>
    <w:rsid w:val="001A581B"/>
    <w:rsid w:val="001C1084"/>
    <w:rsid w:val="001C18FA"/>
    <w:rsid w:val="001C30E8"/>
    <w:rsid w:val="001C7B8C"/>
    <w:rsid w:val="001E42C1"/>
    <w:rsid w:val="001F4625"/>
    <w:rsid w:val="002001C5"/>
    <w:rsid w:val="00202D95"/>
    <w:rsid w:val="0022427B"/>
    <w:rsid w:val="002263FF"/>
    <w:rsid w:val="00226E30"/>
    <w:rsid w:val="0023514C"/>
    <w:rsid w:val="00245BDA"/>
    <w:rsid w:val="002663A1"/>
    <w:rsid w:val="00270B5A"/>
    <w:rsid w:val="00287854"/>
    <w:rsid w:val="00290481"/>
    <w:rsid w:val="002A02C2"/>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468CB"/>
    <w:rsid w:val="0035123F"/>
    <w:rsid w:val="00351943"/>
    <w:rsid w:val="003538FA"/>
    <w:rsid w:val="00366DA9"/>
    <w:rsid w:val="003670E2"/>
    <w:rsid w:val="00367C25"/>
    <w:rsid w:val="00376360"/>
    <w:rsid w:val="00376B69"/>
    <w:rsid w:val="003807D8"/>
    <w:rsid w:val="003827AC"/>
    <w:rsid w:val="00392773"/>
    <w:rsid w:val="003C3B3B"/>
    <w:rsid w:val="003D061C"/>
    <w:rsid w:val="003E5BB6"/>
    <w:rsid w:val="003F3A9E"/>
    <w:rsid w:val="004258A8"/>
    <w:rsid w:val="00432323"/>
    <w:rsid w:val="004333C2"/>
    <w:rsid w:val="00434F97"/>
    <w:rsid w:val="00435996"/>
    <w:rsid w:val="00443C4D"/>
    <w:rsid w:val="00444B72"/>
    <w:rsid w:val="004521BE"/>
    <w:rsid w:val="00457015"/>
    <w:rsid w:val="00461028"/>
    <w:rsid w:val="004642B9"/>
    <w:rsid w:val="004763B3"/>
    <w:rsid w:val="0048254D"/>
    <w:rsid w:val="004A39B9"/>
    <w:rsid w:val="004A4086"/>
    <w:rsid w:val="004C2768"/>
    <w:rsid w:val="004C2BBB"/>
    <w:rsid w:val="004C67A3"/>
    <w:rsid w:val="004C700A"/>
    <w:rsid w:val="004D00C2"/>
    <w:rsid w:val="004D0C98"/>
    <w:rsid w:val="004F29DF"/>
    <w:rsid w:val="004F6BCE"/>
    <w:rsid w:val="005041B5"/>
    <w:rsid w:val="0050557B"/>
    <w:rsid w:val="005145F9"/>
    <w:rsid w:val="00526694"/>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24CD"/>
    <w:rsid w:val="005C4902"/>
    <w:rsid w:val="005C7EC7"/>
    <w:rsid w:val="005D00BE"/>
    <w:rsid w:val="005D18A2"/>
    <w:rsid w:val="0061136D"/>
    <w:rsid w:val="00617741"/>
    <w:rsid w:val="00626D7A"/>
    <w:rsid w:val="00630559"/>
    <w:rsid w:val="00634399"/>
    <w:rsid w:val="006405DC"/>
    <w:rsid w:val="00642A67"/>
    <w:rsid w:val="00655540"/>
    <w:rsid w:val="006659EC"/>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1335B"/>
    <w:rsid w:val="00716FCB"/>
    <w:rsid w:val="00717FE7"/>
    <w:rsid w:val="00721B39"/>
    <w:rsid w:val="00723972"/>
    <w:rsid w:val="00725B2A"/>
    <w:rsid w:val="00727D5A"/>
    <w:rsid w:val="0073613A"/>
    <w:rsid w:val="0074579B"/>
    <w:rsid w:val="00750180"/>
    <w:rsid w:val="00751F6C"/>
    <w:rsid w:val="007549C7"/>
    <w:rsid w:val="00763D48"/>
    <w:rsid w:val="007706D1"/>
    <w:rsid w:val="00776DFE"/>
    <w:rsid w:val="00784B9B"/>
    <w:rsid w:val="00787398"/>
    <w:rsid w:val="007A2C38"/>
    <w:rsid w:val="007B2B7A"/>
    <w:rsid w:val="007B716C"/>
    <w:rsid w:val="007E0F04"/>
    <w:rsid w:val="007E5CEF"/>
    <w:rsid w:val="007E6AA6"/>
    <w:rsid w:val="007E6E1C"/>
    <w:rsid w:val="007F0542"/>
    <w:rsid w:val="007F2733"/>
    <w:rsid w:val="00802C6D"/>
    <w:rsid w:val="008036D9"/>
    <w:rsid w:val="0084178E"/>
    <w:rsid w:val="008477FA"/>
    <w:rsid w:val="00863036"/>
    <w:rsid w:val="00873823"/>
    <w:rsid w:val="00874DBD"/>
    <w:rsid w:val="00883EAA"/>
    <w:rsid w:val="008841DF"/>
    <w:rsid w:val="008858AA"/>
    <w:rsid w:val="00887B61"/>
    <w:rsid w:val="0089730B"/>
    <w:rsid w:val="008D0E8E"/>
    <w:rsid w:val="008D272B"/>
    <w:rsid w:val="008D6030"/>
    <w:rsid w:val="008E27C5"/>
    <w:rsid w:val="008E64A2"/>
    <w:rsid w:val="008F618A"/>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8303C"/>
    <w:rsid w:val="00984D8C"/>
    <w:rsid w:val="009B07D9"/>
    <w:rsid w:val="009C1B55"/>
    <w:rsid w:val="009C7544"/>
    <w:rsid w:val="009D09F2"/>
    <w:rsid w:val="009D3532"/>
    <w:rsid w:val="009E52F0"/>
    <w:rsid w:val="009F0C88"/>
    <w:rsid w:val="009F4CD2"/>
    <w:rsid w:val="009F71B3"/>
    <w:rsid w:val="00A00078"/>
    <w:rsid w:val="00A02BB2"/>
    <w:rsid w:val="00A10E86"/>
    <w:rsid w:val="00A234A4"/>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A14D2"/>
    <w:rsid w:val="00BA707F"/>
    <w:rsid w:val="00BB6E10"/>
    <w:rsid w:val="00BD0A28"/>
    <w:rsid w:val="00BD0ABC"/>
    <w:rsid w:val="00BE398A"/>
    <w:rsid w:val="00BF0A78"/>
    <w:rsid w:val="00BF21AD"/>
    <w:rsid w:val="00BF2297"/>
    <w:rsid w:val="00BF4139"/>
    <w:rsid w:val="00BF4472"/>
    <w:rsid w:val="00BF6007"/>
    <w:rsid w:val="00C11D39"/>
    <w:rsid w:val="00C1416D"/>
    <w:rsid w:val="00C21EFA"/>
    <w:rsid w:val="00C361A9"/>
    <w:rsid w:val="00C36799"/>
    <w:rsid w:val="00C37B1B"/>
    <w:rsid w:val="00C4224C"/>
    <w:rsid w:val="00C66ECA"/>
    <w:rsid w:val="00C721BA"/>
    <w:rsid w:val="00C8406B"/>
    <w:rsid w:val="00C94847"/>
    <w:rsid w:val="00CA3B3C"/>
    <w:rsid w:val="00CC0C2B"/>
    <w:rsid w:val="00CC3DB2"/>
    <w:rsid w:val="00CC7F21"/>
    <w:rsid w:val="00CD3AE9"/>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D295B"/>
    <w:rsid w:val="00DE2B7D"/>
    <w:rsid w:val="00DF215F"/>
    <w:rsid w:val="00E00922"/>
    <w:rsid w:val="00E05855"/>
    <w:rsid w:val="00E1438C"/>
    <w:rsid w:val="00E22B8E"/>
    <w:rsid w:val="00E45249"/>
    <w:rsid w:val="00E517C5"/>
    <w:rsid w:val="00E56B59"/>
    <w:rsid w:val="00E85AC8"/>
    <w:rsid w:val="00EA7D37"/>
    <w:rsid w:val="00EE35A7"/>
    <w:rsid w:val="00EF47B8"/>
    <w:rsid w:val="00F03710"/>
    <w:rsid w:val="00F05579"/>
    <w:rsid w:val="00F15294"/>
    <w:rsid w:val="00F30CBA"/>
    <w:rsid w:val="00F30EA6"/>
    <w:rsid w:val="00F36C4F"/>
    <w:rsid w:val="00F40982"/>
    <w:rsid w:val="00F67706"/>
    <w:rsid w:val="00F6777E"/>
    <w:rsid w:val="00F8776C"/>
    <w:rsid w:val="00F941E4"/>
    <w:rsid w:val="00F9747B"/>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56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id-ID"/>
    </w:rPr>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id-ID"/>
    </w:rPr>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creativecommons.org/licenses/by-nc-sa/4.0/"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NDOWS\Downloads\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60B90-21F0-4B7E-BC2E-538DC90E9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0</TotalTime>
  <Pages>9</Pages>
  <Words>16300</Words>
  <Characters>92910</Characters>
  <Application>Microsoft Office Word</Application>
  <DocSecurity>0</DocSecurity>
  <Lines>774</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cp:lastModifiedBy>
  <cp:revision>2</cp:revision>
  <cp:lastPrinted>2022-03-12T14:54:00Z</cp:lastPrinted>
  <dcterms:created xsi:type="dcterms:W3CDTF">2024-04-23T14:14:00Z</dcterms:created>
  <dcterms:modified xsi:type="dcterms:W3CDTF">2024-04-23T14:14:00Z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c9bd4d6f-549b-3d32-b09f-2533030f44e7</vt:lpwstr>
  </property>
  <property fmtid="{D5CDD505-2E9C-101B-9397-08002B2CF9AE}" pid="24" name="Mendeley Citation Style_1">
    <vt:lpwstr>http://www.zotero.org/styles/apa-6th-edition</vt:lpwstr>
  </property>
</Properties>
</file>